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00DA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00DA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00DA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00DA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500DA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00DAF">
        <w:rPr>
          <w:rFonts w:ascii="Book Antiqua" w:hAnsi="Book Antiqua"/>
          <w:szCs w:val="24"/>
          <w:lang w:val="es-ES_tradnl"/>
        </w:rPr>
        <w:t>20m</w:t>
      </w:r>
      <w:r w:rsidR="002670C1" w:rsidRPr="00500DAF">
        <w:rPr>
          <w:rFonts w:ascii="Book Antiqua" w:hAnsi="Book Antiqua"/>
          <w:szCs w:val="24"/>
          <w:lang w:val="es-ES_tradnl"/>
        </w:rPr>
        <w:t>a. Asamblea</w:t>
      </w:r>
      <w:r w:rsidR="002670C1" w:rsidRPr="00500DA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00DA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00DAF">
        <w:rPr>
          <w:rFonts w:ascii="Book Antiqua" w:hAnsi="Book Antiqua"/>
          <w:szCs w:val="24"/>
          <w:lang w:val="es-ES_tradnl"/>
        </w:rPr>
        <w:t xml:space="preserve">  </w:t>
      </w:r>
      <w:r w:rsidR="003D1498" w:rsidRPr="00500DAF">
        <w:rPr>
          <w:rFonts w:ascii="Book Antiqua" w:hAnsi="Book Antiqua"/>
          <w:szCs w:val="24"/>
          <w:lang w:val="es-ES_tradnl"/>
        </w:rPr>
        <w:t>2d</w:t>
      </w:r>
      <w:r w:rsidR="002670C1" w:rsidRPr="00500DAF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00DA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00DAF">
        <w:rPr>
          <w:rFonts w:ascii="Book Antiqua" w:hAnsi="Book Antiqua"/>
          <w:szCs w:val="24"/>
          <w:lang w:val="es-ES_tradnl"/>
        </w:rPr>
        <w:tab/>
        <w:t>Legislativa</w:t>
      </w:r>
      <w:r w:rsidRPr="00500DA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00DAF">
        <w:rPr>
          <w:rFonts w:ascii="Book Antiqua" w:hAnsi="Book Antiqua"/>
          <w:szCs w:val="24"/>
          <w:lang w:val="es-ES_tradnl"/>
        </w:rPr>
        <w:t xml:space="preserve">       </w:t>
      </w:r>
      <w:r w:rsidRPr="00500DAF">
        <w:rPr>
          <w:rFonts w:ascii="Book Antiqua" w:hAnsi="Book Antiqua"/>
          <w:szCs w:val="24"/>
          <w:lang w:val="es-ES_tradnl"/>
        </w:rPr>
        <w:t xml:space="preserve"> </w:t>
      </w:r>
      <w:r w:rsidR="00632DBA" w:rsidRPr="00500DAF">
        <w:rPr>
          <w:rFonts w:ascii="Book Antiqua" w:hAnsi="Book Antiqua"/>
          <w:szCs w:val="24"/>
          <w:lang w:val="es-ES_tradnl"/>
        </w:rPr>
        <w:t xml:space="preserve"> </w:t>
      </w:r>
      <w:r w:rsidRPr="00500DA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00DAF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00DA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00DA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00DA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00DA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1534B39" w:rsidR="002670C1" w:rsidRPr="00500DA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00DAF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A9483D" w:rsidRPr="00500DAF">
        <w:rPr>
          <w:rFonts w:ascii="Book Antiqua" w:hAnsi="Book Antiqua" w:cs="Tahoma"/>
          <w:b/>
          <w:sz w:val="52"/>
          <w:szCs w:val="52"/>
          <w:lang w:val="es-ES_tradnl"/>
        </w:rPr>
        <w:t xml:space="preserve"> 321</w:t>
      </w:r>
      <w:r w:rsidRPr="00500DAF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500DAF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00DAF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00DA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00DA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00DA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3797E74" w:rsidR="002670C1" w:rsidRPr="00500DAF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00DAF">
        <w:rPr>
          <w:rFonts w:ascii="Book Antiqua" w:hAnsi="Book Antiqua" w:cs="Tahoma"/>
          <w:lang w:val="es-ES_tradnl"/>
        </w:rPr>
        <w:t xml:space="preserve"> </w:t>
      </w:r>
      <w:r w:rsidR="00A9483D" w:rsidRPr="00500DAF">
        <w:rPr>
          <w:rFonts w:ascii="Book Antiqua" w:hAnsi="Book Antiqua" w:cs="Tahoma"/>
          <w:lang w:val="es-ES_tradnl"/>
        </w:rPr>
        <w:t>6</w:t>
      </w:r>
      <w:r w:rsidRPr="00500DAF">
        <w:rPr>
          <w:rFonts w:ascii="Book Antiqua" w:hAnsi="Book Antiqua" w:cs="Tahoma"/>
          <w:lang w:val="es-ES_tradnl"/>
        </w:rPr>
        <w:t xml:space="preserve"> de </w:t>
      </w:r>
      <w:r w:rsidR="004F2CCF" w:rsidRPr="00500DAF">
        <w:rPr>
          <w:rFonts w:ascii="Book Antiqua" w:hAnsi="Book Antiqua" w:cs="Tahoma"/>
          <w:lang w:val="es-ES_tradnl"/>
        </w:rPr>
        <w:t>octubre</w:t>
      </w:r>
      <w:r w:rsidRPr="00500DAF">
        <w:rPr>
          <w:rFonts w:ascii="Book Antiqua" w:hAnsi="Book Antiqua" w:cs="Tahoma"/>
          <w:lang w:val="es-ES_tradnl"/>
        </w:rPr>
        <w:t xml:space="preserve"> de </w:t>
      </w:r>
      <w:r w:rsidR="00333864" w:rsidRPr="00500DA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00DA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00DAF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00DA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00DA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0DA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5619D88" w:rsidR="00682883" w:rsidRPr="00500DAF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0DAF">
        <w:rPr>
          <w:rFonts w:ascii="Book Antiqua" w:hAnsi="Book Antiqua" w:cs="Tahoma"/>
          <w:lang w:val="es-ES_tradnl"/>
        </w:rPr>
        <w:tab/>
      </w:r>
      <w:r w:rsidR="008A4022" w:rsidRPr="00500DA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500DAF">
        <w:rPr>
          <w:rFonts w:ascii="Book Antiqua" w:hAnsi="Book Antiqua" w:cs="Tahoma"/>
          <w:lang w:val="es-ES_tradnl"/>
        </w:rPr>
        <w:t>sideración de la R. de la C.</w:t>
      </w:r>
      <w:r w:rsidR="00A9483D" w:rsidRPr="00500DAF">
        <w:rPr>
          <w:rFonts w:ascii="Book Antiqua" w:hAnsi="Book Antiqua" w:cs="Tahoma"/>
          <w:lang w:val="es-ES_tradnl"/>
        </w:rPr>
        <w:t xml:space="preserve"> 321</w:t>
      </w:r>
      <w:r w:rsidR="00FA5F29" w:rsidRPr="00500DAF">
        <w:rPr>
          <w:rFonts w:ascii="Book Antiqua" w:hAnsi="Book Antiqua" w:cs="Tahoma"/>
          <w:lang w:val="es-ES_tradnl"/>
        </w:rPr>
        <w:t xml:space="preserve">, </w:t>
      </w:r>
      <w:r w:rsidR="00682883" w:rsidRPr="00500DAF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500DA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71C8BA61" w:rsidR="008D4A0A" w:rsidRPr="00500DAF" w:rsidRDefault="00BC1CB2" w:rsidP="00A9483D">
      <w:pPr>
        <w:ind w:left="567" w:hanging="567"/>
        <w:jc w:val="both"/>
        <w:rPr>
          <w:rFonts w:ascii="Book Antiqua" w:hAnsi="Book Antiqua"/>
          <w:lang w:val="es-ES_tradnl"/>
        </w:rPr>
      </w:pPr>
      <w:r w:rsidRPr="00500DAF">
        <w:rPr>
          <w:rFonts w:ascii="Book Antiqua" w:hAnsi="Book Antiqua" w:cs="Tahoma"/>
          <w:lang w:val="es-ES_tradnl"/>
        </w:rPr>
        <w:t xml:space="preserve"> </w:t>
      </w:r>
      <w:r w:rsidR="00E86FF9" w:rsidRPr="00500DAF">
        <w:rPr>
          <w:rFonts w:ascii="Book Antiqua" w:hAnsi="Book Antiqua" w:cs="Tahoma"/>
          <w:lang w:val="es-ES_tradnl"/>
        </w:rPr>
        <w:t>“</w:t>
      </w:r>
      <w:r w:rsidR="00E86FF9" w:rsidRPr="00500DAF">
        <w:rPr>
          <w:rFonts w:ascii="Book Antiqua" w:hAnsi="Book Antiqua"/>
          <w:lang w:val="es-ES_tradnl"/>
        </w:rPr>
        <w:t>Para</w:t>
      </w:r>
      <w:r w:rsidR="00E86FF9" w:rsidRPr="00500DAF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500DAF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500DAF">
        <w:rPr>
          <w:rFonts w:ascii="Book Antiqua" w:hAnsi="Book Antiqua"/>
          <w:lang w:val="es-ES_tradnl"/>
        </w:rPr>
        <w:t xml:space="preserve">a la Comisión </w:t>
      </w:r>
      <w:r w:rsidR="00C321E8" w:rsidRPr="00500DAF">
        <w:rPr>
          <w:rFonts w:ascii="Book Antiqua" w:hAnsi="Book Antiqua"/>
          <w:lang w:val="es-ES_tradnl"/>
        </w:rPr>
        <w:t>de</w:t>
      </w:r>
      <w:r w:rsidR="00DF3E6F" w:rsidRPr="00500DAF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A9483D" w:rsidRPr="00500DAF">
        <w:rPr>
          <w:rFonts w:ascii="Book Antiqua" w:hAnsi="Book Antiqua"/>
          <w:lang w:val="es-ES_tradnl"/>
        </w:rPr>
        <w:t>Adultos Mayores y Bienestar Social</w:t>
      </w:r>
      <w:r w:rsidR="00B87C18">
        <w:rPr>
          <w:rFonts w:ascii="Book Antiqua" w:hAnsi="Book Antiqua"/>
          <w:lang w:val="es-ES_tradnl"/>
        </w:rPr>
        <w:t xml:space="preserve"> de la Cámara de Representantes de Puerto Rico,</w:t>
      </w:r>
      <w:r w:rsidR="00A9483D" w:rsidRPr="00500DAF">
        <w:rPr>
          <w:rFonts w:ascii="Book Antiqua" w:hAnsi="Book Antiqua"/>
          <w:lang w:val="es-ES_tradnl"/>
        </w:rPr>
        <w:t xml:space="preserve"> realizar una investigación exhaustiva sobre las agencias e instrumentalidades del Gobierno de Puerto Rico, </w:t>
      </w:r>
      <w:r w:rsidR="00A9483D" w:rsidRPr="00500DAF">
        <w:rPr>
          <w:rFonts w:ascii="Book Antiqua" w:hAnsi="Book Antiqua"/>
          <w:iCs/>
          <w:lang w:val="es-ES_tradnl"/>
        </w:rPr>
        <w:t>a fin de evaluar el grado de cumplimiento con la política pública establecida para garantizar y promover el acceso a la justicia de las personas adultas mayores asegurando su acceso efectivo a la justicia,</w:t>
      </w:r>
      <w:r w:rsidR="00A9483D" w:rsidRPr="00500DAF">
        <w:rPr>
          <w:rFonts w:ascii="Book Antiqua" w:hAnsi="Book Antiqua"/>
          <w:i/>
          <w:iCs/>
          <w:lang w:val="es-ES_tradnl"/>
        </w:rPr>
        <w:t xml:space="preserve"> </w:t>
      </w:r>
      <w:r w:rsidR="00A9483D" w:rsidRPr="00500DAF">
        <w:rPr>
          <w:rFonts w:ascii="Book Antiqua" w:hAnsi="Book Antiqua"/>
          <w:lang w:val="es-ES_tradnl"/>
        </w:rPr>
        <w:t>conforme a lo establecido en la Ley 121-2019, según enmendada, conocida como “Carta de Derechos y la Política Pública del Gobierno a favor de los Adultos Mayores”; y para otros fines relacionados.</w:t>
      </w:r>
      <w:r w:rsidR="00FA5F29" w:rsidRPr="00500DAF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00DAF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00DA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00DA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00DA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A3DB9F8" w14:textId="121BE2B2" w:rsidR="00A9483D" w:rsidRPr="00500DAF" w:rsidRDefault="00CC4336" w:rsidP="00A9483D">
      <w:pPr>
        <w:jc w:val="both"/>
        <w:rPr>
          <w:rFonts w:ascii="Book Antiqua" w:hAnsi="Book Antiqua"/>
          <w:lang w:val="es-ES_tradnl"/>
        </w:rPr>
      </w:pPr>
      <w:r w:rsidRPr="00500DAF">
        <w:rPr>
          <w:rFonts w:ascii="Book Antiqua" w:eastAsiaTheme="minorHAnsi" w:hAnsi="Book Antiqua"/>
          <w:lang w:val="es-ES_tradnl"/>
        </w:rPr>
        <w:t xml:space="preserve">     </w:t>
      </w:r>
      <w:r w:rsidR="00DE02EB" w:rsidRPr="00500DAF">
        <w:rPr>
          <w:rFonts w:ascii="Book Antiqua" w:hAnsi="Book Antiqua"/>
          <w:lang w:val="es-ES_tradnl"/>
        </w:rPr>
        <w:t>La</w:t>
      </w:r>
      <w:r w:rsidR="00194744" w:rsidRPr="00500DAF">
        <w:rPr>
          <w:rFonts w:ascii="Book Antiqua" w:hAnsi="Book Antiqua"/>
          <w:lang w:val="es-ES_tradnl"/>
        </w:rPr>
        <w:t xml:space="preserve"> Resolución de la Cámara Núm.</w:t>
      </w:r>
      <w:r w:rsidR="000F1167" w:rsidRPr="00500DAF">
        <w:rPr>
          <w:rFonts w:ascii="Book Antiqua" w:hAnsi="Book Antiqua"/>
          <w:lang w:val="es-ES_tradnl"/>
        </w:rPr>
        <w:t xml:space="preserve"> </w:t>
      </w:r>
      <w:r w:rsidR="00A9483D" w:rsidRPr="00500DAF">
        <w:rPr>
          <w:rFonts w:ascii="Book Antiqua" w:hAnsi="Book Antiqua"/>
          <w:lang w:val="es-ES_tradnl"/>
        </w:rPr>
        <w:t xml:space="preserve">321 </w:t>
      </w:r>
      <w:r w:rsidR="00DF3E6F" w:rsidRPr="00500DAF">
        <w:rPr>
          <w:rFonts w:ascii="Book Antiqua" w:hAnsi="Book Antiqua"/>
          <w:lang w:val="es-ES_tradnl"/>
        </w:rPr>
        <w:t xml:space="preserve">tiene el propósito de </w:t>
      </w:r>
      <w:r w:rsidR="00A9483D" w:rsidRPr="00500DAF">
        <w:rPr>
          <w:rFonts w:ascii="Book Antiqua" w:hAnsi="Book Antiqua"/>
          <w:lang w:val="es-ES_tradnl"/>
        </w:rPr>
        <w:t xml:space="preserve">examinar, mediante un estudio legislativo integral, el cumplimiento de las agencias e instrumentalidades del Gobierno de Puerto Rico con la política pública de garantizar y promover el acceso a la justicia de las personas adultas mayores, según lo dispuesto en la </w:t>
      </w:r>
      <w:r w:rsidR="00A9483D" w:rsidRPr="00500DAF">
        <w:rPr>
          <w:rFonts w:ascii="Book Antiqua" w:hAnsi="Book Antiqua"/>
          <w:bCs/>
          <w:lang w:val="es-ES_tradnl"/>
        </w:rPr>
        <w:t>Ley 121-2019</w:t>
      </w:r>
      <w:r w:rsidR="00A9483D" w:rsidRPr="00500DAF">
        <w:rPr>
          <w:rFonts w:ascii="Book Antiqua" w:hAnsi="Book Antiqua"/>
          <w:lang w:val="es-ES_tradnl"/>
        </w:rPr>
        <w:t xml:space="preserve">, conocida como la </w:t>
      </w:r>
      <w:r w:rsidR="00A9483D" w:rsidRPr="00500DAF">
        <w:rPr>
          <w:rFonts w:ascii="Book Antiqua" w:hAnsi="Book Antiqua"/>
          <w:i/>
          <w:iCs/>
          <w:lang w:val="es-ES_tradnl"/>
        </w:rPr>
        <w:t>Carta de Derechos y la Política Pública del Gobierno a favor de los Adultos Mayores</w:t>
      </w:r>
      <w:r w:rsidR="00A9483D" w:rsidRPr="00500DAF">
        <w:rPr>
          <w:rFonts w:ascii="Book Antiqua" w:hAnsi="Book Antiqua"/>
          <w:lang w:val="es-ES_tradnl"/>
        </w:rPr>
        <w:t>.</w:t>
      </w:r>
    </w:p>
    <w:p w14:paraId="3DC5D896" w14:textId="77777777" w:rsidR="00A9483D" w:rsidRPr="00500DAF" w:rsidRDefault="00A9483D" w:rsidP="00A9483D">
      <w:pPr>
        <w:jc w:val="both"/>
        <w:rPr>
          <w:rFonts w:ascii="Book Antiqua" w:hAnsi="Book Antiqua"/>
          <w:lang w:val="es-ES_tradnl"/>
        </w:rPr>
      </w:pPr>
    </w:p>
    <w:p w14:paraId="7D1410EB" w14:textId="6A12BB78" w:rsidR="00A9483D" w:rsidRPr="00500DAF" w:rsidRDefault="00A9483D" w:rsidP="00A9483D">
      <w:pPr>
        <w:jc w:val="both"/>
        <w:rPr>
          <w:rFonts w:ascii="Book Antiqua" w:hAnsi="Book Antiqua"/>
          <w:lang w:val="es-ES_tradnl"/>
        </w:rPr>
      </w:pPr>
      <w:r w:rsidRPr="00500DAF">
        <w:rPr>
          <w:rFonts w:ascii="Book Antiqua" w:hAnsi="Book Antiqua"/>
          <w:lang w:val="es-ES_tradnl"/>
        </w:rPr>
        <w:lastRenderedPageBreak/>
        <w:t xml:space="preserve">     La medida persigue atender un asunto de gran relevancia social, reconociendo que las personas adultas mayores enfrentan barreras que limitan su participación plena en los procesos judiciales y administrativos, tales como limitaciones físicas, aislamiento social, dificultades económicas y tecnológicas. El análisis legislativo permitirá identificar deficiencias estructurales y las áreas de mejora necesarias para que las instituciones gubernamentales cumplan con su obligación de garantizar un acceso efectivo y equitativo a la justicia.</w:t>
      </w:r>
    </w:p>
    <w:p w14:paraId="2FF9AB37" w14:textId="77777777" w:rsidR="00A9483D" w:rsidRPr="00500DAF" w:rsidRDefault="00A9483D" w:rsidP="00A9483D">
      <w:pPr>
        <w:jc w:val="both"/>
        <w:rPr>
          <w:rFonts w:ascii="Book Antiqua" w:hAnsi="Book Antiqua"/>
          <w:lang w:val="es-ES_tradnl"/>
        </w:rPr>
      </w:pPr>
    </w:p>
    <w:p w14:paraId="05D9FF8F" w14:textId="41791616" w:rsidR="00A9483D" w:rsidRPr="00500DAF" w:rsidRDefault="00A9483D" w:rsidP="00A9483D">
      <w:pPr>
        <w:jc w:val="both"/>
        <w:rPr>
          <w:rFonts w:ascii="Book Antiqua" w:hAnsi="Book Antiqua"/>
          <w:lang w:val="es-ES_tradnl"/>
        </w:rPr>
      </w:pPr>
      <w:r w:rsidRPr="00500DAF">
        <w:rPr>
          <w:rFonts w:ascii="Book Antiqua" w:hAnsi="Book Antiqua"/>
          <w:lang w:val="es-ES_tradnl"/>
        </w:rPr>
        <w:t xml:space="preserve">     En su Exposición de Motivos, la resolución resalta que el </w:t>
      </w:r>
      <w:r w:rsidRPr="00500DAF">
        <w:rPr>
          <w:rFonts w:ascii="Book Antiqua" w:hAnsi="Book Antiqua"/>
          <w:bCs/>
          <w:lang w:val="es-ES_tradnl"/>
        </w:rPr>
        <w:t>principio de acceso a la justicia</w:t>
      </w:r>
      <w:r w:rsidRPr="00500DAF">
        <w:rPr>
          <w:rFonts w:ascii="Book Antiqua" w:hAnsi="Book Antiqua"/>
          <w:lang w:val="es-ES_tradnl"/>
        </w:rPr>
        <w:t>, reconocido por el Poder Judicial y por la política pública del Estado, implica no solo el derecho formal de acudir a los tribunales, sino la obligación de crear mecanismos reales y accesibles que permitan a todas las personas adultas mayores ejercer y defender sus derechos con dignidad y seguridad.</w:t>
      </w:r>
    </w:p>
    <w:p w14:paraId="6B2C055E" w14:textId="77777777" w:rsidR="00A9483D" w:rsidRPr="00500DAF" w:rsidRDefault="00A9483D" w:rsidP="00A9483D">
      <w:pPr>
        <w:jc w:val="both"/>
        <w:rPr>
          <w:rFonts w:ascii="Book Antiqua" w:hAnsi="Book Antiqua"/>
          <w:lang w:val="es-ES_tradnl"/>
        </w:rPr>
      </w:pPr>
    </w:p>
    <w:p w14:paraId="05E78832" w14:textId="6CA6F2CD" w:rsidR="00DF3E6F" w:rsidRPr="00500DAF" w:rsidRDefault="00A9483D" w:rsidP="00DF3E6F">
      <w:pPr>
        <w:jc w:val="both"/>
        <w:rPr>
          <w:rFonts w:ascii="Book Antiqua" w:hAnsi="Book Antiqua"/>
          <w:lang w:val="es-ES_tradnl"/>
        </w:rPr>
      </w:pPr>
      <w:r w:rsidRPr="00500DAF">
        <w:rPr>
          <w:rFonts w:ascii="Book Antiqua" w:hAnsi="Book Antiqua"/>
          <w:lang w:val="es-ES_tradnl"/>
        </w:rPr>
        <w:t xml:space="preserve">     La investigación que autoriza la medida promoverá la coordinación interagencial entre el </w:t>
      </w:r>
      <w:r w:rsidRPr="00500DAF">
        <w:rPr>
          <w:rFonts w:ascii="Book Antiqua" w:hAnsi="Book Antiqua"/>
          <w:bCs/>
          <w:lang w:val="es-ES_tradnl"/>
        </w:rPr>
        <w:t>Departamento de la Familia</w:t>
      </w:r>
      <w:r w:rsidR="00500DAF" w:rsidRPr="00500DAF">
        <w:rPr>
          <w:rFonts w:ascii="Book Antiqua" w:hAnsi="Book Antiqua"/>
          <w:lang w:val="es-ES_tradnl"/>
        </w:rPr>
        <w:t>, el Poder Judicial</w:t>
      </w:r>
      <w:r w:rsidRPr="00500DAF">
        <w:rPr>
          <w:rFonts w:ascii="Book Antiqua" w:hAnsi="Book Antiqua"/>
          <w:lang w:val="es-ES_tradnl"/>
        </w:rPr>
        <w:t xml:space="preserve"> y los municipios, conforme al mandato de la Ley 121-2019, para asegurar una política pública coherente, proactiva y efectiva en favor de este sector poblacional.</w:t>
      </w:r>
    </w:p>
    <w:p w14:paraId="3E07A231" w14:textId="74D0E7F4" w:rsidR="008B1E7C" w:rsidRPr="00500DAF" w:rsidRDefault="006150BB" w:rsidP="00500DAF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00DAF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84E870A" w14:textId="74926F43" w:rsidR="001A02E8" w:rsidRPr="00500DAF" w:rsidRDefault="001A02E8" w:rsidP="00500DAF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500DAF">
        <w:rPr>
          <w:rFonts w:ascii="Book Antiqua" w:hAnsi="Book Antiqua"/>
          <w:sz w:val="24"/>
          <w:szCs w:val="24"/>
          <w:lang w:val="es-ES_tradnl"/>
        </w:rPr>
        <w:t xml:space="preserve">     Considerando los elementos analizados, esta Comisión concluye que la medida examinada responde a un interés legislativo legítimo y debidamente fundamentado. En consecuencia, se recomienda la aprobación de l</w:t>
      </w:r>
      <w:r w:rsidR="00500DAF" w:rsidRPr="00500DAF">
        <w:rPr>
          <w:rFonts w:ascii="Book Antiqua" w:hAnsi="Book Antiqua"/>
          <w:sz w:val="24"/>
          <w:szCs w:val="24"/>
          <w:lang w:val="es-ES_tradnl"/>
        </w:rPr>
        <w:t>a Resolución de la Cámara 321</w:t>
      </w:r>
      <w:r w:rsidRPr="00500DAF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500DAF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500DAF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500DAF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500DAF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500DAF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500DA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00DAF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00DA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00DA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00DAF">
        <w:rPr>
          <w:rFonts w:ascii="Book Antiqua" w:hAnsi="Book Antiqua" w:cs="Tahoma"/>
          <w:lang w:val="es-ES_tradnl"/>
        </w:rPr>
        <w:br/>
        <w:t>Presidente</w:t>
      </w:r>
      <w:r w:rsidRPr="00500DA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00DA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A9483D" w:rsidRDefault="00A9483D" w:rsidP="00614C2C">
      <w:r>
        <w:separator/>
      </w:r>
    </w:p>
  </w:endnote>
  <w:endnote w:type="continuationSeparator" w:id="0">
    <w:p w14:paraId="483CD127" w14:textId="77777777" w:rsidR="00A9483D" w:rsidRDefault="00A9483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A9483D" w:rsidRDefault="00A948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DA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A9483D" w:rsidRDefault="00A948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A9483D" w:rsidRDefault="00A9483D" w:rsidP="00614C2C">
      <w:r>
        <w:separator/>
      </w:r>
    </w:p>
  </w:footnote>
  <w:footnote w:type="continuationSeparator" w:id="0">
    <w:p w14:paraId="6D8415B7" w14:textId="77777777" w:rsidR="00A9483D" w:rsidRDefault="00A9483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4398738">
    <w:abstractNumId w:val="6"/>
  </w:num>
  <w:num w:numId="2" w16cid:durableId="131489915">
    <w:abstractNumId w:val="12"/>
  </w:num>
  <w:num w:numId="3" w16cid:durableId="1645352735">
    <w:abstractNumId w:val="3"/>
  </w:num>
  <w:num w:numId="4" w16cid:durableId="786462734">
    <w:abstractNumId w:val="1"/>
  </w:num>
  <w:num w:numId="5" w16cid:durableId="1174033939">
    <w:abstractNumId w:val="7"/>
  </w:num>
  <w:num w:numId="6" w16cid:durableId="388529992">
    <w:abstractNumId w:val="4"/>
  </w:num>
  <w:num w:numId="7" w16cid:durableId="1421835602">
    <w:abstractNumId w:val="5"/>
  </w:num>
  <w:num w:numId="8" w16cid:durableId="338823444">
    <w:abstractNumId w:val="8"/>
  </w:num>
  <w:num w:numId="9" w16cid:durableId="1273173715">
    <w:abstractNumId w:val="9"/>
  </w:num>
  <w:num w:numId="10" w16cid:durableId="2039427532">
    <w:abstractNumId w:val="0"/>
  </w:num>
  <w:num w:numId="11" w16cid:durableId="1875269779">
    <w:abstractNumId w:val="2"/>
  </w:num>
  <w:num w:numId="12" w16cid:durableId="2012442033">
    <w:abstractNumId w:val="11"/>
  </w:num>
  <w:num w:numId="13" w16cid:durableId="29047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4F2CCF"/>
    <w:rsid w:val="00500DAF"/>
    <w:rsid w:val="00506C85"/>
    <w:rsid w:val="00525E8D"/>
    <w:rsid w:val="0053434B"/>
    <w:rsid w:val="00580E90"/>
    <w:rsid w:val="00581E97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9483D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7C18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751E7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CAB38D64-E8E8-49DF-95A4-F3052AC71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513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Miguel A. Candelario Piñeiro</cp:lastModifiedBy>
  <cp:revision>4</cp:revision>
  <cp:lastPrinted>2025-02-17T12:55:00Z</cp:lastPrinted>
  <dcterms:created xsi:type="dcterms:W3CDTF">2025-10-05T23:49:00Z</dcterms:created>
  <dcterms:modified xsi:type="dcterms:W3CDTF">2025-10-06T13:59:00Z</dcterms:modified>
</cp:coreProperties>
</file>