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350B" w14:textId="77777777" w:rsidR="002847D1" w:rsidRPr="00683AD9" w:rsidRDefault="002847D1" w:rsidP="002847D1">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683AD9" w:rsidRDefault="002847D1" w:rsidP="002847D1">
      <w:pPr>
        <w:jc w:val="center"/>
        <w:rPr>
          <w:rFonts w:ascii="Book Antiqua" w:eastAsia="Times New Roman" w:hAnsi="Book Antiqua"/>
          <w:sz w:val="28"/>
          <w:szCs w:val="28"/>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5EA2CE58"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660E08">
        <w:rPr>
          <w:rFonts w:ascii="Book Antiqua" w:eastAsia="Times New Roman" w:hAnsi="Book Antiqua"/>
          <w:b/>
          <w:sz w:val="52"/>
          <w:szCs w:val="52"/>
          <w:lang w:val="es-ES_tradnl"/>
        </w:rPr>
        <w:t>327</w:t>
      </w:r>
    </w:p>
    <w:p w14:paraId="2D980FD2" w14:textId="77777777" w:rsidR="002847D1" w:rsidRPr="00683AD9" w:rsidRDefault="002847D1" w:rsidP="002847D1">
      <w:pPr>
        <w:jc w:val="center"/>
        <w:rPr>
          <w:rFonts w:ascii="Book Antiqua" w:eastAsia="Times New Roman" w:hAnsi="Book Antiqua"/>
          <w:szCs w:val="24"/>
          <w:lang w:val="es-ES_tradnl"/>
        </w:rPr>
      </w:pPr>
    </w:p>
    <w:p w14:paraId="4A75E6B5" w14:textId="185D756F" w:rsidR="002847D1" w:rsidRDefault="00951434" w:rsidP="002847D1">
      <w:pPr>
        <w:jc w:val="center"/>
        <w:rPr>
          <w:rFonts w:ascii="Book Antiqua" w:eastAsia="Times New Roman" w:hAnsi="Book Antiqua"/>
          <w:lang w:val="es-ES_tradnl"/>
        </w:rPr>
      </w:pPr>
      <w:r>
        <w:rPr>
          <w:rFonts w:ascii="Book Antiqua" w:eastAsia="Times New Roman" w:hAnsi="Book Antiqua"/>
          <w:lang w:val="es-ES_tradnl"/>
        </w:rPr>
        <w:t>12 DE MAYO DE 2025</w:t>
      </w:r>
    </w:p>
    <w:p w14:paraId="6F5DE205" w14:textId="77777777" w:rsidR="00951434" w:rsidRPr="00683AD9" w:rsidRDefault="00951434" w:rsidP="002847D1">
      <w:pPr>
        <w:jc w:val="center"/>
        <w:rPr>
          <w:rFonts w:ascii="Book Antiqua" w:eastAsia="Times New Roman" w:hAnsi="Book Antiqua"/>
          <w:lang w:val="es-ES_tradnl"/>
        </w:rPr>
      </w:pPr>
    </w:p>
    <w:p w14:paraId="28209D19" w14:textId="20F4AE02" w:rsidR="002847D1" w:rsidRPr="00D71CCF" w:rsidRDefault="002847D1" w:rsidP="002847D1">
      <w:pPr>
        <w:jc w:val="center"/>
        <w:rPr>
          <w:rFonts w:ascii="Book Antiqua" w:eastAsia="Times New Roman" w:hAnsi="Book Antiqua"/>
          <w:i/>
          <w:szCs w:val="24"/>
          <w:lang w:val="es-ES_tradnl"/>
        </w:rPr>
      </w:pPr>
      <w:r w:rsidRPr="00D71CCF">
        <w:rPr>
          <w:rFonts w:ascii="Book Antiqua" w:eastAsia="Times New Roman" w:hAnsi="Book Antiqua"/>
          <w:szCs w:val="24"/>
          <w:lang w:val="es-ES_tradnl"/>
        </w:rPr>
        <w:t xml:space="preserve">Presentada por </w:t>
      </w:r>
      <w:r w:rsidR="000E2FE5">
        <w:rPr>
          <w:rFonts w:ascii="Book Antiqua" w:eastAsia="Times New Roman" w:hAnsi="Book Antiqua"/>
          <w:szCs w:val="24"/>
          <w:lang w:val="es-ES_tradnl"/>
        </w:rPr>
        <w:t>el</w:t>
      </w:r>
      <w:r w:rsidRPr="00D71CCF">
        <w:rPr>
          <w:rFonts w:ascii="Book Antiqua" w:eastAsia="Times New Roman" w:hAnsi="Book Antiqua"/>
          <w:szCs w:val="24"/>
          <w:lang w:val="es-ES_tradnl"/>
        </w:rPr>
        <w:t xml:space="preserve"> representante </w:t>
      </w:r>
      <w:r w:rsidRPr="00D71CCF">
        <w:rPr>
          <w:rFonts w:ascii="Book Antiqua" w:eastAsia="Times New Roman" w:hAnsi="Book Antiqua"/>
          <w:i/>
          <w:szCs w:val="24"/>
          <w:lang w:val="es-ES_tradnl"/>
        </w:rPr>
        <w:t xml:space="preserve">Rodríguez Torres </w:t>
      </w:r>
    </w:p>
    <w:p w14:paraId="06379EC7" w14:textId="77777777" w:rsidR="002847D1" w:rsidRPr="00D71CCF" w:rsidRDefault="002847D1" w:rsidP="002847D1">
      <w:pPr>
        <w:jc w:val="center"/>
        <w:rPr>
          <w:rFonts w:ascii="Book Antiqua" w:eastAsia="Times New Roman" w:hAnsi="Book Antiqua"/>
          <w:i/>
          <w:szCs w:val="24"/>
          <w:lang w:val="es-ES_tradnl"/>
        </w:rPr>
      </w:pPr>
    </w:p>
    <w:p w14:paraId="1ED2F1D7" w14:textId="1F8D78AF" w:rsidR="002847D1" w:rsidRPr="00D71CCF" w:rsidRDefault="002847D1" w:rsidP="002847D1">
      <w:pPr>
        <w:jc w:val="center"/>
        <w:rPr>
          <w:rFonts w:ascii="Book Antiqua" w:eastAsia="Times New Roman" w:hAnsi="Book Antiqua"/>
          <w:iCs/>
          <w:szCs w:val="24"/>
          <w:lang w:val="es-ES_tradnl"/>
        </w:rPr>
      </w:pPr>
      <w:r w:rsidRPr="00D71CCF">
        <w:rPr>
          <w:rFonts w:ascii="Book Antiqua" w:eastAsia="Times New Roman" w:hAnsi="Book Antiqua"/>
          <w:iCs/>
          <w:szCs w:val="24"/>
          <w:lang w:val="es-ES_tradnl"/>
        </w:rPr>
        <w:t>Referid</w:t>
      </w:r>
      <w:r w:rsidR="003E22B3">
        <w:rPr>
          <w:rFonts w:ascii="Book Antiqua" w:eastAsia="Times New Roman" w:hAnsi="Book Antiqua"/>
          <w:iCs/>
          <w:szCs w:val="24"/>
          <w:lang w:val="es-ES_tradnl"/>
        </w:rPr>
        <w:t>a</w:t>
      </w:r>
      <w:r w:rsidRPr="00D71CCF">
        <w:rPr>
          <w:rFonts w:ascii="Book Antiqua" w:eastAsia="Times New Roman" w:hAnsi="Book Antiqua"/>
          <w:iCs/>
          <w:szCs w:val="24"/>
          <w:lang w:val="es-ES_tradnl"/>
        </w:rPr>
        <w:t xml:space="preserve"> a la Comisión de</w:t>
      </w:r>
      <w:r w:rsidR="000E2FE5">
        <w:rPr>
          <w:rFonts w:ascii="Book Antiqua" w:eastAsia="Times New Roman" w:hAnsi="Book Antiqua"/>
          <w:iCs/>
          <w:szCs w:val="24"/>
          <w:lang w:val="es-ES_tradnl"/>
        </w:rPr>
        <w:t xml:space="preserve"> Asuntos Internos</w:t>
      </w:r>
    </w:p>
    <w:p w14:paraId="1D948BC4" w14:textId="77777777" w:rsidR="002847D1" w:rsidRPr="00D71CCF" w:rsidRDefault="002847D1" w:rsidP="002847D1">
      <w:pPr>
        <w:rPr>
          <w:rFonts w:ascii="Book Antiqua" w:eastAsia="Times New Roman" w:hAnsi="Book Antiqua"/>
          <w:szCs w:val="24"/>
          <w:lang w:val="es-ES_tradnl"/>
        </w:rPr>
      </w:pPr>
    </w:p>
    <w:p w14:paraId="66C29CB1" w14:textId="77777777" w:rsidR="002847D1" w:rsidRPr="000E2FE5" w:rsidRDefault="002847D1" w:rsidP="00253AD9">
      <w:pPr>
        <w:spacing w:line="480" w:lineRule="auto"/>
        <w:jc w:val="center"/>
        <w:rPr>
          <w:rFonts w:ascii="Book Antiqua" w:eastAsia="Times New Roman" w:hAnsi="Book Antiqua"/>
          <w:b/>
          <w:sz w:val="28"/>
          <w:szCs w:val="28"/>
          <w:lang w:val="es-ES_tradnl"/>
        </w:rPr>
      </w:pPr>
      <w:r w:rsidRPr="000E2FE5">
        <w:rPr>
          <w:rFonts w:ascii="Book Antiqua" w:eastAsia="Times New Roman" w:hAnsi="Book Antiqua"/>
          <w:b/>
          <w:sz w:val="28"/>
          <w:szCs w:val="28"/>
          <w:lang w:val="es-ES_tradnl"/>
        </w:rPr>
        <w:t>RESOLUCIÓN</w:t>
      </w:r>
    </w:p>
    <w:p w14:paraId="2775067D" w14:textId="0014C432" w:rsidR="002847D1" w:rsidRPr="00D71CCF" w:rsidRDefault="00951434" w:rsidP="000E2FE5">
      <w:pPr>
        <w:ind w:left="720" w:hanging="720"/>
        <w:jc w:val="both"/>
        <w:rPr>
          <w:rFonts w:ascii="Book Antiqua" w:hAnsi="Book Antiqua" w:cs="Arial"/>
          <w:szCs w:val="24"/>
          <w:lang w:val="es-ES_tradnl"/>
        </w:rPr>
      </w:pPr>
      <w:r w:rsidRPr="00AF4018">
        <w:rPr>
          <w:rFonts w:ascii="Book Antiqua" w:hAnsi="Book Antiqua"/>
          <w:lang w:val="es-ES_tradnl"/>
        </w:rPr>
        <w:t xml:space="preserve">Para </w:t>
      </w:r>
      <w:r w:rsidR="008D1E11" w:rsidRPr="00D71CCF">
        <w:rPr>
          <w:rFonts w:ascii="Book Antiqua" w:hAnsi="Book Antiqua" w:cs="Arial"/>
          <w:szCs w:val="24"/>
          <w:lang w:val="es-ES_tradnl"/>
        </w:rPr>
        <w:t xml:space="preserve">ordenar una investigación exhaustiva sobre los mecanismos de transición </w:t>
      </w:r>
      <w:proofErr w:type="spellStart"/>
      <w:r w:rsidR="008D1E11" w:rsidRPr="00D71CCF">
        <w:rPr>
          <w:rFonts w:ascii="Book Antiqua" w:hAnsi="Book Antiqua" w:cs="Arial"/>
          <w:szCs w:val="24"/>
          <w:lang w:val="es-ES_tradnl"/>
        </w:rPr>
        <w:t>post-institucional</w:t>
      </w:r>
      <w:proofErr w:type="spellEnd"/>
      <w:r w:rsidR="008D1E11" w:rsidRPr="00D71CCF">
        <w:rPr>
          <w:rFonts w:ascii="Book Antiqua" w:hAnsi="Book Antiqua" w:cs="Arial"/>
          <w:szCs w:val="24"/>
          <w:lang w:val="es-ES_tradnl"/>
        </w:rPr>
        <w:t xml:space="preserve"> dirigidos a jóvenes egresados de programas institucionales o residenciales, con el fin de identificar deficiencias, recursos disponibles y oportunidades de colaboración entre agencias pertinentes.</w:t>
      </w:r>
    </w:p>
    <w:p w14:paraId="1D601FCC" w14:textId="77777777" w:rsidR="008D1E11" w:rsidRPr="00D71CCF" w:rsidRDefault="008D1E11" w:rsidP="000E2FE5">
      <w:pPr>
        <w:ind w:left="720" w:hanging="720"/>
        <w:rPr>
          <w:rFonts w:ascii="Book Antiqua" w:hAnsi="Book Antiqua" w:cs="Arial"/>
          <w:szCs w:val="24"/>
          <w:lang w:val="es-ES_tradnl"/>
        </w:rPr>
      </w:pPr>
    </w:p>
    <w:p w14:paraId="477D263F" w14:textId="10A418BD" w:rsidR="008D1E11" w:rsidRDefault="008D1E11" w:rsidP="000E2FE5">
      <w:pPr>
        <w:ind w:firstLine="360"/>
        <w:jc w:val="center"/>
        <w:rPr>
          <w:rFonts w:ascii="Book Antiqua" w:hAnsi="Book Antiqua" w:cs="Arial"/>
          <w:szCs w:val="24"/>
          <w:lang w:val="es-ES_tradnl"/>
        </w:rPr>
      </w:pPr>
      <w:r w:rsidRPr="00D71CCF">
        <w:rPr>
          <w:rFonts w:ascii="Book Antiqua" w:hAnsi="Book Antiqua" w:cs="Arial"/>
          <w:szCs w:val="24"/>
          <w:lang w:val="es-ES_tradnl"/>
        </w:rPr>
        <w:t>EXPOSICIÓN DE MOTIVOS</w:t>
      </w:r>
    </w:p>
    <w:p w14:paraId="2BE15673" w14:textId="77777777" w:rsidR="000E2FE5" w:rsidRPr="00D71CCF" w:rsidRDefault="000E2FE5" w:rsidP="000E2FE5">
      <w:pPr>
        <w:ind w:firstLine="360"/>
        <w:jc w:val="center"/>
        <w:rPr>
          <w:rFonts w:ascii="Book Antiqua" w:hAnsi="Book Antiqua" w:cs="Arial"/>
          <w:szCs w:val="24"/>
          <w:lang w:val="es-ES_tradnl"/>
        </w:rPr>
      </w:pPr>
    </w:p>
    <w:p w14:paraId="6E52C82B" w14:textId="0BACC0A4" w:rsidR="002019D7" w:rsidRDefault="002019D7" w:rsidP="000E2FE5">
      <w:pPr>
        <w:pStyle w:val="Textoindependiente"/>
        <w:spacing w:before="0"/>
        <w:ind w:firstLine="720"/>
        <w:rPr>
          <w:rFonts w:ascii="Book Antiqua" w:hAnsi="Book Antiqua" w:cs="Arial"/>
          <w:lang w:val="es-PR"/>
        </w:rPr>
      </w:pPr>
      <w:r w:rsidRPr="002019D7">
        <w:rPr>
          <w:rFonts w:ascii="Book Antiqua" w:hAnsi="Book Antiqua" w:cs="Arial"/>
          <w:lang w:val="es-PR"/>
        </w:rPr>
        <w:t xml:space="preserve">Uno de los mayores desafíos que enfrentan los jóvenes al egresar de instituciones residenciales bajo la custodia del Estado es su reintegración efectiva y sostenida en la comunidad. Esta etapa de transición </w:t>
      </w:r>
      <w:proofErr w:type="spellStart"/>
      <w:r w:rsidRPr="002019D7">
        <w:rPr>
          <w:rFonts w:ascii="Book Antiqua" w:hAnsi="Book Antiqua" w:cs="Arial"/>
          <w:lang w:val="es-PR"/>
        </w:rPr>
        <w:t>post-institucional</w:t>
      </w:r>
      <w:proofErr w:type="spellEnd"/>
      <w:r w:rsidRPr="002019D7">
        <w:rPr>
          <w:rFonts w:ascii="Book Antiqua" w:hAnsi="Book Antiqua" w:cs="Arial"/>
          <w:lang w:val="es-PR"/>
        </w:rPr>
        <w:t xml:space="preserve"> es crítica para garantizar su desarrollo integral, acceso a derechos fundamentales, y oportunidades en áreas como empleo, educación, vivienda, salud mental y servicios de apoyo.</w:t>
      </w:r>
    </w:p>
    <w:p w14:paraId="245CEE8A" w14:textId="77777777" w:rsidR="002019D7" w:rsidRPr="002019D7" w:rsidRDefault="002019D7" w:rsidP="000E2FE5">
      <w:pPr>
        <w:pStyle w:val="Textoindependiente"/>
        <w:spacing w:before="0"/>
        <w:ind w:firstLine="720"/>
        <w:rPr>
          <w:rFonts w:ascii="Book Antiqua" w:hAnsi="Book Antiqua" w:cs="Arial"/>
          <w:lang w:val="es-PR"/>
        </w:rPr>
      </w:pPr>
    </w:p>
    <w:p w14:paraId="4941DE78" w14:textId="5CFBFD2C" w:rsidR="002019D7" w:rsidRDefault="002019D7" w:rsidP="000E2FE5">
      <w:pPr>
        <w:pStyle w:val="Textoindependiente"/>
        <w:spacing w:before="0"/>
        <w:ind w:firstLine="720"/>
        <w:rPr>
          <w:rFonts w:ascii="Book Antiqua" w:hAnsi="Book Antiqua" w:cs="Arial"/>
          <w:lang w:val="es-PR"/>
        </w:rPr>
      </w:pPr>
      <w:r w:rsidRPr="002019D7">
        <w:rPr>
          <w:rFonts w:ascii="Book Antiqua" w:hAnsi="Book Antiqua" w:cs="Arial"/>
          <w:lang w:val="es-PR"/>
        </w:rPr>
        <w:t xml:space="preserve">Como parte de la investigación legislativa realizada por la Comisión de Asuntos de la Juventud de la Cámara de Representantes, al amparo de la Resolución de la Cámara 044, se llevaron a cabo vistas oculares en los Centros de Tratamiento Social de Ponce y Villalba. Durante estas visitas, se celebraron mesas redondas que permitieron recoger insumos directos de funcionarios, profesionales y personal de apoyo. A raíz de estos trabajos, surgió información que evidencia que los mecanismos de coordinación </w:t>
      </w:r>
      <w:proofErr w:type="spellStart"/>
      <w:r w:rsidRPr="002019D7">
        <w:rPr>
          <w:rFonts w:ascii="Book Antiqua" w:hAnsi="Book Antiqua" w:cs="Arial"/>
          <w:lang w:val="es-PR"/>
        </w:rPr>
        <w:t>interagencial</w:t>
      </w:r>
      <w:proofErr w:type="spellEnd"/>
      <w:r w:rsidRPr="002019D7">
        <w:rPr>
          <w:rFonts w:ascii="Book Antiqua" w:hAnsi="Book Antiqua" w:cs="Arial"/>
          <w:lang w:val="es-PR"/>
        </w:rPr>
        <w:t xml:space="preserve"> dirigidos a apoyar los procesos de transición de jóvenes bajo custodia no están siendo totalmente efectivos.</w:t>
      </w:r>
    </w:p>
    <w:p w14:paraId="2884C8BF" w14:textId="77777777" w:rsidR="002019D7" w:rsidRPr="002019D7" w:rsidRDefault="002019D7" w:rsidP="000E2FE5">
      <w:pPr>
        <w:pStyle w:val="Textoindependiente"/>
        <w:spacing w:before="0"/>
        <w:ind w:firstLine="720"/>
        <w:rPr>
          <w:rFonts w:ascii="Book Antiqua" w:hAnsi="Book Antiqua" w:cs="Arial"/>
          <w:lang w:val="es-PR"/>
        </w:rPr>
      </w:pPr>
    </w:p>
    <w:p w14:paraId="52410F56" w14:textId="7D66FECF" w:rsidR="002019D7" w:rsidRDefault="002019D7" w:rsidP="000E2FE5">
      <w:pPr>
        <w:pStyle w:val="Textoindependiente"/>
        <w:spacing w:before="0"/>
        <w:ind w:firstLine="720"/>
        <w:rPr>
          <w:rFonts w:ascii="Book Antiqua" w:hAnsi="Book Antiqua" w:cs="Arial"/>
          <w:lang w:val="es-PR"/>
        </w:rPr>
      </w:pPr>
      <w:r w:rsidRPr="002019D7">
        <w:rPr>
          <w:rFonts w:ascii="Book Antiqua" w:hAnsi="Book Antiqua" w:cs="Arial"/>
          <w:lang w:val="es-PR"/>
        </w:rPr>
        <w:t xml:space="preserve">En muchas ocasiones, los jóvenes egresan de estas instituciones sin contar con redes de apoyo, seguimiento adecuado o las herramientas necesarias para insertarse </w:t>
      </w:r>
      <w:r w:rsidRPr="002019D7">
        <w:rPr>
          <w:rFonts w:ascii="Book Antiqua" w:hAnsi="Book Antiqua" w:cs="Arial"/>
          <w:lang w:val="es-PR"/>
        </w:rPr>
        <w:lastRenderedPageBreak/>
        <w:t>exitosamente en la vida comunitaria. Esta situación aumenta significativamente los riesgos de recaídas, desempleo, violencia, institucionalización recurrente o falta de hogar. El problema se acentúa en poblaciones particularmente vulnerables como jóvenes bajo la custodia del Departamento de la Familia, egresados de programas de justicia juvenil o jóvenes adultos sin vínculos familiares sólidos.</w:t>
      </w:r>
    </w:p>
    <w:p w14:paraId="2A74DEB9" w14:textId="77777777" w:rsidR="002019D7" w:rsidRPr="002019D7" w:rsidRDefault="002019D7" w:rsidP="000E2FE5">
      <w:pPr>
        <w:pStyle w:val="Textoindependiente"/>
        <w:spacing w:before="0"/>
        <w:ind w:firstLine="720"/>
        <w:rPr>
          <w:rFonts w:ascii="Book Antiqua" w:hAnsi="Book Antiqua" w:cs="Arial"/>
          <w:lang w:val="es-PR"/>
        </w:rPr>
      </w:pPr>
    </w:p>
    <w:p w14:paraId="16665400" w14:textId="1EC5A909" w:rsidR="002019D7" w:rsidRDefault="002019D7" w:rsidP="000E2FE5">
      <w:pPr>
        <w:pStyle w:val="Textoindependiente"/>
        <w:spacing w:before="0"/>
        <w:ind w:firstLine="720"/>
        <w:rPr>
          <w:rFonts w:ascii="Book Antiqua" w:hAnsi="Book Antiqua" w:cs="Arial"/>
          <w:lang w:val="es-PR"/>
        </w:rPr>
      </w:pPr>
      <w:r w:rsidRPr="002019D7">
        <w:rPr>
          <w:rFonts w:ascii="Book Antiqua" w:hAnsi="Book Antiqua" w:cs="Arial"/>
          <w:lang w:val="es-PR"/>
        </w:rPr>
        <w:t>Ante este panorama, el Estado tiene el deber indelegable de velar por la continuidad y sostenibilidad de los servicios más allá de la vida institucional. Ello requiere examinar con rigurosidad los marcos normativos vigentes, las prácticas administrativas actuales, la disponibilidad de recursos humanos y presupuestarios, así como fortalecer las alianzas con organizaciones sin fines de lucro y comunidades de base.</w:t>
      </w:r>
    </w:p>
    <w:p w14:paraId="6C44FF1D" w14:textId="77777777" w:rsidR="002019D7" w:rsidRPr="002019D7" w:rsidRDefault="002019D7" w:rsidP="000E2FE5">
      <w:pPr>
        <w:pStyle w:val="Textoindependiente"/>
        <w:spacing w:before="0"/>
        <w:ind w:firstLine="720"/>
        <w:rPr>
          <w:rFonts w:ascii="Book Antiqua" w:hAnsi="Book Antiqua" w:cs="Arial"/>
          <w:lang w:val="es-PR"/>
        </w:rPr>
      </w:pPr>
    </w:p>
    <w:p w14:paraId="12D35414" w14:textId="5ACF7130" w:rsidR="002847D1" w:rsidRPr="00D71CCF" w:rsidRDefault="002019D7" w:rsidP="000E2FE5">
      <w:pPr>
        <w:pStyle w:val="Textoindependiente"/>
        <w:spacing w:before="0"/>
        <w:ind w:firstLine="720"/>
        <w:rPr>
          <w:rFonts w:ascii="Book Antiqua" w:hAnsi="Book Antiqua" w:cs="Arial"/>
          <w:lang w:val="es-PR"/>
        </w:rPr>
      </w:pPr>
      <w:r w:rsidRPr="002019D7">
        <w:rPr>
          <w:rFonts w:ascii="Book Antiqua" w:hAnsi="Book Antiqua" w:cs="Arial"/>
          <w:lang w:val="es-PR"/>
        </w:rPr>
        <w:t xml:space="preserve">Por tanto, esta Resolución busca ordenar una investigación legislativa profunda sobre los mecanismos de transición </w:t>
      </w:r>
      <w:proofErr w:type="spellStart"/>
      <w:r w:rsidRPr="002019D7">
        <w:rPr>
          <w:rFonts w:ascii="Book Antiqua" w:hAnsi="Book Antiqua" w:cs="Arial"/>
          <w:lang w:val="es-PR"/>
        </w:rPr>
        <w:t>post-institucional</w:t>
      </w:r>
      <w:proofErr w:type="spellEnd"/>
      <w:r w:rsidRPr="002019D7">
        <w:rPr>
          <w:rFonts w:ascii="Book Antiqua" w:hAnsi="Book Antiqua" w:cs="Arial"/>
          <w:lang w:val="es-PR"/>
        </w:rPr>
        <w:t>, con el objetivo de emitir recomendaciones concretas para mejorar la respuesta gubernamental y garantizar el bienestar, la autonomía y el desarrollo pleno de esta población juvenil.</w:t>
      </w:r>
    </w:p>
    <w:p w14:paraId="7F77442F" w14:textId="77777777" w:rsidR="008D1E11" w:rsidRPr="00D71CCF" w:rsidRDefault="008D1E11" w:rsidP="000E2FE5">
      <w:pPr>
        <w:pStyle w:val="Textoindependiente"/>
        <w:spacing w:before="0"/>
        <w:ind w:firstLine="720"/>
        <w:rPr>
          <w:rFonts w:ascii="Book Antiqua" w:hAnsi="Book Antiqua" w:cs="Arial"/>
          <w:lang w:val="es-PR"/>
        </w:rPr>
      </w:pPr>
    </w:p>
    <w:p w14:paraId="65AC10CD" w14:textId="77777777" w:rsidR="002847D1" w:rsidRDefault="002847D1" w:rsidP="000E2FE5">
      <w:pPr>
        <w:rPr>
          <w:rFonts w:ascii="Book Antiqua" w:hAnsi="Book Antiqua" w:cs="Arial"/>
          <w:i/>
          <w:szCs w:val="24"/>
          <w:lang w:val="es-ES_tradnl"/>
        </w:rPr>
      </w:pPr>
      <w:r w:rsidRPr="00D71CCF">
        <w:rPr>
          <w:rFonts w:ascii="Book Antiqua" w:hAnsi="Book Antiqua" w:cs="Arial"/>
          <w:i/>
          <w:szCs w:val="24"/>
          <w:lang w:val="es-ES_tradnl"/>
        </w:rPr>
        <w:t>RESUÉLVESE POR LA CÁMARA DE REPRESENTANTES DE PUERTO RIC</w:t>
      </w:r>
      <w:r w:rsidR="008D1E11" w:rsidRPr="00D71CCF">
        <w:rPr>
          <w:rFonts w:ascii="Book Antiqua" w:hAnsi="Book Antiqua" w:cs="Arial"/>
          <w:i/>
          <w:szCs w:val="24"/>
          <w:lang w:val="es-ES_tradnl"/>
        </w:rPr>
        <w:t>O:</w:t>
      </w:r>
    </w:p>
    <w:p w14:paraId="7680053E" w14:textId="77777777" w:rsidR="000E2FE5" w:rsidRDefault="000E2FE5" w:rsidP="000E2FE5">
      <w:pPr>
        <w:rPr>
          <w:rFonts w:ascii="Book Antiqua" w:hAnsi="Book Antiqua" w:cs="Arial"/>
          <w:i/>
          <w:szCs w:val="24"/>
          <w:lang w:val="es-ES_tradnl"/>
        </w:rPr>
      </w:pPr>
    </w:p>
    <w:p w14:paraId="3D6226E3" w14:textId="57A9E543" w:rsidR="000E2FE5" w:rsidRPr="00D71CCF" w:rsidRDefault="000E2FE5" w:rsidP="000E2FE5">
      <w:pPr>
        <w:rPr>
          <w:rFonts w:ascii="Book Antiqua" w:hAnsi="Book Antiqua" w:cs="Arial"/>
          <w:i/>
          <w:szCs w:val="24"/>
          <w:lang w:val="es-ES_tradnl"/>
        </w:rPr>
        <w:sectPr w:rsidR="000E2FE5" w:rsidRPr="00D71CCF" w:rsidSect="002847D1">
          <w:headerReference w:type="default" r:id="rId7"/>
          <w:pgSz w:w="12240" w:h="15840" w:code="1"/>
          <w:pgMar w:top="1440" w:right="1440" w:bottom="1440" w:left="1440" w:header="720" w:footer="720" w:gutter="0"/>
          <w:cols w:space="720"/>
          <w:titlePg/>
        </w:sectPr>
      </w:pPr>
    </w:p>
    <w:p w14:paraId="0A62E46C" w14:textId="0AE79FEA" w:rsidR="008D1E11" w:rsidRPr="00D71CCF" w:rsidRDefault="008D1E11" w:rsidP="000E2FE5">
      <w:pPr>
        <w:spacing w:line="480" w:lineRule="auto"/>
        <w:jc w:val="both"/>
        <w:rPr>
          <w:rFonts w:ascii="Book Antiqua" w:hAnsi="Book Antiqua" w:cs="Arial"/>
          <w:szCs w:val="24"/>
          <w:lang w:val="es-PR"/>
        </w:rPr>
      </w:pPr>
      <w:r w:rsidRPr="00D71CCF">
        <w:rPr>
          <w:rFonts w:ascii="Book Antiqua" w:hAnsi="Book Antiqua" w:cs="Arial"/>
          <w:szCs w:val="24"/>
          <w:lang w:val="es-PR"/>
        </w:rPr>
        <w:t xml:space="preserve">Sección 1.- </w:t>
      </w:r>
      <w:r w:rsidR="00DE37E0" w:rsidRPr="00DE37E0">
        <w:rPr>
          <w:rFonts w:ascii="Book Antiqua" w:hAnsi="Book Antiqua" w:cs="Arial"/>
          <w:szCs w:val="24"/>
          <w:lang w:val="es-PR"/>
        </w:rPr>
        <w:t xml:space="preserve">Se ordena realizar una investigación exhaustiva sobre los mecanismos, estructuras, prácticas administrativas y programas dirigidos a apoyar la transición </w:t>
      </w:r>
      <w:proofErr w:type="spellStart"/>
      <w:r w:rsidR="00DE37E0" w:rsidRPr="00DE37E0">
        <w:rPr>
          <w:rFonts w:ascii="Book Antiqua" w:hAnsi="Book Antiqua" w:cs="Arial"/>
          <w:szCs w:val="24"/>
          <w:lang w:val="es-PR"/>
        </w:rPr>
        <w:t>post-institucional</w:t>
      </w:r>
      <w:proofErr w:type="spellEnd"/>
      <w:r w:rsidR="00DE37E0" w:rsidRPr="00DE37E0">
        <w:rPr>
          <w:rFonts w:ascii="Book Antiqua" w:hAnsi="Book Antiqua" w:cs="Arial"/>
          <w:szCs w:val="24"/>
          <w:lang w:val="es-PR"/>
        </w:rPr>
        <w:t xml:space="preserve"> de jóvenes egresados de instituciones bajo la custodia del Estado, incluyendo aquellas bajo la jurisdicción del Departamento de la Familia, el Departamento de Corrección y Rehabilitación, y cualquier otra dependencia gubernamental con responsabilidad directa sobre esta población. La investigación atenderá el cumplimiento de estos mecanismos, su efectividad, los marcos normativos vigentes, la disponibilidad de recursos, y las alianzas </w:t>
      </w:r>
      <w:proofErr w:type="spellStart"/>
      <w:r w:rsidR="00DE37E0" w:rsidRPr="00DE37E0">
        <w:rPr>
          <w:rFonts w:ascii="Book Antiqua" w:hAnsi="Book Antiqua" w:cs="Arial"/>
          <w:szCs w:val="24"/>
          <w:lang w:val="es-PR"/>
        </w:rPr>
        <w:t>interagenciales</w:t>
      </w:r>
      <w:proofErr w:type="spellEnd"/>
      <w:r w:rsidR="00DE37E0" w:rsidRPr="00DE37E0">
        <w:rPr>
          <w:rFonts w:ascii="Book Antiqua" w:hAnsi="Book Antiqua" w:cs="Arial"/>
          <w:szCs w:val="24"/>
          <w:lang w:val="es-PR"/>
        </w:rPr>
        <w:t xml:space="preserve"> y comunitarias existentes, con el objetivo de emitir recomendaciones concretas que garanticen la continuidad de servicios, la inserción comunitaria y el desarrollo integral de esta juventud</w:t>
      </w:r>
      <w:r w:rsidRPr="00D71CCF">
        <w:rPr>
          <w:rFonts w:ascii="Book Antiqua" w:hAnsi="Book Antiqua" w:cs="Arial"/>
          <w:szCs w:val="24"/>
          <w:lang w:val="es-PR"/>
        </w:rPr>
        <w:t>.</w:t>
      </w:r>
    </w:p>
    <w:p w14:paraId="63B3262F" w14:textId="77777777" w:rsidR="00DE37E0" w:rsidRDefault="008D1E11" w:rsidP="000E2FE5">
      <w:pPr>
        <w:spacing w:line="480" w:lineRule="auto"/>
        <w:jc w:val="both"/>
        <w:rPr>
          <w:rFonts w:ascii="Book Antiqua" w:hAnsi="Book Antiqua" w:cs="Arial"/>
          <w:szCs w:val="24"/>
          <w:lang w:val="es-PR"/>
        </w:rPr>
      </w:pPr>
      <w:r w:rsidRPr="00D71CCF">
        <w:rPr>
          <w:rFonts w:ascii="Book Antiqua" w:hAnsi="Book Antiqua" w:cs="Arial"/>
          <w:szCs w:val="24"/>
          <w:lang w:val="es-PR"/>
        </w:rPr>
        <w:t xml:space="preserve">Sección 2.- </w:t>
      </w:r>
      <w:r w:rsidR="00DE37E0">
        <w:rPr>
          <w:rFonts w:ascii="Book Antiqua" w:hAnsi="Book Antiqua" w:cs="Arial"/>
          <w:szCs w:val="24"/>
          <w:lang w:val="es-PR"/>
        </w:rPr>
        <w:t>Para realizar dicha investigación se faculta</w:t>
      </w:r>
      <w:r w:rsidRPr="00D71CCF">
        <w:rPr>
          <w:rFonts w:ascii="Book Antiqua" w:hAnsi="Book Antiqua" w:cs="Arial"/>
          <w:szCs w:val="24"/>
          <w:lang w:val="es-PR"/>
        </w:rPr>
        <w:t xml:space="preserve"> para convocar vistas públicas</w:t>
      </w:r>
      <w:r w:rsidR="00DE37E0">
        <w:rPr>
          <w:rFonts w:ascii="Book Antiqua" w:hAnsi="Book Antiqua" w:cs="Arial"/>
          <w:szCs w:val="24"/>
          <w:lang w:val="es-PR"/>
        </w:rPr>
        <w:t>, oculares</w:t>
      </w:r>
      <w:r w:rsidRPr="00D71CCF">
        <w:rPr>
          <w:rFonts w:ascii="Book Antiqua" w:hAnsi="Book Antiqua" w:cs="Arial"/>
          <w:szCs w:val="24"/>
          <w:lang w:val="es-PR"/>
        </w:rPr>
        <w:t xml:space="preserve"> o ejecutivas, citar funcionarios de las agencias pertinentes, solicitar documentos, </w:t>
      </w:r>
      <w:r w:rsidRPr="00D71CCF">
        <w:rPr>
          <w:rFonts w:ascii="Book Antiqua" w:hAnsi="Book Antiqua" w:cs="Arial"/>
          <w:szCs w:val="24"/>
          <w:lang w:val="es-PR"/>
        </w:rPr>
        <w:lastRenderedPageBreak/>
        <w:t>estadísticas, informes, auditorías y todo tipo de información necesaria para llevar a cabo esta investigación.</w:t>
      </w:r>
    </w:p>
    <w:p w14:paraId="08DA7CE2" w14:textId="75E3D2CC" w:rsidR="008D1E11" w:rsidRPr="00D71CCF" w:rsidRDefault="008D1E11" w:rsidP="000E2FE5">
      <w:pPr>
        <w:spacing w:line="480" w:lineRule="auto"/>
        <w:jc w:val="both"/>
        <w:rPr>
          <w:rFonts w:ascii="Book Antiqua" w:hAnsi="Book Antiqua" w:cs="Arial"/>
          <w:szCs w:val="24"/>
          <w:lang w:val="es-PR"/>
        </w:rPr>
      </w:pPr>
      <w:r w:rsidRPr="00D71CCF">
        <w:rPr>
          <w:rFonts w:ascii="Book Antiqua" w:hAnsi="Book Antiqua" w:cs="Arial"/>
          <w:szCs w:val="24"/>
          <w:lang w:val="es-PR"/>
        </w:rPr>
        <w:t xml:space="preserve">Sección 3.- </w:t>
      </w:r>
      <w:r w:rsidR="00DE37E0">
        <w:rPr>
          <w:rFonts w:ascii="Book Antiqua" w:hAnsi="Book Antiqua" w:cs="Arial"/>
          <w:szCs w:val="24"/>
          <w:lang w:val="es-PR"/>
        </w:rPr>
        <w:t>Como resultado, se rendirá</w:t>
      </w:r>
      <w:r w:rsidR="00DE37E0" w:rsidRPr="00DE37E0">
        <w:rPr>
          <w:rFonts w:ascii="Book Antiqua" w:hAnsi="Book Antiqua" w:cs="Arial"/>
          <w:szCs w:val="24"/>
          <w:lang w:val="es-PR"/>
        </w:rPr>
        <w:t xml:space="preserve"> un Informe con sus hallazgos, conclusiones y recomendaciones, no más tarde de los ciento ochenta (180) días siguientes a la aprobación de esta Resolución.</w:t>
      </w:r>
    </w:p>
    <w:p w14:paraId="54382911" w14:textId="183DD0B9" w:rsidR="002847D1" w:rsidRPr="00D71CCF" w:rsidRDefault="00D71CCF" w:rsidP="000E2FE5">
      <w:pPr>
        <w:spacing w:line="480" w:lineRule="auto"/>
        <w:jc w:val="both"/>
        <w:rPr>
          <w:rFonts w:ascii="Book Antiqua" w:hAnsi="Book Antiqua" w:cs="Arial"/>
          <w:szCs w:val="24"/>
          <w:lang w:val="es-PR"/>
        </w:rPr>
      </w:pPr>
      <w:r>
        <w:rPr>
          <w:rFonts w:ascii="Book Antiqua" w:hAnsi="Book Antiqua" w:cs="Arial"/>
          <w:szCs w:val="24"/>
          <w:lang w:val="es-PR"/>
        </w:rPr>
        <w:t>Sección 4.-</w:t>
      </w:r>
      <w:r w:rsidR="00DE37E0" w:rsidRPr="00D71CCF">
        <w:rPr>
          <w:rFonts w:ascii="Book Antiqua" w:hAnsi="Book Antiqua" w:cs="Arial"/>
          <w:szCs w:val="24"/>
          <w:lang w:val="es-PR"/>
        </w:rPr>
        <w:t xml:space="preserve"> </w:t>
      </w:r>
      <w:r w:rsidR="00DE37E0">
        <w:rPr>
          <w:rFonts w:ascii="Book Antiqua" w:hAnsi="Book Antiqua" w:cs="Arial"/>
          <w:szCs w:val="24"/>
          <w:lang w:val="es-PR"/>
        </w:rPr>
        <w:t>E</w:t>
      </w:r>
      <w:r w:rsidR="008D1E11" w:rsidRPr="00D71CCF">
        <w:rPr>
          <w:rFonts w:ascii="Book Antiqua" w:hAnsi="Book Antiqua" w:cs="Arial"/>
          <w:szCs w:val="24"/>
          <w:lang w:val="es-PR"/>
        </w:rPr>
        <w:t>sta Resolución comenzará a regir inmediatamente después de su aprobación.</w:t>
      </w:r>
    </w:p>
    <w:sectPr w:rsidR="002847D1" w:rsidRPr="00D71CCF"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09AA5" w14:textId="77777777" w:rsidR="00056A1E" w:rsidRDefault="00056A1E">
      <w:r>
        <w:separator/>
      </w:r>
    </w:p>
  </w:endnote>
  <w:endnote w:type="continuationSeparator" w:id="0">
    <w:p w14:paraId="70A027CC" w14:textId="77777777" w:rsidR="00056A1E" w:rsidRDefault="0005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2489A" w14:textId="77777777" w:rsidR="00056A1E" w:rsidRDefault="00056A1E">
      <w:r>
        <w:separator/>
      </w:r>
    </w:p>
  </w:footnote>
  <w:footnote w:type="continuationSeparator" w:id="0">
    <w:p w14:paraId="7CA53570" w14:textId="77777777" w:rsidR="00056A1E" w:rsidRDefault="00056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056A1E"/>
    <w:rsid w:val="000A0279"/>
    <w:rsid w:val="000E2FE5"/>
    <w:rsid w:val="001173A6"/>
    <w:rsid w:val="00192A65"/>
    <w:rsid w:val="001F270F"/>
    <w:rsid w:val="002019D7"/>
    <w:rsid w:val="002330B8"/>
    <w:rsid w:val="00253AD9"/>
    <w:rsid w:val="002847D1"/>
    <w:rsid w:val="003E22B3"/>
    <w:rsid w:val="00542065"/>
    <w:rsid w:val="00591BC3"/>
    <w:rsid w:val="00660E08"/>
    <w:rsid w:val="00721538"/>
    <w:rsid w:val="008D1E11"/>
    <w:rsid w:val="00951434"/>
    <w:rsid w:val="00A71A7B"/>
    <w:rsid w:val="00A93C17"/>
    <w:rsid w:val="00AB4ED3"/>
    <w:rsid w:val="00B107D4"/>
    <w:rsid w:val="00B423FB"/>
    <w:rsid w:val="00C068AE"/>
    <w:rsid w:val="00C73A5B"/>
    <w:rsid w:val="00CB2471"/>
    <w:rsid w:val="00D71CCF"/>
    <w:rsid w:val="00DE37E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Ttulo1">
    <w:name w:val="heading 1"/>
    <w:basedOn w:val="Normal"/>
    <w:next w:val="Normal"/>
    <w:link w:val="Ttulo1C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47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47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47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47D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47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47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47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47D1"/>
    <w:rPr>
      <w:rFonts w:eastAsiaTheme="majorEastAsia" w:cstheme="majorBidi"/>
      <w:color w:val="272727" w:themeColor="text1" w:themeTint="D8"/>
    </w:rPr>
  </w:style>
  <w:style w:type="paragraph" w:styleId="Ttulo">
    <w:name w:val="Title"/>
    <w:basedOn w:val="Normal"/>
    <w:next w:val="Normal"/>
    <w:link w:val="TtuloC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847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47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47D1"/>
    <w:pPr>
      <w:spacing w:before="160"/>
      <w:jc w:val="center"/>
    </w:pPr>
    <w:rPr>
      <w:i/>
      <w:iCs/>
      <w:color w:val="404040" w:themeColor="text1" w:themeTint="BF"/>
    </w:rPr>
  </w:style>
  <w:style w:type="character" w:customStyle="1" w:styleId="CitaCar">
    <w:name w:val="Cita Car"/>
    <w:basedOn w:val="Fuentedeprrafopredeter"/>
    <w:link w:val="Cita"/>
    <w:uiPriority w:val="29"/>
    <w:rsid w:val="002847D1"/>
    <w:rPr>
      <w:i/>
      <w:iCs/>
      <w:color w:val="404040" w:themeColor="text1" w:themeTint="BF"/>
    </w:rPr>
  </w:style>
  <w:style w:type="paragraph" w:styleId="Prrafodelista">
    <w:name w:val="List Paragraph"/>
    <w:basedOn w:val="Normal"/>
    <w:uiPriority w:val="34"/>
    <w:qFormat/>
    <w:rsid w:val="002847D1"/>
    <w:pPr>
      <w:ind w:left="720"/>
      <w:contextualSpacing/>
    </w:pPr>
  </w:style>
  <w:style w:type="character" w:styleId="nfasisintenso">
    <w:name w:val="Intense Emphasis"/>
    <w:basedOn w:val="Fuentedeprrafopredeter"/>
    <w:uiPriority w:val="21"/>
    <w:qFormat/>
    <w:rsid w:val="002847D1"/>
    <w:rPr>
      <w:i/>
      <w:iCs/>
      <w:color w:val="0F4761" w:themeColor="accent1" w:themeShade="BF"/>
    </w:rPr>
  </w:style>
  <w:style w:type="paragraph" w:styleId="Citadestacada">
    <w:name w:val="Intense Quote"/>
    <w:basedOn w:val="Normal"/>
    <w:next w:val="Normal"/>
    <w:link w:val="CitadestacadaC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47D1"/>
    <w:rPr>
      <w:i/>
      <w:iCs/>
      <w:color w:val="0F4761" w:themeColor="accent1" w:themeShade="BF"/>
    </w:rPr>
  </w:style>
  <w:style w:type="character" w:styleId="Referenciaintensa">
    <w:name w:val="Intense Reference"/>
    <w:basedOn w:val="Fuentedeprrafopredeter"/>
    <w:uiPriority w:val="32"/>
    <w:qFormat/>
    <w:rsid w:val="002847D1"/>
    <w:rPr>
      <w:b/>
      <w:bCs/>
      <w:smallCaps/>
      <w:color w:val="0F4761" w:themeColor="accent1" w:themeShade="BF"/>
      <w:spacing w:val="5"/>
    </w:rPr>
  </w:style>
  <w:style w:type="paragraph" w:styleId="Encabezado">
    <w:name w:val="header"/>
    <w:basedOn w:val="Normal"/>
    <w:link w:val="EncabezadoCar"/>
    <w:rsid w:val="002847D1"/>
    <w:pPr>
      <w:tabs>
        <w:tab w:val="center" w:pos="4320"/>
        <w:tab w:val="right" w:pos="8640"/>
      </w:tabs>
    </w:pPr>
  </w:style>
  <w:style w:type="character" w:customStyle="1" w:styleId="EncabezadoCar">
    <w:name w:val="Encabezado Car"/>
    <w:basedOn w:val="Fuentedeprrafopredeter"/>
    <w:link w:val="Encabezado"/>
    <w:rsid w:val="002847D1"/>
    <w:rPr>
      <w:rFonts w:ascii="Times New Roman" w:eastAsia="Batang" w:hAnsi="Times New Roman" w:cs="Times New Roman"/>
      <w:kern w:val="0"/>
      <w:szCs w:val="20"/>
      <w:lang w:val="en-US"/>
      <w14:ligatures w14:val="none"/>
    </w:rPr>
  </w:style>
  <w:style w:type="character" w:styleId="Nmerodepgina">
    <w:name w:val="page number"/>
    <w:basedOn w:val="Fuentedeprrafopredeter"/>
    <w:rsid w:val="002847D1"/>
  </w:style>
  <w:style w:type="paragraph" w:styleId="Textoindependiente">
    <w:name w:val="Body Text"/>
    <w:basedOn w:val="Normal"/>
    <w:link w:val="TextoindependienteCar"/>
    <w:rsid w:val="002847D1"/>
    <w:pPr>
      <w:spacing w:before="120"/>
      <w:jc w:val="both"/>
    </w:pPr>
    <w:rPr>
      <w:rFonts w:ascii="CG Times(w1)" w:hAnsi="CG Times(w1)"/>
      <w:szCs w:val="24"/>
      <w:lang w:val="es-ES_tradnl"/>
    </w:rPr>
  </w:style>
  <w:style w:type="character" w:customStyle="1" w:styleId="TextoindependienteCar">
    <w:name w:val="Texto independiente Car"/>
    <w:basedOn w:val="Fuentedeprrafopredeter"/>
    <w:link w:val="Textoindependiente"/>
    <w:rsid w:val="002847D1"/>
    <w:rPr>
      <w:rFonts w:ascii="CG Times(w1)" w:eastAsia="Batang" w:hAnsi="CG Times(w1)" w:cs="Times New Roman"/>
      <w:kern w:val="0"/>
      <w:lang w:val="es-ES_tradnl"/>
      <w14:ligatures w14:val="none"/>
    </w:rPr>
  </w:style>
  <w:style w:type="character" w:styleId="Nmerodelnea">
    <w:name w:val="line number"/>
    <w:basedOn w:val="Fuentedeprrafopredeter"/>
    <w:uiPriority w:val="99"/>
    <w:semiHidden/>
    <w:unhideWhenUsed/>
    <w:rsid w:val="002847D1"/>
  </w:style>
  <w:style w:type="paragraph" w:styleId="NormalWeb">
    <w:name w:val="Normal (Web)"/>
    <w:basedOn w:val="Normal"/>
    <w:uiPriority w:val="99"/>
    <w:semiHidden/>
    <w:unhideWhenUsed/>
    <w:rsid w:val="00B107D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666</Words>
  <Characters>3798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Rocío Alayón Morell</cp:lastModifiedBy>
  <cp:revision>4</cp:revision>
  <cp:lastPrinted>2025-05-13T13:43:00Z</cp:lastPrinted>
  <dcterms:created xsi:type="dcterms:W3CDTF">2025-05-12T21:34:00Z</dcterms:created>
  <dcterms:modified xsi:type="dcterms:W3CDTF">2025-05-13T13:43:00Z</dcterms:modified>
</cp:coreProperties>
</file>