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FA369" w14:textId="77777777" w:rsidR="006C7ECB" w:rsidRDefault="003E2F46">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 DE PUERTO RICO</w:t>
      </w:r>
    </w:p>
    <w:p w14:paraId="4DACD97F" w14:textId="77777777" w:rsidR="006C7ECB" w:rsidRDefault="006C7ECB">
      <w:pPr>
        <w:jc w:val="center"/>
        <w:rPr>
          <w:rFonts w:ascii="Book Antiqua" w:eastAsia="Times New Roman" w:hAnsi="Book Antiqua"/>
          <w:lang w:val="es-ES_tradnl"/>
        </w:rPr>
      </w:pPr>
    </w:p>
    <w:p w14:paraId="7B20BB9E" w14:textId="77777777" w:rsidR="006C7ECB" w:rsidRDefault="003E2F46">
      <w:pPr>
        <w:jc w:val="both"/>
        <w:rPr>
          <w:rFonts w:ascii="Book Antiqua" w:eastAsia="Times New Roman" w:hAnsi="Book Antiqua"/>
          <w:lang w:val="es-ES_tradnl"/>
        </w:rPr>
      </w:pPr>
      <w:r>
        <w:rPr>
          <w:rFonts w:ascii="Book Antiqua" w:eastAsia="Times New Roman" w:hAnsi="Book Antiqua"/>
          <w:lang w:val="es-ES_tradnl"/>
        </w:rPr>
        <w:t xml:space="preserve">20ma. Asamblea </w:t>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t xml:space="preserve">                       1ra. Sesión </w:t>
      </w:r>
    </w:p>
    <w:p w14:paraId="31CA9E7A" w14:textId="77777777" w:rsidR="006C7ECB" w:rsidRDefault="003E2F46">
      <w:pPr>
        <w:jc w:val="both"/>
        <w:rPr>
          <w:rFonts w:ascii="Book Antiqua" w:eastAsia="Times New Roman" w:hAnsi="Book Antiqua"/>
          <w:lang w:val="es-ES_tradnl"/>
        </w:rPr>
      </w:pPr>
      <w:r>
        <w:rPr>
          <w:rFonts w:ascii="Book Antiqua" w:eastAsia="Times New Roman" w:hAnsi="Book Antiqua"/>
          <w:lang w:val="es-ES_tradnl"/>
        </w:rPr>
        <w:tab/>
        <w:t xml:space="preserve">Legislativa </w:t>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r>
      <w:r>
        <w:rPr>
          <w:rFonts w:ascii="Book Antiqua" w:eastAsia="Times New Roman" w:hAnsi="Book Antiqua"/>
          <w:lang w:val="es-ES_tradnl"/>
        </w:rPr>
        <w:tab/>
        <w:t xml:space="preserve">      Ordinaria</w:t>
      </w:r>
    </w:p>
    <w:p w14:paraId="452E6E62" w14:textId="77777777" w:rsidR="006C7ECB" w:rsidRDefault="006C7ECB">
      <w:pPr>
        <w:rPr>
          <w:rFonts w:ascii="Book Antiqua" w:eastAsia="Times New Roman" w:hAnsi="Book Antiqua"/>
          <w:lang w:val="es-ES_tradnl"/>
        </w:rPr>
      </w:pPr>
    </w:p>
    <w:p w14:paraId="214D8B0F" w14:textId="77777777" w:rsidR="006C7ECB" w:rsidRDefault="003E2F46">
      <w:pPr>
        <w:pStyle w:val="BodyText"/>
        <w:spacing w:before="0"/>
        <w:jc w:val="center"/>
        <w:rPr>
          <w:rFonts w:hint="eastAsia"/>
        </w:rPr>
      </w:pPr>
      <w:r>
        <w:rPr>
          <w:rFonts w:ascii="Book Antiqua" w:eastAsia="Times New Roman" w:hAnsi="Book Antiqua"/>
          <w:b/>
          <w:sz w:val="36"/>
        </w:rPr>
        <w:t>CÁMARA DE REPRESENTANTES</w:t>
      </w:r>
    </w:p>
    <w:p w14:paraId="36DC6FAE" w14:textId="77777777" w:rsidR="006C7ECB" w:rsidRDefault="006C7ECB">
      <w:pPr>
        <w:rPr>
          <w:rFonts w:ascii="Book Antiqua" w:eastAsia="Times New Roman" w:hAnsi="Book Antiqua"/>
          <w:szCs w:val="24"/>
          <w:lang w:val="es-ES_tradnl"/>
        </w:rPr>
      </w:pPr>
    </w:p>
    <w:p w14:paraId="41B526A6" w14:textId="77777777" w:rsidR="006C7ECB" w:rsidRDefault="003E2F46">
      <w:pPr>
        <w:jc w:val="center"/>
        <w:rPr>
          <w:rFonts w:ascii="Book Antiqua" w:eastAsia="Times New Roman" w:hAnsi="Book Antiqua"/>
          <w:b/>
          <w:sz w:val="52"/>
          <w:szCs w:val="52"/>
          <w:lang w:val="es-ES_tradnl"/>
        </w:rPr>
      </w:pPr>
      <w:r>
        <w:rPr>
          <w:rFonts w:ascii="Book Antiqua" w:eastAsia="Times New Roman" w:hAnsi="Book Antiqua"/>
          <w:b/>
          <w:sz w:val="52"/>
          <w:szCs w:val="52"/>
          <w:lang w:val="es-ES_tradnl"/>
        </w:rPr>
        <w:t>R. C. de la C. 132</w:t>
      </w:r>
    </w:p>
    <w:p w14:paraId="5D98903C" w14:textId="77777777" w:rsidR="006C7ECB" w:rsidRDefault="006C7ECB">
      <w:pPr>
        <w:jc w:val="center"/>
        <w:rPr>
          <w:rFonts w:ascii="Book Antiqua" w:eastAsia="Times New Roman" w:hAnsi="Book Antiqua"/>
          <w:szCs w:val="24"/>
          <w:lang w:val="es-ES_tradnl"/>
        </w:rPr>
      </w:pPr>
    </w:p>
    <w:p w14:paraId="40E23725" w14:textId="77777777" w:rsidR="006C7ECB" w:rsidRDefault="003E2F46">
      <w:pPr>
        <w:jc w:val="center"/>
        <w:rPr>
          <w:rFonts w:ascii="Book Antiqua" w:eastAsia="Times New Roman" w:hAnsi="Book Antiqua"/>
          <w:lang w:val="es-ES_tradnl"/>
        </w:rPr>
      </w:pPr>
      <w:r>
        <w:rPr>
          <w:rFonts w:ascii="Book Antiqua" w:eastAsia="Times New Roman" w:hAnsi="Book Antiqua"/>
          <w:lang w:val="es-ES_tradnl"/>
        </w:rPr>
        <w:t>14 DE MAYO DE 2025</w:t>
      </w:r>
    </w:p>
    <w:p w14:paraId="416A6F1E" w14:textId="77777777" w:rsidR="006C7ECB" w:rsidRDefault="006C7ECB">
      <w:pPr>
        <w:jc w:val="center"/>
        <w:rPr>
          <w:rFonts w:ascii="Book Antiqua" w:eastAsia="Times New Roman" w:hAnsi="Book Antiqua"/>
          <w:lang w:val="es-ES_tradnl"/>
        </w:rPr>
      </w:pPr>
    </w:p>
    <w:p w14:paraId="2B35A239" w14:textId="77777777" w:rsidR="006C7ECB" w:rsidRDefault="003E2F46">
      <w:pPr>
        <w:ind w:left="709" w:hanging="709"/>
        <w:jc w:val="both"/>
      </w:pPr>
      <w:r>
        <w:rPr>
          <w:rFonts w:ascii="Book Antiqua" w:eastAsia="Times New Roman" w:hAnsi="Book Antiqua"/>
          <w:lang w:val="es-ES_tradnl"/>
        </w:rPr>
        <w:t xml:space="preserve">Presentada por los representantes </w:t>
      </w:r>
      <w:r>
        <w:rPr>
          <w:rFonts w:ascii="Book Antiqua" w:eastAsia="Times New Roman" w:hAnsi="Book Antiqua"/>
          <w:i/>
          <w:lang w:val="es-ES_tradnl"/>
        </w:rPr>
        <w:t xml:space="preserve">Ferrer </w:t>
      </w:r>
      <w:r>
        <w:rPr>
          <w:rFonts w:ascii="Book Antiqua" w:eastAsia="Times New Roman" w:hAnsi="Book Antiqua"/>
          <w:i/>
          <w:lang w:val="es-ES_tradnl"/>
        </w:rPr>
        <w:t xml:space="preserve">Santiago, Torres García, Feliciano Sánchez, Figueroa Acevedo, Fourquet Cordero; </w:t>
      </w:r>
      <w:r>
        <w:rPr>
          <w:rFonts w:ascii="Book Antiqua" w:eastAsia="Times New Roman" w:hAnsi="Book Antiqua"/>
          <w:iCs/>
          <w:lang w:val="es-ES_tradnl"/>
        </w:rPr>
        <w:t>las representantes</w:t>
      </w:r>
      <w:r>
        <w:rPr>
          <w:rFonts w:ascii="Book Antiqua" w:eastAsia="Times New Roman" w:hAnsi="Book Antiqua"/>
          <w:i/>
          <w:lang w:val="es-ES_tradnl"/>
        </w:rPr>
        <w:t xml:space="preserve"> Hau, Higgins Cuadrado, Martínez Soto, Rosas Vargas; </w:t>
      </w:r>
      <w:r>
        <w:rPr>
          <w:rFonts w:ascii="Book Antiqua" w:eastAsia="Times New Roman" w:hAnsi="Book Antiqua"/>
          <w:iCs/>
          <w:lang w:val="es-ES_tradnl"/>
        </w:rPr>
        <w:t>los representantes</w:t>
      </w:r>
      <w:r>
        <w:rPr>
          <w:rFonts w:ascii="Book Antiqua" w:eastAsia="Times New Roman" w:hAnsi="Book Antiqua"/>
          <w:i/>
          <w:lang w:val="es-ES_tradnl"/>
        </w:rPr>
        <w:t xml:space="preserve"> Rivera Ruiz de Porras, Torres Cruz, Varela Fernández</w:t>
      </w:r>
      <w:r>
        <w:rPr>
          <w:rFonts w:ascii="Book Antiqua" w:eastAsia="Times New Roman" w:hAnsi="Book Antiqua"/>
          <w:iCs/>
          <w:lang w:val="es-ES_tradnl"/>
        </w:rPr>
        <w:t xml:space="preserve"> y la representante</w:t>
      </w:r>
      <w:r>
        <w:rPr>
          <w:rFonts w:ascii="Book Antiqua" w:eastAsia="Times New Roman" w:hAnsi="Book Antiqua"/>
          <w:i/>
          <w:lang w:val="es-ES_tradnl"/>
        </w:rPr>
        <w:t xml:space="preserve"> Vargas Laureano</w:t>
      </w:r>
    </w:p>
    <w:p w14:paraId="439D33C2" w14:textId="77777777" w:rsidR="006C7ECB" w:rsidRDefault="006C7ECB">
      <w:pPr>
        <w:pStyle w:val="c20"/>
        <w:spacing w:line="240" w:lineRule="auto"/>
        <w:rPr>
          <w:rFonts w:ascii="Book Antiqua" w:hAnsi="Book Antiqua"/>
          <w:lang w:val="es-ES_tradnl"/>
        </w:rPr>
      </w:pPr>
    </w:p>
    <w:p w14:paraId="00D76529" w14:textId="77777777" w:rsidR="006C7ECB" w:rsidRDefault="003E2F46">
      <w:pPr>
        <w:pStyle w:val="c20"/>
        <w:spacing w:line="240" w:lineRule="auto"/>
        <w:rPr>
          <w:rFonts w:ascii="Book Antiqua" w:hAnsi="Book Antiqua"/>
          <w:lang w:val="es-ES_tradnl"/>
        </w:rPr>
      </w:pPr>
      <w:r>
        <w:rPr>
          <w:rFonts w:ascii="Book Antiqua" w:hAnsi="Book Antiqua"/>
          <w:lang w:val="es-ES_tradnl"/>
        </w:rPr>
        <w:t xml:space="preserve">Referida a la Comisión de Educación </w:t>
      </w:r>
    </w:p>
    <w:p w14:paraId="6250748A" w14:textId="77777777" w:rsidR="006C7ECB" w:rsidRDefault="006C7ECB">
      <w:pPr>
        <w:pStyle w:val="c20"/>
        <w:spacing w:line="240" w:lineRule="auto"/>
        <w:rPr>
          <w:rFonts w:ascii="Book Antiqua" w:hAnsi="Book Antiqua"/>
          <w:lang w:val="es-ES_tradnl"/>
        </w:rPr>
      </w:pPr>
    </w:p>
    <w:p w14:paraId="4393B723" w14:textId="77777777" w:rsidR="006C7ECB" w:rsidRDefault="003E2F46">
      <w:pPr>
        <w:jc w:val="center"/>
        <w:rPr>
          <w:rFonts w:ascii="Book Antiqua" w:eastAsia="Times New Roman" w:hAnsi="Book Antiqua"/>
          <w:b/>
          <w:sz w:val="28"/>
          <w:lang w:val="es-ES_tradnl"/>
        </w:rPr>
      </w:pPr>
      <w:bookmarkStart w:id="0" w:name="OLE_LINK3"/>
      <w:bookmarkStart w:id="1" w:name="OLE_LINK4"/>
      <w:r>
        <w:rPr>
          <w:rFonts w:ascii="Book Antiqua" w:eastAsia="Times New Roman" w:hAnsi="Book Antiqua"/>
          <w:b/>
          <w:sz w:val="28"/>
          <w:lang w:val="es-ES_tradnl"/>
        </w:rPr>
        <w:t>RESOLUCIÓN CONJUNTA</w:t>
      </w:r>
    </w:p>
    <w:p w14:paraId="14E59954" w14:textId="77777777" w:rsidR="006C7ECB" w:rsidRDefault="006C7ECB">
      <w:pPr>
        <w:jc w:val="both"/>
        <w:rPr>
          <w:rFonts w:ascii="Book Antiqua" w:hAnsi="Book Antiqua"/>
          <w:lang w:val="es-ES_tradnl"/>
        </w:rPr>
      </w:pPr>
      <w:bookmarkStart w:id="2" w:name="OLE_LINK1"/>
      <w:bookmarkStart w:id="3" w:name="OLE_LINK2"/>
      <w:bookmarkStart w:id="4" w:name="OLE_LINK20"/>
      <w:bookmarkStart w:id="5" w:name="OLE_LINK13"/>
      <w:bookmarkStart w:id="6" w:name="OLE_LINK23"/>
      <w:bookmarkEnd w:id="0"/>
      <w:bookmarkEnd w:id="1"/>
    </w:p>
    <w:p w14:paraId="4737D64D" w14:textId="77777777" w:rsidR="006C7ECB" w:rsidRDefault="003E2F46">
      <w:pPr>
        <w:ind w:left="630" w:hanging="630"/>
        <w:jc w:val="both"/>
        <w:rPr>
          <w:rFonts w:ascii="Book Antiqua" w:hAnsi="Book Antiqua"/>
          <w:lang w:val="es-ES_tradnl"/>
        </w:rPr>
      </w:pPr>
      <w:r>
        <w:rPr>
          <w:rFonts w:ascii="Book Antiqua" w:hAnsi="Book Antiqua"/>
          <w:lang w:val="es-ES_tradnl"/>
        </w:rPr>
        <w:t xml:space="preserve">Para ordenar al Departamento de Educación de Puerto Rico en colaboración con la Universidad de Puerto Rico establecer, diseñar e implantar un programa de certificaciones </w:t>
      </w:r>
      <w:r>
        <w:rPr>
          <w:rFonts w:ascii="Book Antiqua" w:hAnsi="Book Antiqua"/>
          <w:lang w:val="es-ES_tradnl"/>
        </w:rPr>
        <w:t xml:space="preserve">profesionales enfocado en estrategias de manejo conductual, enfoques pedagógicos diferenciados y metodologías educativas dirigidas a estudiantes con diagnóstico de trastorno del espectro autista dirigido a todo el personal docente de Educación Especial del sistema público de enseñanza; y para otros fines relacionados. </w:t>
      </w:r>
    </w:p>
    <w:p w14:paraId="442516F2" w14:textId="77777777" w:rsidR="006C7ECB" w:rsidRDefault="006C7ECB">
      <w:pPr>
        <w:ind w:left="630" w:hanging="630"/>
        <w:jc w:val="both"/>
        <w:rPr>
          <w:rFonts w:ascii="Book Antiqua" w:hAnsi="Book Antiqua"/>
          <w:szCs w:val="24"/>
          <w:lang w:val="es-ES_tradnl"/>
        </w:rPr>
      </w:pPr>
    </w:p>
    <w:bookmarkEnd w:id="2"/>
    <w:bookmarkEnd w:id="3"/>
    <w:bookmarkEnd w:id="4"/>
    <w:bookmarkEnd w:id="5"/>
    <w:bookmarkEnd w:id="6"/>
    <w:p w14:paraId="5DEE2CFC" w14:textId="77777777" w:rsidR="006C7ECB" w:rsidRDefault="003E2F46">
      <w:pPr>
        <w:jc w:val="center"/>
        <w:rPr>
          <w:rFonts w:ascii="Book Antiqua" w:hAnsi="Book Antiqua"/>
          <w:szCs w:val="24"/>
          <w:lang w:val="es-ES_tradnl"/>
        </w:rPr>
      </w:pPr>
      <w:r>
        <w:rPr>
          <w:rFonts w:ascii="Book Antiqua" w:hAnsi="Book Antiqua"/>
          <w:szCs w:val="24"/>
          <w:lang w:val="es-ES_tradnl"/>
        </w:rPr>
        <w:t>EXPOSICIÓN DE MOTIVOS</w:t>
      </w:r>
    </w:p>
    <w:p w14:paraId="1540AF0B" w14:textId="77777777" w:rsidR="006C7ECB" w:rsidRDefault="006C7ECB">
      <w:pPr>
        <w:jc w:val="center"/>
        <w:rPr>
          <w:rFonts w:ascii="Book Antiqua" w:hAnsi="Book Antiqua"/>
          <w:color w:val="000000"/>
          <w:szCs w:val="24"/>
          <w:lang w:val="es-ES_tradnl"/>
        </w:rPr>
      </w:pPr>
    </w:p>
    <w:p w14:paraId="6D87F742" w14:textId="77777777" w:rsidR="006C7ECB" w:rsidRDefault="003E2F46">
      <w:pPr>
        <w:ind w:firstLine="720"/>
        <w:jc w:val="both"/>
        <w:rPr>
          <w:rFonts w:ascii="Book Antiqua" w:eastAsia="Times New Roman" w:hAnsi="Book Antiqua" w:cs="Arial"/>
          <w:color w:val="000000"/>
          <w:szCs w:val="24"/>
          <w:shd w:val="clear" w:color="auto" w:fill="FFFFFF"/>
          <w:lang w:val="es-ES_tradnl" w:eastAsia="es-ES_tradnl"/>
        </w:rPr>
      </w:pPr>
      <w:r>
        <w:rPr>
          <w:rFonts w:ascii="Book Antiqua" w:eastAsia="Times New Roman" w:hAnsi="Book Antiqua" w:cs="Arial"/>
          <w:color w:val="000000"/>
          <w:szCs w:val="24"/>
          <w:shd w:val="clear" w:color="auto" w:fill="FFFFFF"/>
          <w:lang w:val="es-ES_tradnl" w:eastAsia="es-ES_tradnl"/>
        </w:rPr>
        <w:t>El trastorno del espectro autista es una afección relacionada con el desarrollo del cerebro que influye en la manera en la que una persona percibe y socializa con los demás por ende causa dificultad en la interacción social y la comunicación. Esto representa un desafío tanto para los padres como para los docentes, quienes deben aplicar estrategias especializadas para facilitar la integración y el aprendizaje de los estudiantes diagnosticados con esta condición. Es un esfuerzo invaluable realizado por person</w:t>
      </w:r>
      <w:r>
        <w:rPr>
          <w:rFonts w:ascii="Book Antiqua" w:eastAsia="Times New Roman" w:hAnsi="Book Antiqua" w:cs="Arial"/>
          <w:color w:val="000000"/>
          <w:szCs w:val="24"/>
          <w:shd w:val="clear" w:color="auto" w:fill="FFFFFF"/>
          <w:lang w:val="es-ES_tradnl" w:eastAsia="es-ES_tradnl"/>
        </w:rPr>
        <w:t>as comprometidas y seres queridos que conlleva estrategias, dedicación y dinámicas con el fin de brindarle a los niños con dicha condición la confianza para establecer y mantener relaciones interpersonales con las demás personas, educarse y mejorar su integración social.</w:t>
      </w:r>
    </w:p>
    <w:p w14:paraId="14259D02" w14:textId="77777777" w:rsidR="006C7ECB" w:rsidRDefault="006C7ECB">
      <w:pPr>
        <w:ind w:firstLine="720"/>
        <w:jc w:val="both"/>
        <w:rPr>
          <w:rFonts w:ascii="Book Antiqua" w:eastAsia="Times New Roman" w:hAnsi="Book Antiqua" w:cs="Arial"/>
          <w:color w:val="000000"/>
          <w:szCs w:val="24"/>
          <w:shd w:val="clear" w:color="auto" w:fill="FFFFFF"/>
          <w:lang w:val="es-ES_tradnl" w:eastAsia="es-ES_tradnl"/>
        </w:rPr>
      </w:pPr>
    </w:p>
    <w:p w14:paraId="02051D4A" w14:textId="77777777" w:rsidR="006C7ECB" w:rsidRDefault="003E2F46">
      <w:pPr>
        <w:ind w:firstLine="720"/>
        <w:jc w:val="both"/>
        <w:rPr>
          <w:rFonts w:ascii="Book Antiqua" w:eastAsia="Times New Roman" w:hAnsi="Book Antiqua" w:cs="Arial"/>
          <w:color w:val="000000"/>
          <w:szCs w:val="24"/>
          <w:shd w:val="clear" w:color="auto" w:fill="FFFFFF"/>
          <w:lang w:val="es-ES_tradnl" w:eastAsia="es-ES_tradnl"/>
        </w:rPr>
      </w:pPr>
      <w:r>
        <w:rPr>
          <w:rFonts w:ascii="Book Antiqua" w:eastAsia="Times New Roman" w:hAnsi="Book Antiqua" w:cs="Arial"/>
          <w:color w:val="000000"/>
          <w:szCs w:val="24"/>
          <w:shd w:val="clear" w:color="auto" w:fill="FFFFFF"/>
          <w:lang w:val="es-ES_tradnl" w:eastAsia="es-ES_tradnl"/>
        </w:rPr>
        <w:lastRenderedPageBreak/>
        <w:t>Durante la última década, Puerto Rico ha experimentado un aumento significativo en los diagnósticos de autismo. Según datos recientes del Departamento de Educación, en el pasado semestre escolar había más de 11,990 estudiantes con diagnóstico de autismo en el sistema público de enseñanza. Esta cifra representa un aumento de más del 249% en comparación con los datos recopilados por el Instituto de Estadísticas en años anteriores.</w:t>
      </w:r>
    </w:p>
    <w:p w14:paraId="19413EE8" w14:textId="77777777" w:rsidR="006C7ECB" w:rsidRDefault="006C7ECB">
      <w:pPr>
        <w:ind w:firstLine="720"/>
        <w:jc w:val="both"/>
        <w:rPr>
          <w:rFonts w:ascii="Book Antiqua" w:eastAsia="Times New Roman" w:hAnsi="Book Antiqua" w:cs="Arial"/>
          <w:color w:val="000000"/>
          <w:szCs w:val="24"/>
          <w:shd w:val="clear" w:color="auto" w:fill="FFFFFF"/>
          <w:lang w:val="es-ES_tradnl" w:eastAsia="es-ES_tradnl"/>
        </w:rPr>
      </w:pPr>
    </w:p>
    <w:p w14:paraId="77170566" w14:textId="77777777" w:rsidR="006C7ECB" w:rsidRDefault="003E2F46">
      <w:pPr>
        <w:pStyle w:val="NormalWeb"/>
        <w:spacing w:before="0" w:after="0"/>
        <w:ind w:firstLine="720"/>
        <w:jc w:val="both"/>
      </w:pPr>
      <w:r>
        <w:rPr>
          <w:rFonts w:ascii="Book Antiqua" w:eastAsia="Times New Roman" w:hAnsi="Book Antiqua" w:cs="Arial"/>
          <w:color w:val="000000"/>
          <w:shd w:val="clear" w:color="auto" w:fill="FFFFFF"/>
          <w:lang w:val="es-ES_tradnl" w:eastAsia="es-ES_tradnl"/>
        </w:rPr>
        <w:t xml:space="preserve">En Puerto Rico contamos con un personal docente </w:t>
      </w:r>
      <w:r>
        <w:rPr>
          <w:rFonts w:ascii="Book Antiqua" w:eastAsia="Times New Roman" w:hAnsi="Book Antiqua"/>
          <w:color w:val="000000"/>
          <w:lang w:val="es-ES"/>
        </w:rPr>
        <w:t xml:space="preserve">de Educación Especial </w:t>
      </w:r>
      <w:r>
        <w:rPr>
          <w:rFonts w:ascii="Book Antiqua" w:eastAsia="Times New Roman" w:hAnsi="Book Antiqua" w:cs="Arial"/>
          <w:color w:val="000000"/>
          <w:shd w:val="clear" w:color="auto" w:fill="FFFFFF"/>
          <w:lang w:val="es-ES_tradnl" w:eastAsia="es-ES_tradnl"/>
        </w:rPr>
        <w:t>comprometido y muy capaz, hombres y mujeres que se dedican en alma y vida a desarrollar nuestros niños y jóvenes. Personal, que aún con la necesidad y los méritos para recibir un mejor salario, dedican su horario laboral y sus espacios fuera del salón para preparar clases, planes, estrategias y herramientas para transmitir conocimiento y desarrollar las capacidades y talentos de nuestras futuras generaciones. Con eso en mente y ante el aumento considerable y las proyecciones de aumento</w:t>
      </w:r>
      <w:r>
        <w:rPr>
          <w:rFonts w:ascii="Book Antiqua" w:eastAsia="Times New Roman" w:hAnsi="Book Antiqua" w:cs="Arial"/>
          <w:color w:val="000000"/>
          <w:shd w:val="clear" w:color="auto" w:fill="FFFFFF"/>
          <w:lang w:val="es-ES_tradnl" w:eastAsia="es-ES_tradnl"/>
        </w:rPr>
        <w:t xml:space="preserve"> futuras de los diagnósticos de autismo, entendemos importante brindarle más herramientas a nuestro personal para poder capacitarse cada día más en el manejo y desarrollo de esta población escolar. </w:t>
      </w:r>
    </w:p>
    <w:p w14:paraId="493716F6" w14:textId="77777777" w:rsidR="006C7ECB" w:rsidRDefault="006C7ECB">
      <w:pPr>
        <w:pStyle w:val="NormalWeb"/>
        <w:spacing w:before="0" w:after="0"/>
        <w:ind w:firstLine="720"/>
        <w:jc w:val="both"/>
        <w:rPr>
          <w:rFonts w:ascii="Book Antiqua" w:eastAsia="Times New Roman" w:hAnsi="Book Antiqua"/>
          <w:color w:val="000000"/>
          <w:lang w:val="es-ES"/>
        </w:rPr>
      </w:pPr>
    </w:p>
    <w:p w14:paraId="6178AD69" w14:textId="77777777" w:rsidR="006C7ECB" w:rsidRDefault="003E2F46">
      <w:pPr>
        <w:pStyle w:val="BodyText"/>
        <w:spacing w:before="0"/>
        <w:ind w:firstLine="720"/>
        <w:rPr>
          <w:rFonts w:ascii="Book Antiqua" w:eastAsia="Times New Roman" w:hAnsi="Book Antiqua" w:cs="Arial"/>
          <w:color w:val="000000"/>
          <w:shd w:val="clear" w:color="auto" w:fill="FFFFFF"/>
          <w:lang w:eastAsia="es-ES_tradnl"/>
        </w:rPr>
      </w:pPr>
      <w:r>
        <w:rPr>
          <w:rFonts w:ascii="Book Antiqua" w:eastAsia="Times New Roman" w:hAnsi="Book Antiqua" w:cs="Arial"/>
          <w:color w:val="000000"/>
          <w:shd w:val="clear" w:color="auto" w:fill="FFFFFF"/>
          <w:lang w:eastAsia="es-ES_tradnl"/>
        </w:rPr>
        <w:t xml:space="preserve">Esta Asamblea Legislativa reconoce que integrar efectivamente a todos los sectores de nuestra sociedad comienza por la educación, y que brindar igualdad de oportunidades requiere acción directa. Por ello, se establece como </w:t>
      </w:r>
      <w:r>
        <w:rPr>
          <w:rFonts w:ascii="Book Antiqua" w:eastAsia="Times New Roman" w:hAnsi="Book Antiqua" w:cs="Arial"/>
          <w:color w:val="000000"/>
          <w:shd w:val="clear" w:color="auto" w:fill="FFFFFF"/>
          <w:lang w:eastAsia="es-ES_tradnl"/>
        </w:rPr>
        <w:t>política pública la capacitación profesional continua y especializada del personal docente de Educación Especial, asegurando que cuenten con los conocimientos actualizados y las estrategias adecuadas para atender a esta población.</w:t>
      </w:r>
    </w:p>
    <w:p w14:paraId="6DA19160" w14:textId="77777777" w:rsidR="006C7ECB" w:rsidRDefault="006C7ECB">
      <w:pPr>
        <w:pStyle w:val="BodyText"/>
        <w:spacing w:before="0"/>
        <w:ind w:firstLine="720"/>
        <w:rPr>
          <w:rFonts w:ascii="Book Antiqua" w:hAnsi="Book Antiqua"/>
        </w:rPr>
      </w:pPr>
    </w:p>
    <w:p w14:paraId="6A52EFDB" w14:textId="77777777" w:rsidR="006C7ECB" w:rsidRDefault="003E2F46">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0AC898A0" w14:textId="77777777" w:rsidR="003E2F46" w:rsidRDefault="003E2F46">
      <w:pPr>
        <w:sectPr w:rsidR="00000000">
          <w:headerReference w:type="default" r:id="rId6"/>
          <w:pgSz w:w="12240" w:h="15840"/>
          <w:pgMar w:top="1440" w:right="1440" w:bottom="1440" w:left="1440" w:header="720" w:footer="720" w:gutter="0"/>
          <w:cols w:space="720"/>
        </w:sectPr>
      </w:pPr>
    </w:p>
    <w:p w14:paraId="4C93F376" w14:textId="77777777" w:rsidR="006C7ECB" w:rsidRDefault="003E2F46">
      <w:pPr>
        <w:spacing w:line="480" w:lineRule="auto"/>
        <w:ind w:firstLine="720"/>
        <w:jc w:val="both"/>
      </w:pPr>
      <w:r>
        <w:rPr>
          <w:rFonts w:ascii="Book Antiqua" w:hAnsi="Book Antiqua"/>
          <w:lang w:val="es-ES_tradnl"/>
        </w:rPr>
        <w:t>Sección 1.-</w:t>
      </w:r>
      <w:r>
        <w:rPr>
          <w:lang w:val="es-ES_tradnl"/>
        </w:rPr>
        <w:t xml:space="preserve"> </w:t>
      </w:r>
      <w:r>
        <w:rPr>
          <w:rFonts w:ascii="Book Antiqua" w:hAnsi="Book Antiqua"/>
          <w:lang w:val="es-ES_tradnl"/>
        </w:rPr>
        <w:t>Se ordena al Departamento de Educación de Puerto Rico en colaboración con la Universidad de Puerto Rico establecer, diseñar e implantar un programa de certificaciones profesionales enfocado en estrategias de manejo conductual, enfoques pedagógicos diferenciados y metodologías educativas dirigidas a estudiantes con diagnóstico de trastorno del espectro autista dirigido a todo el personal docente de Educación Especial del sistema público de enseñanza.</w:t>
      </w:r>
    </w:p>
    <w:p w14:paraId="62EFDEB1" w14:textId="77777777" w:rsidR="006C7ECB" w:rsidRDefault="003E2F46">
      <w:pPr>
        <w:widowControl w:val="0"/>
        <w:spacing w:line="480" w:lineRule="auto"/>
        <w:ind w:firstLine="720"/>
        <w:jc w:val="both"/>
      </w:pPr>
      <w:r>
        <w:rPr>
          <w:rFonts w:ascii="Book Antiqua" w:hAnsi="Book Antiqua"/>
          <w:lang w:val="es-ES_tradnl"/>
        </w:rPr>
        <w:t xml:space="preserve">Sección 2.- </w:t>
      </w:r>
      <w:r>
        <w:rPr>
          <w:rFonts w:ascii="Book Antiqua" w:hAnsi="Book Antiqua"/>
          <w:lang w:val="es-ES_tradnl"/>
        </w:rPr>
        <w:t xml:space="preserve">El Departamento de Educación desarrollará el contenido del programa de certificación en coordinación con la Universidad de Puerto Rico, incluyendo la definición de competencias, módulos de adiestramiento y requisitos de evaluación. </w:t>
      </w:r>
    </w:p>
    <w:p w14:paraId="273F0A90" w14:textId="77777777" w:rsidR="006C7ECB" w:rsidRDefault="003E2F46">
      <w:pPr>
        <w:widowControl w:val="0"/>
        <w:spacing w:line="480" w:lineRule="auto"/>
        <w:ind w:firstLine="720"/>
        <w:jc w:val="both"/>
      </w:pPr>
      <w:r>
        <w:rPr>
          <w:rFonts w:ascii="Book Antiqua" w:hAnsi="Book Antiqua"/>
          <w:lang w:val="es-ES_tradnl"/>
        </w:rPr>
        <w:lastRenderedPageBreak/>
        <w:t>Sección 3.-</w:t>
      </w:r>
      <w:r>
        <w:rPr>
          <w:lang w:val="es-ES_tradnl"/>
        </w:rPr>
        <w:t xml:space="preserve"> El Departamento de Educación deberá presentar un plan de </w:t>
      </w:r>
      <w:r>
        <w:rPr>
          <w:rFonts w:ascii="Book Antiqua" w:hAnsi="Book Antiqua"/>
          <w:lang w:val="es-ES_tradnl"/>
        </w:rPr>
        <w:t xml:space="preserve">implementación del programa de certificaciones ante la Asamblea Legislativa no más tarde de </w:t>
      </w:r>
      <w:r>
        <w:rPr>
          <w:rFonts w:ascii="Book Antiqua" w:hAnsi="Book Antiqua"/>
          <w:strike/>
          <w:lang w:val="es-ES_tradnl"/>
        </w:rPr>
        <w:t>sesenta (60)</w:t>
      </w:r>
      <w:r>
        <w:rPr>
          <w:rFonts w:ascii="Book Antiqua" w:hAnsi="Book Antiqua"/>
          <w:lang w:val="es-ES_tradnl"/>
        </w:rPr>
        <w:t xml:space="preserve"> </w:t>
      </w:r>
      <w:r>
        <w:rPr>
          <w:rFonts w:ascii="Book Antiqua" w:hAnsi="Book Antiqua"/>
          <w:i/>
          <w:iCs/>
          <w:u w:val="single"/>
          <w:lang w:val="es-ES_tradnl"/>
        </w:rPr>
        <w:t>ciento veinte (120)</w:t>
      </w:r>
      <w:r>
        <w:rPr>
          <w:rFonts w:ascii="Book Antiqua" w:hAnsi="Book Antiqua"/>
          <w:lang w:val="es-ES_tradnl"/>
        </w:rPr>
        <w:t xml:space="preserve"> días a partir de la aprobación de esta Resolución Conjunta. El plan deberá incluir al menos un calendario detallado de ejecución, metodología de evaluación y criterios de cumplimiento.</w:t>
      </w:r>
    </w:p>
    <w:p w14:paraId="3884FD1F" w14:textId="77777777" w:rsidR="006C7ECB" w:rsidRDefault="003E2F46">
      <w:pPr>
        <w:spacing w:line="480" w:lineRule="auto"/>
        <w:ind w:firstLine="720"/>
        <w:jc w:val="both"/>
        <w:rPr>
          <w:rFonts w:ascii="Book Antiqua" w:hAnsi="Book Antiqua"/>
          <w:lang w:val="es-ES_tradnl"/>
        </w:rPr>
      </w:pPr>
      <w:r>
        <w:rPr>
          <w:rFonts w:ascii="Book Antiqua" w:hAnsi="Book Antiqua"/>
          <w:lang w:val="es-ES_tradnl"/>
        </w:rPr>
        <w:t>Sección 4.- Todo el personal docente de Educación Especial deberá cumplir con la capacitación previo al inicio del siguiente semestre escolar a partir de la aprobación de esta medida.</w:t>
      </w:r>
    </w:p>
    <w:p w14:paraId="60EF5AB0" w14:textId="77777777" w:rsidR="006C7ECB" w:rsidRDefault="003E2F46">
      <w:pPr>
        <w:spacing w:line="480" w:lineRule="auto"/>
        <w:ind w:firstLine="720"/>
        <w:jc w:val="both"/>
        <w:rPr>
          <w:rFonts w:ascii="Book Antiqua" w:hAnsi="Book Antiqua"/>
          <w:lang w:val="es-ES_tradnl"/>
        </w:rPr>
      </w:pPr>
      <w:r>
        <w:rPr>
          <w:rFonts w:ascii="Book Antiqua" w:hAnsi="Book Antiqua"/>
          <w:lang w:val="es-ES_tradnl"/>
        </w:rPr>
        <w:t>Sección 5.- El Departamento de Educación someterá a la Asamblea Legislativa dentro de los primeros noventa (90) días del año fiscal próximo a la implementación del programa, detallando el progreso en la implementación del programa, el número de maestros certificados, los hallazgos relacionados al impacto del programa en el desempeño educativo de estudiantes con diagnóstico de autismo, y cualquier recomendación para mejoras futuras.</w:t>
      </w:r>
    </w:p>
    <w:p w14:paraId="5976F644" w14:textId="77777777" w:rsidR="006C7ECB" w:rsidRDefault="003E2F46">
      <w:pPr>
        <w:spacing w:line="480" w:lineRule="auto"/>
        <w:ind w:firstLine="720"/>
        <w:jc w:val="both"/>
      </w:pPr>
      <w:r>
        <w:rPr>
          <w:rFonts w:ascii="Book Antiqua" w:hAnsi="Book Antiqua"/>
          <w:lang w:val="es-ES_tradnl"/>
        </w:rPr>
        <w:t>Sección 6.-Esta Resolución Conjunta comenzará a regir inmediatamente después de su aprobación.</w:t>
      </w:r>
    </w:p>
    <w:sectPr w:rsidR="006C7ECB">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35E03" w14:textId="77777777" w:rsidR="003E2F46" w:rsidRDefault="003E2F46">
      <w:r>
        <w:separator/>
      </w:r>
    </w:p>
  </w:endnote>
  <w:endnote w:type="continuationSeparator" w:id="0">
    <w:p w14:paraId="4259E233" w14:textId="77777777" w:rsidR="003E2F46" w:rsidRDefault="003E2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charset w:val="00"/>
    <w:family w:val="roman"/>
    <w:pitch w:val="default"/>
  </w:font>
  <w:font w:name="CG Times (W1)">
    <w:charset w:val="00"/>
    <w:family w:val="roman"/>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00415" w14:textId="77777777" w:rsidR="003E2F46" w:rsidRDefault="003E2F46">
      <w:r>
        <w:rPr>
          <w:color w:val="000000"/>
        </w:rPr>
        <w:separator/>
      </w:r>
    </w:p>
  </w:footnote>
  <w:footnote w:type="continuationSeparator" w:id="0">
    <w:p w14:paraId="70F6FF0E" w14:textId="77777777" w:rsidR="003E2F46" w:rsidRDefault="003E2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AD44C" w14:textId="77777777" w:rsidR="003E2F46" w:rsidRDefault="003E2F46">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C7ECB"/>
    <w:rsid w:val="003E2F46"/>
    <w:rsid w:val="006C7ECB"/>
    <w:rsid w:val="009756A5"/>
    <w:rsid w:val="00D14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683E8C"/>
  <w15:docId w15:val="{A7C7C389-D982-4BDB-A5A7-F91527EF8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lang w:val="en-US" w:eastAsia="en-US"/>
    </w:rPr>
  </w:style>
  <w:style w:type="paragraph" w:styleId="Heading1">
    <w:name w:val="heading 1"/>
    <w:basedOn w:val="Normal"/>
    <w:next w:val="Normal"/>
    <w:uiPriority w:val="9"/>
    <w:qFormat/>
    <w:pPr>
      <w:keepNext/>
      <w:jc w:val="center"/>
      <w:outlineLvl w:val="0"/>
    </w:pPr>
    <w:rPr>
      <w:rFonts w:ascii="CG Times(w1)" w:eastAsia="Times New Roman" w:hAnsi="CG Times(w1)"/>
      <w:b/>
      <w:sz w:val="36"/>
    </w:rPr>
  </w:style>
  <w:style w:type="paragraph" w:styleId="Heading4">
    <w:name w:val="heading 4"/>
    <w:basedOn w:val="Normal"/>
    <w:next w:val="Normal"/>
    <w:uiPriority w:val="9"/>
    <w:semiHidden/>
    <w:unhideWhenUsed/>
    <w:qFormat/>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before="120"/>
      <w:jc w:val="both"/>
    </w:pPr>
    <w:rPr>
      <w:rFonts w:ascii="CG Times(w1)" w:hAnsi="CG Times(w1)"/>
      <w:szCs w:val="24"/>
      <w:lang w:val="es-ES_tradnl"/>
    </w:rPr>
  </w:style>
  <w:style w:type="paragraph" w:styleId="BodyTextIndent3">
    <w:name w:val="Body Text Indent 3"/>
    <w:basedOn w:val="Normal"/>
    <w:pPr>
      <w:spacing w:after="120"/>
      <w:ind w:left="360"/>
    </w:pPr>
    <w:rPr>
      <w:sz w:val="16"/>
      <w:szCs w:val="16"/>
    </w:rPr>
  </w:style>
  <w:style w:type="paragraph" w:styleId="NormalWeb">
    <w:name w:val="Normal (Web)"/>
    <w:basedOn w:val="Normal"/>
    <w:pPr>
      <w:spacing w:before="100" w:after="100"/>
    </w:pPr>
    <w:rPr>
      <w:szCs w:val="24"/>
    </w:rPr>
  </w:style>
  <w:style w:type="paragraph" w:styleId="BodyTextIndent">
    <w:name w:val="Body Text Indent"/>
    <w:basedOn w:val="Normal"/>
    <w:pPr>
      <w:spacing w:after="120"/>
      <w:ind w:left="360"/>
    </w:pPr>
  </w:style>
  <w:style w:type="paragraph" w:styleId="BalloonText">
    <w:name w:val="Balloon Text"/>
    <w:basedOn w:val="Normal"/>
    <w:rPr>
      <w:rFonts w:ascii="Tahoma" w:hAnsi="Tahoma" w:cs="Tahoma"/>
      <w:sz w:val="16"/>
      <w:szCs w:val="16"/>
    </w:rPr>
  </w:style>
  <w:style w:type="character" w:customStyle="1" w:styleId="Heading1Char">
    <w:name w:val="Heading 1 Char"/>
    <w:rPr>
      <w:rFonts w:ascii="CG Times(w1)" w:eastAsia="Times New Roman" w:hAnsi="CG Times(w1)"/>
      <w:b/>
      <w:sz w:val="36"/>
    </w:rPr>
  </w:style>
  <w:style w:type="character" w:customStyle="1" w:styleId="Heading4Char">
    <w:name w:val="Heading 4 Char"/>
    <w:rPr>
      <w:rFonts w:ascii="CG Times (W1)" w:eastAsia="Times New Roman" w:hAnsi="CG Times (W1)"/>
      <w:sz w:val="24"/>
    </w:rPr>
  </w:style>
  <w:style w:type="paragraph" w:styleId="Title">
    <w:name w:val="Title"/>
    <w:basedOn w:val="Normal"/>
    <w:uiPriority w:val="10"/>
    <w:qFormat/>
    <w:pPr>
      <w:jc w:val="center"/>
    </w:pPr>
    <w:rPr>
      <w:rFonts w:ascii="CG Times(w1)" w:eastAsia="Times New Roman" w:hAnsi="CG Times(w1)"/>
      <w:b/>
      <w:lang w:val="es-ES_tradnl"/>
    </w:rPr>
  </w:style>
  <w:style w:type="character" w:customStyle="1" w:styleId="TitleChar">
    <w:name w:val="Title Char"/>
    <w:rPr>
      <w:rFonts w:ascii="CG Times(w1)" w:eastAsia="Times New Roman" w:hAnsi="CG Times(w1)"/>
      <w:b/>
      <w:sz w:val="24"/>
      <w:lang w:val="es-ES_tradnl"/>
    </w:rPr>
  </w:style>
  <w:style w:type="paragraph" w:customStyle="1" w:styleId="c20">
    <w:name w:val="c20"/>
    <w:basedOn w:val="Normal"/>
    <w:pPr>
      <w:widowControl w:val="0"/>
      <w:spacing w:line="240" w:lineRule="atLeast"/>
      <w:jc w:val="center"/>
    </w:pPr>
    <w:rPr>
      <w:rFonts w:eastAsia="Times New Roman"/>
      <w:lang w:val="es-ES"/>
    </w:rPr>
  </w:style>
  <w:style w:type="character" w:customStyle="1" w:styleId="apple-converted-space">
    <w:name w:val="apple-converted-spac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Medida_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Medida_2001</Template>
  <TotalTime>0</TotalTime>
  <Pages>3</Pages>
  <Words>799</Words>
  <Characters>4558</Characters>
  <Application>Microsoft Office Word</Application>
  <DocSecurity>4</DocSecurity>
  <Lines>37</Lines>
  <Paragraphs>10</Paragraphs>
  <ScaleCrop>false</ScaleCrop>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condiciones de la infraestructura, el mantenimiento de la misma y la calidad del servicio que brinda la Autoridad de Energía Eléctrica</dc:subject>
  <dc:creator>Ramón Luis, JRA</dc:creator>
  <cp:keywords>RESOLUCIÓN; Región Este; Autoridad de Energía Eléctrica</cp:keywords>
  <dc:description>Para ordenar a las Comisiones de Desarrollo Integrado de la Región Este; y la de Transportación e Infraestructura de la Cámara de Representantes del Estado Libre Asociado de Puerto Rico, realizar una abarcadora investigación sobre la las condiciones de la infraestructura, el mantenimiento de la misma y la calidad del servicio que brinda la Autoridad de Energía Eléctrica en los municipios de Yabucoa, Maunabo, Patillas y San Lorenzo.</dc:description>
  <cp:lastModifiedBy>Karla De León Hernández</cp:lastModifiedBy>
  <cp:revision>2</cp:revision>
  <cp:lastPrinted>2013-04-11T13:27:00Z</cp:lastPrinted>
  <dcterms:created xsi:type="dcterms:W3CDTF">2026-05-01T15:14:00Z</dcterms:created>
  <dcterms:modified xsi:type="dcterms:W3CDTF">2026-05-01T15:14:00Z</dcterms:modified>
</cp:coreProperties>
</file>