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827A6" w14:textId="77777777" w:rsidR="00F44B56" w:rsidRPr="003E3789" w:rsidRDefault="00F44B56" w:rsidP="00F44B56">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1D35EFA3" w14:textId="39FEA7FC" w:rsidR="00F44B56" w:rsidRPr="003E3789" w:rsidRDefault="00F44B56" w:rsidP="00F44B56">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Pr>
          <w:rFonts w:ascii="Book Antiqua" w:hAnsi="Book Antiqua"/>
          <w:lang w:val="es-ES"/>
        </w:rPr>
        <w:t>3</w:t>
      </w:r>
      <w:r>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3936FC02" w14:textId="77777777" w:rsidR="00F44B56" w:rsidRPr="003E3789" w:rsidRDefault="00F44B56" w:rsidP="00F44B56">
      <w:pPr>
        <w:spacing w:line="360" w:lineRule="auto"/>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0D6EB09F" w14:textId="22C6B29D" w:rsidR="00F44B56" w:rsidRPr="00523536" w:rsidRDefault="00F44B56" w:rsidP="00F44B56">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6A7A79B5" w14:textId="7EFCD527" w:rsidR="00F44B56" w:rsidRPr="003E3789" w:rsidRDefault="00F44B56" w:rsidP="00F44B56">
      <w:pPr>
        <w:spacing w:line="360" w:lineRule="auto"/>
        <w:jc w:val="center"/>
        <w:rPr>
          <w:rFonts w:ascii="Book Antiqua" w:hAnsi="Book Antiqua"/>
          <w:b/>
          <w:sz w:val="52"/>
          <w:szCs w:val="52"/>
          <w:lang w:val="es-ES"/>
        </w:rPr>
      </w:pPr>
      <w:r w:rsidRPr="003E3789">
        <w:rPr>
          <w:rFonts w:ascii="Book Antiqua" w:hAnsi="Book Antiqua"/>
          <w:b/>
          <w:sz w:val="52"/>
          <w:szCs w:val="52"/>
          <w:lang w:val="es-ES"/>
        </w:rPr>
        <w:t>P. de</w:t>
      </w:r>
      <w:r>
        <w:rPr>
          <w:rFonts w:ascii="Book Antiqua" w:hAnsi="Book Antiqua"/>
          <w:b/>
          <w:sz w:val="52"/>
          <w:szCs w:val="52"/>
          <w:lang w:val="es-ES"/>
        </w:rPr>
        <w:t xml:space="preserve"> la</w:t>
      </w:r>
      <w:r w:rsidRPr="003E3789">
        <w:rPr>
          <w:rFonts w:ascii="Book Antiqua" w:hAnsi="Book Antiqua"/>
          <w:b/>
          <w:sz w:val="52"/>
          <w:szCs w:val="52"/>
          <w:lang w:val="es-ES"/>
        </w:rPr>
        <w:t xml:space="preserve"> </w:t>
      </w:r>
      <w:r>
        <w:rPr>
          <w:rFonts w:ascii="Book Antiqua" w:hAnsi="Book Antiqua"/>
          <w:b/>
          <w:sz w:val="52"/>
          <w:szCs w:val="52"/>
          <w:lang w:val="es-ES"/>
        </w:rPr>
        <w:t>C</w:t>
      </w:r>
      <w:r w:rsidRPr="003E3789">
        <w:rPr>
          <w:rFonts w:ascii="Book Antiqua" w:hAnsi="Book Antiqua"/>
          <w:b/>
          <w:sz w:val="52"/>
          <w:szCs w:val="52"/>
          <w:lang w:val="es-ES"/>
        </w:rPr>
        <w:t xml:space="preserve">. </w:t>
      </w:r>
      <w:r w:rsidR="008416E6">
        <w:rPr>
          <w:rFonts w:ascii="Book Antiqua" w:hAnsi="Book Antiqua"/>
          <w:b/>
          <w:sz w:val="52"/>
          <w:szCs w:val="52"/>
          <w:lang w:val="es-ES"/>
        </w:rPr>
        <w:t>664</w:t>
      </w:r>
    </w:p>
    <w:p w14:paraId="779C0C90" w14:textId="39AB464D" w:rsidR="00F44B56" w:rsidRPr="003E3789" w:rsidRDefault="00447301" w:rsidP="00F44B56">
      <w:pPr>
        <w:spacing w:line="360" w:lineRule="auto"/>
        <w:jc w:val="center"/>
        <w:rPr>
          <w:rFonts w:ascii="Book Antiqua" w:hAnsi="Book Antiqua"/>
          <w:b/>
          <w:sz w:val="28"/>
          <w:szCs w:val="28"/>
          <w:lang w:val="es-ES"/>
        </w:rPr>
      </w:pPr>
      <w:r>
        <w:rPr>
          <w:rFonts w:ascii="Book Antiqua" w:hAnsi="Book Antiqua"/>
          <w:b/>
          <w:sz w:val="28"/>
          <w:szCs w:val="28"/>
          <w:lang w:val="es-ES"/>
        </w:rPr>
        <w:t xml:space="preserve">SEGUNDO </w:t>
      </w:r>
      <w:r w:rsidR="00F44B56" w:rsidRPr="003E3789">
        <w:rPr>
          <w:rFonts w:ascii="Book Antiqua" w:hAnsi="Book Antiqua"/>
          <w:b/>
          <w:sz w:val="28"/>
          <w:szCs w:val="28"/>
          <w:lang w:val="es-ES"/>
        </w:rPr>
        <w:t>INFORME</w:t>
      </w:r>
      <w:r w:rsidR="009A0249">
        <w:rPr>
          <w:rFonts w:ascii="Book Antiqua" w:hAnsi="Book Antiqua"/>
          <w:b/>
          <w:sz w:val="28"/>
          <w:szCs w:val="28"/>
          <w:lang w:val="es-ES"/>
        </w:rPr>
        <w:t xml:space="preserve"> POSITIVO</w:t>
      </w:r>
    </w:p>
    <w:p w14:paraId="389ADB29" w14:textId="77777777" w:rsidR="00F44B56" w:rsidRPr="003E3789" w:rsidRDefault="00F44B56" w:rsidP="00F44B56">
      <w:pPr>
        <w:spacing w:line="360" w:lineRule="auto"/>
        <w:jc w:val="center"/>
        <w:rPr>
          <w:rFonts w:ascii="Book Antiqua" w:hAnsi="Book Antiqua"/>
          <w:lang w:val="es-ES"/>
        </w:rPr>
      </w:pPr>
    </w:p>
    <w:p w14:paraId="27D68EA2" w14:textId="11E64835" w:rsidR="00F44B56" w:rsidRPr="009E60BD" w:rsidRDefault="00F44B56" w:rsidP="00F44B56">
      <w:pPr>
        <w:spacing w:line="360" w:lineRule="auto"/>
        <w:jc w:val="center"/>
        <w:rPr>
          <w:rFonts w:ascii="Book Antiqua" w:hAnsi="Book Antiqua"/>
          <w:lang w:val="es-ES_tradnl"/>
        </w:rPr>
      </w:pPr>
      <w:r w:rsidRPr="003E3789">
        <w:rPr>
          <w:rFonts w:ascii="Book Antiqua" w:hAnsi="Book Antiqua"/>
          <w:lang w:val="es-ES"/>
        </w:rPr>
        <w:t xml:space="preserve"> </w:t>
      </w:r>
      <w:r w:rsidR="00C764D5">
        <w:rPr>
          <w:rFonts w:ascii="Book Antiqua" w:hAnsi="Book Antiqua"/>
          <w:lang w:val="es-ES_tradnl"/>
        </w:rPr>
        <w:t>2</w:t>
      </w:r>
      <w:r w:rsidR="00F62A1E">
        <w:rPr>
          <w:rFonts w:ascii="Book Antiqua" w:hAnsi="Book Antiqua"/>
          <w:lang w:val="es-ES_tradnl"/>
        </w:rPr>
        <w:t>3</w:t>
      </w:r>
      <w:r w:rsidR="00C7371E">
        <w:rPr>
          <w:rFonts w:ascii="Book Antiqua" w:hAnsi="Book Antiqua"/>
          <w:lang w:val="es-ES_tradnl"/>
        </w:rPr>
        <w:t xml:space="preserve"> </w:t>
      </w:r>
      <w:r w:rsidRPr="009E60BD">
        <w:rPr>
          <w:rFonts w:ascii="Book Antiqua" w:hAnsi="Book Antiqua"/>
          <w:lang w:val="es-ES_tradnl"/>
        </w:rPr>
        <w:t xml:space="preserve">de </w:t>
      </w:r>
      <w:r w:rsidR="00136211">
        <w:rPr>
          <w:rFonts w:ascii="Book Antiqua" w:hAnsi="Book Antiqua"/>
          <w:lang w:val="es-ES_tradnl"/>
        </w:rPr>
        <w:t>abril</w:t>
      </w:r>
      <w:r w:rsidRPr="009E60BD">
        <w:rPr>
          <w:rFonts w:ascii="Book Antiqua" w:hAnsi="Book Antiqua"/>
          <w:lang w:val="es-ES_tradnl"/>
        </w:rPr>
        <w:t xml:space="preserve"> de 202</w:t>
      </w:r>
      <w:r w:rsidR="00955220">
        <w:rPr>
          <w:rFonts w:ascii="Book Antiqua" w:hAnsi="Book Antiqua"/>
          <w:lang w:val="es-ES_tradnl"/>
        </w:rPr>
        <w:t>6</w:t>
      </w:r>
    </w:p>
    <w:p w14:paraId="6D2AB56A" w14:textId="77777777" w:rsidR="00F44B56" w:rsidRDefault="00F44B56" w:rsidP="00F44B56">
      <w:pPr>
        <w:spacing w:line="360" w:lineRule="auto"/>
        <w:rPr>
          <w:rFonts w:ascii="Book Antiqua" w:hAnsi="Book Antiqua"/>
          <w:b/>
          <w:lang w:val="es-ES"/>
        </w:rPr>
      </w:pPr>
    </w:p>
    <w:p w14:paraId="1A7E982C" w14:textId="77777777" w:rsidR="00F44B56" w:rsidRPr="00E24AD8" w:rsidRDefault="00F44B56" w:rsidP="00F44B56">
      <w:pPr>
        <w:spacing w:line="360" w:lineRule="auto"/>
        <w:rPr>
          <w:rFonts w:ascii="Book Antiqua" w:hAnsi="Book Antiqua"/>
          <w:b/>
          <w:lang w:val="es-ES"/>
        </w:rPr>
      </w:pPr>
    </w:p>
    <w:p w14:paraId="05A0A2C9" w14:textId="77777777" w:rsidR="00F44B56" w:rsidRPr="00E24AD8" w:rsidRDefault="00F44B56" w:rsidP="00F44B56">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7E91A17A" w14:textId="77777777" w:rsidR="00F44B56" w:rsidRPr="00E24AD8" w:rsidRDefault="00F44B56" w:rsidP="00F44B56">
      <w:pPr>
        <w:spacing w:line="360" w:lineRule="auto"/>
        <w:contextualSpacing/>
        <w:jc w:val="both"/>
        <w:rPr>
          <w:rFonts w:ascii="Book Antiqua" w:hAnsi="Book Antiqua"/>
          <w:b/>
          <w:lang w:val="es-ES_tradnl"/>
        </w:rPr>
      </w:pPr>
    </w:p>
    <w:p w14:paraId="33ECC8D2" w14:textId="545AF700" w:rsidR="00F44B56" w:rsidRPr="00E24AD8" w:rsidRDefault="00F44B56" w:rsidP="00F44B56">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w:t>
      </w:r>
      <w:r>
        <w:rPr>
          <w:rFonts w:ascii="Book Antiqua" w:hAnsi="Book Antiqua"/>
          <w:lang w:val="es-ES_tradnl"/>
        </w:rPr>
        <w:t xml:space="preserve"> </w:t>
      </w:r>
      <w:r w:rsidRPr="00E24AD8">
        <w:rPr>
          <w:rFonts w:ascii="Book Antiqua" w:hAnsi="Book Antiqua"/>
          <w:lang w:val="es-ES_tradnl"/>
        </w:rPr>
        <w:t>l</w:t>
      </w:r>
      <w:r>
        <w:rPr>
          <w:rFonts w:ascii="Book Antiqua" w:hAnsi="Book Antiqua"/>
          <w:lang w:val="es-ES_tradnl"/>
        </w:rPr>
        <w:t>a</w:t>
      </w:r>
      <w:r w:rsidRPr="00E24AD8">
        <w:rPr>
          <w:rFonts w:ascii="Book Antiqua" w:hAnsi="Book Antiqua"/>
          <w:lang w:val="es-ES_tradnl"/>
        </w:rPr>
        <w:t xml:space="preserve"> </w:t>
      </w:r>
      <w:r>
        <w:rPr>
          <w:rFonts w:ascii="Book Antiqua" w:hAnsi="Book Antiqua"/>
          <w:lang w:val="es-ES_tradnl"/>
        </w:rPr>
        <w:t xml:space="preserve">Cámara </w:t>
      </w:r>
      <w:r w:rsidR="008416E6">
        <w:rPr>
          <w:rFonts w:ascii="Book Antiqua" w:hAnsi="Book Antiqua"/>
          <w:lang w:val="es-ES_tradnl"/>
        </w:rPr>
        <w:t>664</w:t>
      </w:r>
      <w:r w:rsidRPr="00E24AD8">
        <w:rPr>
          <w:rFonts w:ascii="Book Antiqua" w:hAnsi="Book Antiqua"/>
          <w:lang w:val="es-ES_tradnl"/>
        </w:rPr>
        <w:t xml:space="preserve">, tiene a bien recomendar a este Alto Cuerpo la aprobación de la pieza legislativa </w:t>
      </w:r>
      <w:r w:rsidR="00526D02">
        <w:rPr>
          <w:rFonts w:ascii="Book Antiqua" w:hAnsi="Book Antiqua"/>
          <w:lang w:val="es-ES_tradnl"/>
        </w:rPr>
        <w:t>con</w:t>
      </w:r>
      <w:r w:rsidRPr="00E24AD8">
        <w:rPr>
          <w:rFonts w:ascii="Book Antiqua" w:hAnsi="Book Antiqua"/>
          <w:lang w:val="es-ES_tradnl"/>
        </w:rPr>
        <w:t xml:space="preserve"> enmiendas</w:t>
      </w:r>
      <w:r w:rsidR="00526D02">
        <w:rPr>
          <w:rFonts w:ascii="Book Antiqua" w:hAnsi="Book Antiqua"/>
          <w:lang w:val="es-ES_tradnl"/>
        </w:rPr>
        <w:t xml:space="preserve"> presentadas en el </w:t>
      </w:r>
      <w:proofErr w:type="spellStart"/>
      <w:r w:rsidR="00526D02">
        <w:rPr>
          <w:rFonts w:ascii="Book Antiqua" w:hAnsi="Book Antiqua"/>
          <w:lang w:val="es-ES_tradnl"/>
        </w:rPr>
        <w:t>Entirillado</w:t>
      </w:r>
      <w:proofErr w:type="spellEnd"/>
      <w:r w:rsidR="00526D02">
        <w:rPr>
          <w:rFonts w:ascii="Book Antiqua" w:hAnsi="Book Antiqua"/>
          <w:lang w:val="es-ES_tradnl"/>
        </w:rPr>
        <w:t xml:space="preserve"> Electrónico que acompaña este </w:t>
      </w:r>
      <w:r w:rsidR="00F62A1E">
        <w:rPr>
          <w:rFonts w:ascii="Book Antiqua" w:hAnsi="Book Antiqua"/>
          <w:lang w:val="es-ES_tradnl"/>
        </w:rPr>
        <w:t>Segundo I</w:t>
      </w:r>
      <w:r w:rsidR="00526D02">
        <w:rPr>
          <w:rFonts w:ascii="Book Antiqua" w:hAnsi="Book Antiqua"/>
          <w:lang w:val="es-ES_tradnl"/>
        </w:rPr>
        <w:t>nforme</w:t>
      </w:r>
      <w:r w:rsidR="009A0249">
        <w:rPr>
          <w:rFonts w:ascii="Book Antiqua" w:hAnsi="Book Antiqua"/>
          <w:lang w:val="es-ES_tradnl"/>
        </w:rPr>
        <w:t xml:space="preserve"> Positivo</w:t>
      </w:r>
      <w:r w:rsidRPr="00E24AD8">
        <w:rPr>
          <w:rFonts w:ascii="Book Antiqua" w:hAnsi="Book Antiqua"/>
          <w:lang w:val="es-ES_tradnl"/>
        </w:rPr>
        <w:t>.</w:t>
      </w:r>
    </w:p>
    <w:p w14:paraId="1DE0F1BD" w14:textId="77777777" w:rsidR="00F44B56" w:rsidRPr="00E24AD8" w:rsidRDefault="00F44B56" w:rsidP="00F44B56">
      <w:pPr>
        <w:spacing w:line="360" w:lineRule="auto"/>
        <w:jc w:val="both"/>
        <w:outlineLvl w:val="0"/>
        <w:rPr>
          <w:rFonts w:ascii="Book Antiqua" w:hAnsi="Book Antiqua"/>
          <w:lang w:val="es-ES_tradnl"/>
        </w:rPr>
      </w:pPr>
    </w:p>
    <w:p w14:paraId="59A6A425" w14:textId="77777777" w:rsidR="00F44B56" w:rsidRPr="00E24AD8" w:rsidRDefault="00F44B56" w:rsidP="00F44B56">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68F3FA07" w14:textId="4317F00E" w:rsidR="00F44B56" w:rsidRDefault="00F44B56" w:rsidP="00F44B56">
      <w:pPr>
        <w:tabs>
          <w:tab w:val="left" w:pos="0"/>
        </w:tabs>
        <w:spacing w:line="360" w:lineRule="auto"/>
        <w:ind w:firstLine="360"/>
        <w:jc w:val="both"/>
        <w:rPr>
          <w:rFonts w:ascii="Book Antiqua" w:hAnsi="Book Antiqua"/>
          <w:lang w:val="es-ES"/>
        </w:rPr>
      </w:pPr>
      <w:r w:rsidRPr="00E24AD8">
        <w:rPr>
          <w:rFonts w:ascii="Book Antiqua" w:hAnsi="Book Antiqua"/>
          <w:lang w:val="es-ES"/>
        </w:rPr>
        <w:tab/>
        <w:t>El Proyecto de</w:t>
      </w:r>
      <w:r>
        <w:rPr>
          <w:rFonts w:ascii="Book Antiqua" w:hAnsi="Book Antiqua"/>
          <w:lang w:val="es-ES"/>
        </w:rPr>
        <w:t xml:space="preserve"> </w:t>
      </w:r>
      <w:r w:rsidRPr="00E24AD8">
        <w:rPr>
          <w:rFonts w:ascii="Book Antiqua" w:hAnsi="Book Antiqua"/>
          <w:lang w:val="es-ES"/>
        </w:rPr>
        <w:t>l</w:t>
      </w:r>
      <w:r>
        <w:rPr>
          <w:rFonts w:ascii="Book Antiqua" w:hAnsi="Book Antiqua"/>
          <w:lang w:val="es-ES"/>
        </w:rPr>
        <w:t>a</w:t>
      </w:r>
      <w:r w:rsidRPr="00E24AD8">
        <w:rPr>
          <w:rFonts w:ascii="Book Antiqua" w:hAnsi="Book Antiqua"/>
          <w:lang w:val="es-ES"/>
        </w:rPr>
        <w:t xml:space="preserve"> </w:t>
      </w:r>
      <w:r>
        <w:rPr>
          <w:rFonts w:ascii="Book Antiqua" w:hAnsi="Book Antiqua"/>
          <w:lang w:val="es-ES"/>
        </w:rPr>
        <w:t>Cámara</w:t>
      </w:r>
      <w:r w:rsidRPr="00E24AD8">
        <w:rPr>
          <w:rFonts w:ascii="Book Antiqua" w:hAnsi="Book Antiqua"/>
          <w:lang w:val="es-ES"/>
        </w:rPr>
        <w:t xml:space="preserve"> </w:t>
      </w:r>
      <w:r w:rsidR="008416E6">
        <w:rPr>
          <w:rFonts w:ascii="Book Antiqua" w:hAnsi="Book Antiqua"/>
          <w:lang w:val="es-ES"/>
        </w:rPr>
        <w:t>664</w:t>
      </w:r>
      <w:r w:rsidRPr="00E24AD8">
        <w:rPr>
          <w:rFonts w:ascii="Book Antiqua" w:hAnsi="Book Antiqua"/>
          <w:lang w:val="es-ES"/>
        </w:rPr>
        <w:t xml:space="preserve"> tiene como objetivo </w:t>
      </w:r>
      <w:r w:rsidRPr="00A64F09">
        <w:rPr>
          <w:rFonts w:ascii="Book Antiqua" w:hAnsi="Book Antiqua"/>
          <w:i/>
          <w:iCs/>
          <w:lang w:val="es-ES"/>
        </w:rPr>
        <w:t>“…</w:t>
      </w:r>
      <w:r w:rsidR="008416E6" w:rsidRPr="008416E6">
        <w:rPr>
          <w:rFonts w:ascii="Book Antiqua" w:hAnsi="Book Antiqua"/>
          <w:i/>
          <w:iCs/>
          <w:lang w:val="es-ES"/>
        </w:rPr>
        <w:t>establecer la “Ley de Competencia Desleal de Puerto Rico”, a los fines de prohibir los actos de competencia desleal según dispuestos en la presente ley; enmendar el Artículo 3 de la Ley Núm. 77 de 25 de junio de 1964, según enmendada, conocida como “Ley Antimonopolística de Puerto Rico”, a los fines de disponer los mecanismos disponibles para que las personas en riesgo de ser afectadas puedan presentar sus reclamos; y para otros fines relacionados.</w:t>
      </w:r>
      <w:r>
        <w:rPr>
          <w:rFonts w:ascii="Book Antiqua" w:hAnsi="Book Antiqua"/>
          <w:i/>
          <w:iCs/>
          <w:lang w:val="es-ES"/>
        </w:rPr>
        <w:t>”</w:t>
      </w:r>
    </w:p>
    <w:p w14:paraId="72CBCF88" w14:textId="77777777" w:rsidR="00F44B56" w:rsidRDefault="00F44B56" w:rsidP="00F44B56">
      <w:pPr>
        <w:tabs>
          <w:tab w:val="left" w:pos="0"/>
        </w:tabs>
        <w:spacing w:line="360" w:lineRule="auto"/>
        <w:ind w:firstLine="360"/>
        <w:jc w:val="both"/>
        <w:rPr>
          <w:rFonts w:ascii="Book Antiqua" w:hAnsi="Book Antiqua"/>
          <w:lang w:val="es-ES"/>
        </w:rPr>
      </w:pPr>
    </w:p>
    <w:p w14:paraId="3AEF64A7" w14:textId="77777777" w:rsidR="00955220" w:rsidRPr="00E24AD8" w:rsidRDefault="00955220" w:rsidP="00F44B56">
      <w:pPr>
        <w:tabs>
          <w:tab w:val="left" w:pos="0"/>
        </w:tabs>
        <w:spacing w:line="360" w:lineRule="auto"/>
        <w:ind w:firstLine="360"/>
        <w:jc w:val="both"/>
        <w:rPr>
          <w:rFonts w:ascii="Book Antiqua" w:hAnsi="Book Antiqua"/>
          <w:lang w:val="es-ES"/>
        </w:rPr>
      </w:pPr>
    </w:p>
    <w:p w14:paraId="63114CED" w14:textId="77777777" w:rsidR="008416E6" w:rsidRDefault="008416E6" w:rsidP="00F44B56">
      <w:pPr>
        <w:spacing w:line="360" w:lineRule="auto"/>
        <w:jc w:val="center"/>
        <w:rPr>
          <w:rFonts w:ascii="Book Antiqua" w:hAnsi="Book Antiqua"/>
          <w:b/>
          <w:color w:val="000000"/>
          <w:lang w:val="es-ES"/>
        </w:rPr>
      </w:pPr>
    </w:p>
    <w:p w14:paraId="0FE59151" w14:textId="27F7A8BE" w:rsidR="00F44B56" w:rsidRDefault="00F44B56" w:rsidP="00F44B56">
      <w:pPr>
        <w:spacing w:line="360" w:lineRule="auto"/>
        <w:jc w:val="center"/>
        <w:rPr>
          <w:rFonts w:ascii="Book Antiqua" w:hAnsi="Book Antiqua"/>
          <w:b/>
          <w:color w:val="000000"/>
          <w:lang w:val="es-ES"/>
        </w:rPr>
      </w:pPr>
      <w:r w:rsidRPr="00E24AD8">
        <w:rPr>
          <w:rFonts w:ascii="Book Antiqua" w:hAnsi="Book Antiqua"/>
          <w:b/>
          <w:color w:val="000000"/>
          <w:lang w:val="es-ES"/>
        </w:rPr>
        <w:lastRenderedPageBreak/>
        <w:t>INTRODUCCIÓN</w:t>
      </w:r>
    </w:p>
    <w:p w14:paraId="7E98C46E" w14:textId="011C9EEF" w:rsidR="008416E6" w:rsidRPr="008416E6" w:rsidRDefault="00F44B56" w:rsidP="008416E6">
      <w:pPr>
        <w:tabs>
          <w:tab w:val="left" w:pos="0"/>
        </w:tabs>
        <w:spacing w:line="360" w:lineRule="auto"/>
        <w:jc w:val="both"/>
        <w:rPr>
          <w:rFonts w:ascii="Book Antiqua" w:hAnsi="Book Antiqua"/>
          <w:bCs/>
          <w:color w:val="000000"/>
          <w:lang w:val="es-PR"/>
        </w:rPr>
      </w:pPr>
      <w:r w:rsidRPr="00E24AD8">
        <w:rPr>
          <w:rFonts w:ascii="Book Antiqua" w:hAnsi="Book Antiqua"/>
          <w:bCs/>
          <w:color w:val="000000"/>
          <w:lang w:val="es-ES"/>
        </w:rPr>
        <w:tab/>
      </w:r>
      <w:r w:rsidR="008416E6" w:rsidRPr="008416E6">
        <w:rPr>
          <w:rFonts w:ascii="Book Antiqua" w:hAnsi="Book Antiqua"/>
          <w:bCs/>
          <w:color w:val="000000"/>
          <w:lang w:val="es-PR"/>
        </w:rPr>
        <w:t xml:space="preserve">El Proyecto de la Cámara 664 propone la adopción de la “Ley de Competencia Desleal de Puerto Rico”, una medida legislativa diseñada para atender un vacío normativo existente en el ordenamiento jurídico puertorriqueño. Aunque el </w:t>
      </w:r>
      <w:r w:rsidR="008416E6">
        <w:rPr>
          <w:rFonts w:ascii="Book Antiqua" w:hAnsi="Book Antiqua"/>
          <w:bCs/>
          <w:color w:val="000000"/>
          <w:lang w:val="es-PR"/>
        </w:rPr>
        <w:t>Gobierno de Puerto Rico</w:t>
      </w:r>
      <w:r w:rsidR="008416E6" w:rsidRPr="008416E6">
        <w:rPr>
          <w:rFonts w:ascii="Book Antiqua" w:hAnsi="Book Antiqua"/>
          <w:bCs/>
          <w:color w:val="000000"/>
          <w:lang w:val="es-PR"/>
        </w:rPr>
        <w:t xml:space="preserve"> cuenta desde 1964 con </w:t>
      </w:r>
      <w:r w:rsidR="008416E6">
        <w:rPr>
          <w:rFonts w:ascii="Book Antiqua" w:hAnsi="Book Antiqua"/>
          <w:bCs/>
          <w:color w:val="000000"/>
          <w:lang w:val="es-PR"/>
        </w:rPr>
        <w:t>la</w:t>
      </w:r>
      <w:r w:rsidR="008416E6" w:rsidRPr="008416E6">
        <w:rPr>
          <w:rFonts w:ascii="Book Antiqua" w:hAnsi="Book Antiqua"/>
          <w:bCs/>
          <w:color w:val="000000"/>
          <w:lang w:val="es-PR"/>
        </w:rPr>
        <w:t xml:space="preserve"> </w:t>
      </w:r>
      <w:r w:rsidR="008416E6">
        <w:rPr>
          <w:rFonts w:ascii="Book Antiqua" w:hAnsi="Book Antiqua"/>
          <w:bCs/>
          <w:color w:val="000000"/>
          <w:lang w:val="es-PR"/>
        </w:rPr>
        <w:t>“</w:t>
      </w:r>
      <w:r w:rsidR="008416E6" w:rsidRPr="008416E6">
        <w:rPr>
          <w:rFonts w:ascii="Book Antiqua" w:hAnsi="Book Antiqua"/>
          <w:bCs/>
          <w:color w:val="000000"/>
          <w:lang w:val="es-PR"/>
        </w:rPr>
        <w:t>Ley Antimonopo</w:t>
      </w:r>
      <w:r w:rsidR="008416E6">
        <w:rPr>
          <w:rFonts w:ascii="Book Antiqua" w:hAnsi="Book Antiqua"/>
          <w:bCs/>
          <w:color w:val="000000"/>
          <w:lang w:val="es-PR"/>
        </w:rPr>
        <w:t xml:space="preserve">lio de Puerto Rico”, </w:t>
      </w:r>
      <w:r w:rsidR="008416E6" w:rsidRPr="008416E6">
        <w:rPr>
          <w:rFonts w:ascii="Book Antiqua" w:hAnsi="Book Antiqua"/>
          <w:bCs/>
          <w:color w:val="000000"/>
          <w:lang w:val="es-PR"/>
        </w:rPr>
        <w:t>Ley Núm. 77 de 25 de junio de 1964, según enmendada</w:t>
      </w:r>
      <w:r w:rsidR="008416E6">
        <w:rPr>
          <w:rFonts w:ascii="Book Antiqua" w:hAnsi="Book Antiqua"/>
          <w:bCs/>
          <w:color w:val="000000"/>
          <w:lang w:val="es-PR"/>
        </w:rPr>
        <w:t>,</w:t>
      </w:r>
      <w:r w:rsidR="008416E6" w:rsidRPr="008416E6">
        <w:rPr>
          <w:rFonts w:ascii="Book Antiqua" w:hAnsi="Book Antiqua"/>
          <w:bCs/>
          <w:color w:val="000000"/>
          <w:lang w:val="es-PR"/>
        </w:rPr>
        <w:t xml:space="preserve"> y con la Oficina de Asuntos Monopolísticos (OAM) </w:t>
      </w:r>
      <w:r w:rsidR="008416E6">
        <w:rPr>
          <w:rFonts w:ascii="Book Antiqua" w:hAnsi="Book Antiqua"/>
          <w:bCs/>
          <w:color w:val="000000"/>
          <w:lang w:val="es-PR"/>
        </w:rPr>
        <w:t xml:space="preserve">del Departamento de Justicia, </w:t>
      </w:r>
      <w:r w:rsidR="008416E6" w:rsidRPr="008416E6">
        <w:rPr>
          <w:rFonts w:ascii="Book Antiqua" w:hAnsi="Book Antiqua"/>
          <w:bCs/>
          <w:color w:val="000000"/>
          <w:lang w:val="es-PR"/>
        </w:rPr>
        <w:t>como ente fiscalizador, el marco vigente no provee mecanismos adecuados para que las personas perjudicadas por prácticas de competencia desleal puedan acceder directamente a los tribunales en búsqueda de remedi</w:t>
      </w:r>
      <w:r w:rsidR="008416E6">
        <w:rPr>
          <w:rFonts w:ascii="Book Antiqua" w:hAnsi="Book Antiqua"/>
          <w:bCs/>
          <w:color w:val="000000"/>
          <w:lang w:val="es-PR"/>
        </w:rPr>
        <w:t>os inmediatos</w:t>
      </w:r>
      <w:r w:rsidR="008416E6" w:rsidRPr="008416E6">
        <w:rPr>
          <w:rFonts w:ascii="Book Antiqua" w:hAnsi="Book Antiqua"/>
          <w:bCs/>
          <w:color w:val="000000"/>
          <w:lang w:val="es-PR"/>
        </w:rPr>
        <w:t>.</w:t>
      </w:r>
    </w:p>
    <w:p w14:paraId="45B4BBDA" w14:textId="27F7A8BC" w:rsidR="008416E6" w:rsidRDefault="008416E6" w:rsidP="008416E6">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Pr="008416E6">
        <w:rPr>
          <w:rFonts w:ascii="Book Antiqua" w:hAnsi="Book Antiqua"/>
          <w:bCs/>
          <w:color w:val="000000"/>
          <w:lang w:val="es-PR"/>
        </w:rPr>
        <w:t>A diferencia de la mayoría de las jurisdicciones de los Estados Unidos, España y la Unión Europea</w:t>
      </w:r>
      <w:r>
        <w:rPr>
          <w:rFonts w:ascii="Book Antiqua" w:hAnsi="Book Antiqua"/>
          <w:bCs/>
          <w:color w:val="000000"/>
          <w:lang w:val="es-PR"/>
        </w:rPr>
        <w:t xml:space="preserve">, </w:t>
      </w:r>
      <w:r w:rsidRPr="008416E6">
        <w:rPr>
          <w:rFonts w:ascii="Book Antiqua" w:hAnsi="Book Antiqua"/>
          <w:bCs/>
          <w:color w:val="000000"/>
          <w:lang w:val="es-PR"/>
        </w:rPr>
        <w:t>donde existen leyes específicas que permiten acciones privadas por daños, interdictos y otras protecciones frente a prácticas desleales en el mercad</w:t>
      </w:r>
      <w:r>
        <w:rPr>
          <w:rFonts w:ascii="Book Antiqua" w:hAnsi="Book Antiqua"/>
          <w:bCs/>
          <w:color w:val="000000"/>
          <w:lang w:val="es-PR"/>
        </w:rPr>
        <w:t>o,</w:t>
      </w:r>
      <w:r w:rsidRPr="008416E6">
        <w:rPr>
          <w:rFonts w:ascii="Book Antiqua" w:hAnsi="Book Antiqua"/>
          <w:bCs/>
          <w:color w:val="000000"/>
          <w:lang w:val="es-PR"/>
        </w:rPr>
        <w:t xml:space="preserve"> Puerto Rico ha mantenido un esquema predominantemente administrativo que ha </w:t>
      </w:r>
      <w:r>
        <w:rPr>
          <w:rFonts w:ascii="Book Antiqua" w:hAnsi="Book Antiqua"/>
          <w:bCs/>
          <w:color w:val="000000"/>
          <w:lang w:val="es-PR"/>
        </w:rPr>
        <w:t>sido</w:t>
      </w:r>
      <w:r w:rsidRPr="008416E6">
        <w:rPr>
          <w:rFonts w:ascii="Book Antiqua" w:hAnsi="Book Antiqua"/>
          <w:bCs/>
          <w:color w:val="000000"/>
          <w:lang w:val="es-PR"/>
        </w:rPr>
        <w:t xml:space="preserve"> limitado para atender conductas que afectan tanto a consumidores como a participantes del mercado. </w:t>
      </w:r>
      <w:r>
        <w:rPr>
          <w:rFonts w:ascii="Book Antiqua" w:hAnsi="Book Antiqua"/>
          <w:bCs/>
          <w:color w:val="000000"/>
          <w:lang w:val="es-PR"/>
        </w:rPr>
        <w:t>Según expresa la medida, e</w:t>
      </w:r>
      <w:r w:rsidRPr="008416E6">
        <w:rPr>
          <w:rFonts w:ascii="Book Antiqua" w:hAnsi="Book Antiqua"/>
          <w:bCs/>
          <w:color w:val="000000"/>
          <w:lang w:val="es-PR"/>
        </w:rPr>
        <w:t>sta falta de evolución regulatoria ha colocado a los ciudadanos y empresas locales en desventaja competitiva frente a aquellas jurisdicciones que cuentan con marcos más robustos y modernos.</w:t>
      </w:r>
    </w:p>
    <w:p w14:paraId="419778D4" w14:textId="34161A66" w:rsidR="008416E6" w:rsidRPr="008416E6" w:rsidRDefault="008416E6" w:rsidP="008416E6">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Pr="008416E6">
        <w:rPr>
          <w:rFonts w:ascii="Book Antiqua" w:hAnsi="Book Antiqua"/>
          <w:bCs/>
          <w:color w:val="000000"/>
          <w:lang w:val="es-PR"/>
        </w:rPr>
        <w:t xml:space="preserve">El PC 664 responde a </w:t>
      </w:r>
      <w:r>
        <w:rPr>
          <w:rFonts w:ascii="Book Antiqua" w:hAnsi="Book Antiqua"/>
          <w:bCs/>
          <w:color w:val="000000"/>
          <w:lang w:val="es-PR"/>
        </w:rPr>
        <w:t>l</w:t>
      </w:r>
      <w:r w:rsidRPr="008416E6">
        <w:rPr>
          <w:rFonts w:ascii="Book Antiqua" w:hAnsi="Book Antiqua"/>
          <w:bCs/>
          <w:color w:val="000000"/>
          <w:lang w:val="es-PR"/>
        </w:rPr>
        <w:t>a necesidad mediante la creación de un estatuto que tipifica de manera detallada diversas prácticas comerciales desleales, establece acciones judiciales disponibles y proporciona mecanismos claros para la protección de los intereses económicos de consumidores, profesionales y empresarios. La medida aspira a fortalecer la transparencia en el mercado, promover la inversión y acercar a Puerto Rico a los estándares internacionales en materia de competencia desleal.</w:t>
      </w:r>
    </w:p>
    <w:p w14:paraId="35F1408D" w14:textId="77777777" w:rsidR="00F62A1E" w:rsidRDefault="00F62A1E" w:rsidP="00F44B56">
      <w:pPr>
        <w:spacing w:line="360" w:lineRule="auto"/>
        <w:jc w:val="center"/>
        <w:rPr>
          <w:rFonts w:ascii="Book Antiqua" w:hAnsi="Book Antiqua"/>
          <w:b/>
          <w:caps/>
          <w:color w:val="000000"/>
          <w:lang w:val="es-ES"/>
        </w:rPr>
      </w:pPr>
    </w:p>
    <w:p w14:paraId="6E7727FE" w14:textId="6AFAE35C" w:rsidR="00F44B56" w:rsidRDefault="00F44B56" w:rsidP="00F44B56">
      <w:pPr>
        <w:spacing w:line="360" w:lineRule="auto"/>
        <w:jc w:val="center"/>
        <w:rPr>
          <w:rFonts w:ascii="Book Antiqua" w:hAnsi="Book Antiqua"/>
          <w:b/>
          <w:caps/>
          <w:color w:val="000000"/>
          <w:lang w:val="es-ES"/>
        </w:rPr>
      </w:pPr>
      <w:r w:rsidRPr="00E24AD8">
        <w:rPr>
          <w:rFonts w:ascii="Book Antiqua" w:hAnsi="Book Antiqua"/>
          <w:b/>
          <w:caps/>
          <w:color w:val="000000"/>
          <w:lang w:val="es-ES"/>
        </w:rPr>
        <w:t>AnÁlisis de la Medida</w:t>
      </w:r>
    </w:p>
    <w:p w14:paraId="50C6DABE" w14:textId="2C8AAB3F" w:rsidR="00132E8D" w:rsidRDefault="00F44B56" w:rsidP="00F44B56">
      <w:pPr>
        <w:tabs>
          <w:tab w:val="left" w:pos="0"/>
        </w:tabs>
        <w:spacing w:line="360" w:lineRule="auto"/>
        <w:ind w:firstLine="360"/>
        <w:jc w:val="both"/>
        <w:rPr>
          <w:rFonts w:ascii="Book Antiqua" w:hAnsi="Book Antiqua"/>
          <w:lang w:val="es-ES"/>
        </w:rPr>
      </w:pPr>
      <w:r>
        <w:rPr>
          <w:rFonts w:ascii="Book Antiqua" w:hAnsi="Book Antiqua"/>
          <w:lang w:val="es-ES"/>
        </w:rPr>
        <w:t>Esta</w:t>
      </w:r>
      <w:r w:rsidRPr="00E24AD8">
        <w:rPr>
          <w:rFonts w:ascii="Book Antiqua" w:hAnsi="Book Antiqua"/>
          <w:lang w:val="es-ES"/>
        </w:rPr>
        <w:t xml:space="preserve"> Comisión de Desarrollo Económico</w:t>
      </w:r>
      <w:r>
        <w:rPr>
          <w:rFonts w:ascii="Book Antiqua" w:hAnsi="Book Antiqua"/>
          <w:lang w:val="es-ES"/>
        </w:rPr>
        <w:t xml:space="preserve"> de la Cámara de Representantes</w:t>
      </w:r>
      <w:r w:rsidRPr="00E24AD8">
        <w:rPr>
          <w:rFonts w:ascii="Book Antiqua" w:hAnsi="Book Antiqua"/>
          <w:lang w:val="es-ES"/>
        </w:rPr>
        <w:t xml:space="preserve"> de Puerto Rico contó con los comentarios </w:t>
      </w:r>
      <w:r w:rsidRPr="00175115">
        <w:rPr>
          <w:rFonts w:ascii="Book Antiqua" w:hAnsi="Book Antiqua"/>
          <w:lang w:val="es-ES"/>
        </w:rPr>
        <w:t>del Departamento de Desarrollo Económico y Comercio (DDEC)</w:t>
      </w:r>
      <w:r w:rsidR="008416E6">
        <w:rPr>
          <w:rFonts w:ascii="Book Antiqua" w:hAnsi="Book Antiqua"/>
          <w:lang w:val="es-ES"/>
        </w:rPr>
        <w:t xml:space="preserve">, Departamento de Asuntos del Consumidor (DACO), Departamento de Justicia, </w:t>
      </w:r>
      <w:r w:rsidR="008416E6">
        <w:rPr>
          <w:rFonts w:ascii="Book Antiqua" w:hAnsi="Book Antiqua"/>
          <w:lang w:val="es-ES"/>
        </w:rPr>
        <w:lastRenderedPageBreak/>
        <w:t xml:space="preserve">así como entidades </w:t>
      </w:r>
      <w:r w:rsidR="00286B39">
        <w:rPr>
          <w:rFonts w:ascii="Book Antiqua" w:hAnsi="Book Antiqua"/>
          <w:lang w:val="es-ES"/>
        </w:rPr>
        <w:t>y personas con interés como</w:t>
      </w:r>
      <w:r w:rsidR="008416E6">
        <w:rPr>
          <w:rFonts w:ascii="Book Antiqua" w:hAnsi="Book Antiqua"/>
          <w:lang w:val="es-ES"/>
        </w:rPr>
        <w:t xml:space="preserve"> Centro Unido</w:t>
      </w:r>
      <w:r w:rsidR="00E90F14">
        <w:rPr>
          <w:rFonts w:ascii="Book Antiqua" w:hAnsi="Book Antiqua"/>
          <w:lang w:val="es-ES"/>
        </w:rPr>
        <w:t xml:space="preserve"> de Detallistas (CUD)</w:t>
      </w:r>
      <w:r w:rsidR="008416E6">
        <w:rPr>
          <w:rFonts w:ascii="Book Antiqua" w:hAnsi="Book Antiqua"/>
          <w:lang w:val="es-ES"/>
        </w:rPr>
        <w:t xml:space="preserve"> y el Dr. Frenando J. E</w:t>
      </w:r>
      <w:r w:rsidR="008D116B">
        <w:rPr>
          <w:rFonts w:ascii="Book Antiqua" w:hAnsi="Book Antiqua"/>
          <w:lang w:val="es-ES"/>
        </w:rPr>
        <w:t>chegaray Dalecio.</w:t>
      </w:r>
      <w:r>
        <w:rPr>
          <w:rFonts w:ascii="Book Antiqua" w:hAnsi="Book Antiqua"/>
          <w:lang w:val="es-ES"/>
        </w:rPr>
        <w:t xml:space="preserve"> </w:t>
      </w:r>
      <w:r w:rsidR="00286B39">
        <w:rPr>
          <w:rFonts w:ascii="Book Antiqua" w:hAnsi="Book Antiqua"/>
          <w:lang w:val="es-ES"/>
        </w:rPr>
        <w:t>C</w:t>
      </w:r>
      <w:r>
        <w:rPr>
          <w:rFonts w:ascii="Book Antiqua" w:hAnsi="Book Antiqua"/>
          <w:lang w:val="es-ES"/>
        </w:rPr>
        <w:t>omo</w:t>
      </w:r>
      <w:r w:rsidR="00286B39">
        <w:rPr>
          <w:rFonts w:ascii="Book Antiqua" w:hAnsi="Book Antiqua"/>
          <w:lang w:val="es-ES"/>
        </w:rPr>
        <w:t xml:space="preserve"> parte del proceso de investigación se celebró</w:t>
      </w:r>
      <w:r>
        <w:rPr>
          <w:rFonts w:ascii="Book Antiqua" w:hAnsi="Book Antiqua"/>
          <w:lang w:val="es-ES"/>
        </w:rPr>
        <w:t xml:space="preserve"> una Vista Pública, para el análisis de la medida. </w:t>
      </w:r>
    </w:p>
    <w:p w14:paraId="6EC913C2" w14:textId="6D861807" w:rsidR="008D116B" w:rsidRDefault="008D116B" w:rsidP="00F44B56">
      <w:pPr>
        <w:tabs>
          <w:tab w:val="left" w:pos="0"/>
        </w:tabs>
        <w:spacing w:line="360" w:lineRule="auto"/>
        <w:ind w:firstLine="360"/>
        <w:jc w:val="both"/>
        <w:rPr>
          <w:rFonts w:ascii="Book Antiqua" w:hAnsi="Book Antiqua"/>
          <w:lang w:val="es-ES"/>
        </w:rPr>
      </w:pPr>
      <w:r>
        <w:rPr>
          <w:rFonts w:ascii="Book Antiqua" w:hAnsi="Book Antiqua"/>
          <w:lang w:val="es-ES"/>
        </w:rPr>
        <w:t>El D</w:t>
      </w:r>
      <w:r w:rsidR="00132E8D">
        <w:rPr>
          <w:rFonts w:ascii="Book Antiqua" w:hAnsi="Book Antiqua"/>
          <w:lang w:val="es-ES"/>
        </w:rPr>
        <w:t xml:space="preserve">epartamento de </w:t>
      </w:r>
      <w:r>
        <w:rPr>
          <w:rFonts w:ascii="Book Antiqua" w:hAnsi="Book Antiqua"/>
          <w:lang w:val="es-ES"/>
        </w:rPr>
        <w:t>D</w:t>
      </w:r>
      <w:r w:rsidR="00132E8D">
        <w:rPr>
          <w:rFonts w:ascii="Book Antiqua" w:hAnsi="Book Antiqua"/>
          <w:lang w:val="es-ES"/>
        </w:rPr>
        <w:t xml:space="preserve">esarrollo Económico (DDEC) dio deferencia a la opinión del Departamento de Justicia al reconocer que es esta dependencia gubernamental quien tiene la pericia e injerencia en el tema. </w:t>
      </w:r>
    </w:p>
    <w:p w14:paraId="1B59A5C5" w14:textId="77777777" w:rsidR="00132E8D" w:rsidRDefault="00132E8D" w:rsidP="00132E8D">
      <w:pPr>
        <w:tabs>
          <w:tab w:val="left" w:pos="0"/>
        </w:tabs>
        <w:spacing w:line="360" w:lineRule="auto"/>
        <w:ind w:firstLine="360"/>
        <w:jc w:val="both"/>
        <w:rPr>
          <w:rFonts w:ascii="Book Antiqua" w:hAnsi="Book Antiqua"/>
          <w:lang w:val="es-PR"/>
        </w:rPr>
      </w:pPr>
      <w:r w:rsidRPr="00132E8D">
        <w:rPr>
          <w:rFonts w:ascii="Book Antiqua" w:hAnsi="Book Antiqua"/>
          <w:lang w:val="es-PR"/>
        </w:rPr>
        <w:t xml:space="preserve">El Departamento de Asuntos del Consumidor </w:t>
      </w:r>
      <w:r>
        <w:rPr>
          <w:rFonts w:ascii="Book Antiqua" w:hAnsi="Book Antiqua"/>
          <w:lang w:val="es-PR"/>
        </w:rPr>
        <w:t>(DACO) en su memorial</w:t>
      </w:r>
      <w:r w:rsidRPr="00132E8D">
        <w:rPr>
          <w:rFonts w:ascii="Book Antiqua" w:hAnsi="Book Antiqua"/>
          <w:lang w:val="es-PR"/>
        </w:rPr>
        <w:t xml:space="preserve"> reconoce que la medida representa un avance significativo para el fortalecimiento del marco legal relacionado con la competencia desleal en Puerto Rico. DACO subray</w:t>
      </w:r>
      <w:r>
        <w:rPr>
          <w:rFonts w:ascii="Book Antiqua" w:hAnsi="Book Antiqua"/>
          <w:lang w:val="es-PR"/>
        </w:rPr>
        <w:t>ó</w:t>
      </w:r>
      <w:r w:rsidRPr="00132E8D">
        <w:rPr>
          <w:rFonts w:ascii="Book Antiqua" w:hAnsi="Book Antiqua"/>
          <w:lang w:val="es-PR"/>
        </w:rPr>
        <w:t xml:space="preserve"> que la iniciativa complementa la protección existente al consumidor, al tipificar prácticas de competencia desleal y ampliar los mecanismos de remedio para personas afectadas por conductas comerciales injustas. Aunque la agencia reconoce el valor de esta legislación propuesta, enfatiza la necesidad de clarificar las funciones y jurisdicciones entre DACO, el Departamento de Justicia y otras entidades reguladoras, especialmente dado que la Oficina de Asuntos Monopolísticos conserva competencia primaria en asuntos antimonopolísticos. </w:t>
      </w:r>
    </w:p>
    <w:p w14:paraId="496ED317" w14:textId="77777777" w:rsidR="00132E8D" w:rsidRDefault="00132E8D" w:rsidP="00132E8D">
      <w:pPr>
        <w:tabs>
          <w:tab w:val="left" w:pos="0"/>
        </w:tabs>
        <w:spacing w:line="360" w:lineRule="auto"/>
        <w:ind w:firstLine="360"/>
        <w:jc w:val="both"/>
        <w:rPr>
          <w:rFonts w:ascii="Book Antiqua" w:hAnsi="Book Antiqua"/>
          <w:lang w:val="es-PR"/>
        </w:rPr>
      </w:pPr>
      <w:r w:rsidRPr="00132E8D">
        <w:rPr>
          <w:rFonts w:ascii="Book Antiqua" w:hAnsi="Book Antiqua"/>
          <w:lang w:val="es-PR"/>
        </w:rPr>
        <w:t xml:space="preserve">Asimismo, propone integrar en el proyecto la obligación de desarrollar campañas educativas dirigidas tanto al sector comercial como al público general, para garantizar una implementación efectiva y una comprensión clara de los derechos y responsabilidades que la medida envuelve. </w:t>
      </w:r>
    </w:p>
    <w:p w14:paraId="6C67B911" w14:textId="6DFCBF20" w:rsidR="00286B39" w:rsidRDefault="00286B39" w:rsidP="00286B39">
      <w:pPr>
        <w:tabs>
          <w:tab w:val="left" w:pos="0"/>
        </w:tabs>
        <w:spacing w:line="360" w:lineRule="auto"/>
        <w:ind w:firstLine="360"/>
        <w:jc w:val="both"/>
        <w:rPr>
          <w:rFonts w:ascii="Book Antiqua" w:hAnsi="Book Antiqua"/>
          <w:lang w:val="es-PR"/>
        </w:rPr>
      </w:pPr>
      <w:r w:rsidRPr="00286B39">
        <w:rPr>
          <w:rFonts w:ascii="Book Antiqua" w:hAnsi="Book Antiqua"/>
          <w:lang w:val="es-PR"/>
        </w:rPr>
        <w:t>El Centro Unido de Detallistas reconoc</w:t>
      </w:r>
      <w:r>
        <w:rPr>
          <w:rFonts w:ascii="Book Antiqua" w:hAnsi="Book Antiqua"/>
          <w:lang w:val="es-PR"/>
        </w:rPr>
        <w:t>ió</w:t>
      </w:r>
      <w:r w:rsidRPr="00286B39">
        <w:rPr>
          <w:rFonts w:ascii="Book Antiqua" w:hAnsi="Book Antiqua"/>
          <w:lang w:val="es-PR"/>
        </w:rPr>
        <w:t xml:space="preserve"> que el Proyecto de la Cámara 664 persigue prohibir actos de competencia desleal y habilitar mecanismos para que las personas afectadas puedan presentar reclamos efectivos. En su memorial, exp</w:t>
      </w:r>
      <w:r>
        <w:rPr>
          <w:rFonts w:ascii="Book Antiqua" w:hAnsi="Book Antiqua"/>
          <w:lang w:val="es-PR"/>
        </w:rPr>
        <w:t>uso</w:t>
      </w:r>
      <w:r w:rsidRPr="00286B39">
        <w:rPr>
          <w:rFonts w:ascii="Book Antiqua" w:hAnsi="Book Antiqua"/>
          <w:lang w:val="es-PR"/>
        </w:rPr>
        <w:t xml:space="preserve"> varias deficiencias del régimen antimonopolístico vigente, destacando que la Ley Antimonopolística actual ha sido poco funcional: no otorga facultades adjudicativas a la OAM, los procesos administrativos son lentos, su lenguaje es abstracto y ambiguo, y las agencias encargadas (OAM y DACO) carecen de los recursos humanos y presupuestarios necesarios.</w:t>
      </w:r>
    </w:p>
    <w:p w14:paraId="24E2C40F" w14:textId="77777777" w:rsidR="00286B39" w:rsidRPr="00286B39" w:rsidRDefault="00286B39" w:rsidP="00286B39">
      <w:pPr>
        <w:tabs>
          <w:tab w:val="left" w:pos="0"/>
        </w:tabs>
        <w:spacing w:line="360" w:lineRule="auto"/>
        <w:ind w:firstLine="360"/>
        <w:jc w:val="both"/>
        <w:rPr>
          <w:rFonts w:ascii="Book Antiqua" w:hAnsi="Book Antiqua"/>
          <w:lang w:val="es-PR"/>
        </w:rPr>
      </w:pPr>
    </w:p>
    <w:p w14:paraId="6233A5CD" w14:textId="729072A7" w:rsidR="00286B39" w:rsidRPr="00286B39" w:rsidRDefault="00286B39" w:rsidP="00286B39">
      <w:pPr>
        <w:tabs>
          <w:tab w:val="left" w:pos="0"/>
        </w:tabs>
        <w:spacing w:line="360" w:lineRule="auto"/>
        <w:ind w:firstLine="360"/>
        <w:jc w:val="both"/>
        <w:rPr>
          <w:rFonts w:ascii="Book Antiqua" w:hAnsi="Book Antiqua"/>
          <w:lang w:val="es-PR"/>
        </w:rPr>
      </w:pPr>
      <w:r w:rsidRPr="00286B39">
        <w:rPr>
          <w:rFonts w:ascii="Book Antiqua" w:hAnsi="Book Antiqua"/>
          <w:lang w:val="es-PR"/>
        </w:rPr>
        <w:lastRenderedPageBreak/>
        <w:t xml:space="preserve">Aunque el CUD no expresa apoyo explícito al proyecto, no obstante, propone recomendaciones para mejorar su redacción, lo cual demuestra su apertura a que </w:t>
      </w:r>
      <w:r>
        <w:rPr>
          <w:rFonts w:ascii="Book Antiqua" w:hAnsi="Book Antiqua"/>
          <w:lang w:val="es-PR"/>
        </w:rPr>
        <w:t>se actualice el marco legal actual</w:t>
      </w:r>
      <w:r w:rsidRPr="00286B39">
        <w:rPr>
          <w:rFonts w:ascii="Book Antiqua" w:hAnsi="Book Antiqua"/>
          <w:lang w:val="es-PR"/>
        </w:rPr>
        <w:t>.</w:t>
      </w:r>
    </w:p>
    <w:p w14:paraId="726CA793" w14:textId="77777777" w:rsidR="00286B39" w:rsidRPr="00286B39" w:rsidRDefault="00286B39" w:rsidP="00286B39">
      <w:pPr>
        <w:tabs>
          <w:tab w:val="left" w:pos="0"/>
        </w:tabs>
        <w:spacing w:line="360" w:lineRule="auto"/>
        <w:ind w:firstLine="360"/>
        <w:jc w:val="both"/>
        <w:rPr>
          <w:rFonts w:ascii="Book Antiqua" w:hAnsi="Book Antiqua"/>
          <w:lang w:val="es-PR"/>
        </w:rPr>
      </w:pPr>
      <w:r w:rsidRPr="00286B39">
        <w:rPr>
          <w:rFonts w:ascii="Book Antiqua" w:hAnsi="Book Antiqua"/>
          <w:lang w:val="es-PR"/>
        </w:rPr>
        <w:t>El CUD sugiere tres cambios principales al P. de la C. 664:</w:t>
      </w:r>
    </w:p>
    <w:p w14:paraId="4D65A724" w14:textId="77777777" w:rsidR="00286B39" w:rsidRPr="00286B39" w:rsidRDefault="00286B39" w:rsidP="00286B39">
      <w:pPr>
        <w:numPr>
          <w:ilvl w:val="0"/>
          <w:numId w:val="1"/>
        </w:numPr>
        <w:tabs>
          <w:tab w:val="left" w:pos="0"/>
        </w:tabs>
        <w:spacing w:line="360" w:lineRule="auto"/>
        <w:jc w:val="both"/>
        <w:rPr>
          <w:rFonts w:ascii="Book Antiqua" w:hAnsi="Book Antiqua"/>
          <w:lang w:val="es-PR"/>
        </w:rPr>
      </w:pPr>
      <w:r w:rsidRPr="00286B39">
        <w:rPr>
          <w:rFonts w:ascii="Book Antiqua" w:hAnsi="Book Antiqua"/>
          <w:lang w:val="es-PR"/>
        </w:rPr>
        <w:t>Que el artículo 7 (actos de engaño) requiera demostrar intención en la divulgación de información falsa;</w:t>
      </w:r>
    </w:p>
    <w:p w14:paraId="4FC9E9EB" w14:textId="77777777" w:rsidR="00286B39" w:rsidRPr="00286B39" w:rsidRDefault="00286B39" w:rsidP="00286B39">
      <w:pPr>
        <w:numPr>
          <w:ilvl w:val="0"/>
          <w:numId w:val="1"/>
        </w:numPr>
        <w:tabs>
          <w:tab w:val="left" w:pos="0"/>
        </w:tabs>
        <w:spacing w:line="360" w:lineRule="auto"/>
        <w:jc w:val="both"/>
        <w:rPr>
          <w:rFonts w:ascii="Book Antiqua" w:hAnsi="Book Antiqua"/>
          <w:lang w:val="es-PR"/>
        </w:rPr>
      </w:pPr>
      <w:r w:rsidRPr="00286B39">
        <w:rPr>
          <w:rFonts w:ascii="Book Antiqua" w:hAnsi="Book Antiqua"/>
          <w:lang w:val="es-PR"/>
        </w:rPr>
        <w:t>Que el artículo 9 (omisiones engañosas) también exija intención;</w:t>
      </w:r>
    </w:p>
    <w:p w14:paraId="101FAE0C" w14:textId="710E422C" w:rsidR="00286B39" w:rsidRDefault="00286B39" w:rsidP="00286B39">
      <w:pPr>
        <w:numPr>
          <w:ilvl w:val="0"/>
          <w:numId w:val="1"/>
        </w:numPr>
        <w:tabs>
          <w:tab w:val="left" w:pos="0"/>
        </w:tabs>
        <w:spacing w:line="360" w:lineRule="auto"/>
        <w:jc w:val="both"/>
        <w:rPr>
          <w:rFonts w:ascii="Book Antiqua" w:hAnsi="Book Antiqua"/>
          <w:lang w:val="es-PR"/>
        </w:rPr>
      </w:pPr>
      <w:r w:rsidRPr="00286B39">
        <w:rPr>
          <w:rFonts w:ascii="Book Antiqua" w:hAnsi="Book Antiqua"/>
          <w:lang w:val="es-PR"/>
        </w:rPr>
        <w:t>Que se elimine el inciso 10(b)(5) sobre prácticas agresivas, por considerarlo amplio y susceptible a subjetividad.</w:t>
      </w:r>
    </w:p>
    <w:p w14:paraId="3C29D48E" w14:textId="3F22E0F9" w:rsidR="00286B39" w:rsidRDefault="00F62A1E" w:rsidP="00286B39">
      <w:pPr>
        <w:tabs>
          <w:tab w:val="left" w:pos="0"/>
        </w:tabs>
        <w:spacing w:line="360" w:lineRule="auto"/>
        <w:ind w:firstLine="360"/>
        <w:jc w:val="both"/>
        <w:rPr>
          <w:rFonts w:ascii="Book Antiqua" w:hAnsi="Book Antiqua"/>
          <w:lang w:val="es-PR"/>
        </w:rPr>
      </w:pPr>
      <w:r>
        <w:rPr>
          <w:rFonts w:ascii="Book Antiqua" w:hAnsi="Book Antiqua"/>
          <w:lang w:val="es-PR"/>
        </w:rPr>
        <w:t xml:space="preserve">     </w:t>
      </w:r>
      <w:r w:rsidR="00286B39" w:rsidRPr="00286B39">
        <w:rPr>
          <w:rFonts w:ascii="Book Antiqua" w:hAnsi="Book Antiqua"/>
          <w:lang w:val="es-PR"/>
        </w:rPr>
        <w:t xml:space="preserve">Finalmente, el CUD recomienda una </w:t>
      </w:r>
      <w:r w:rsidR="00286B39" w:rsidRPr="00286B39">
        <w:rPr>
          <w:rFonts w:ascii="Book Antiqua" w:hAnsi="Book Antiqua"/>
          <w:b/>
          <w:bCs/>
          <w:lang w:val="es-PR"/>
        </w:rPr>
        <w:t>revisión total de la Ley Antimonopolística</w:t>
      </w:r>
      <w:r w:rsidR="00286B39" w:rsidRPr="00286B39">
        <w:rPr>
          <w:rFonts w:ascii="Book Antiqua" w:hAnsi="Book Antiqua"/>
          <w:lang w:val="es-PR"/>
        </w:rPr>
        <w:t xml:space="preserve"> para clarificar sus disposiciones, otorgar facultades adjudicativas a la OAM y fortalecer sus recursos. Aunque estas observaciones se dirigen al régimen vigente, no contradicen ni obstaculizan la aprobación del P. de la C. 664.</w:t>
      </w:r>
    </w:p>
    <w:p w14:paraId="3AD50DB8" w14:textId="3EE807FC" w:rsidR="00C764D5" w:rsidRDefault="006E1CFA" w:rsidP="006E1CFA">
      <w:pPr>
        <w:spacing w:line="360" w:lineRule="auto"/>
        <w:jc w:val="both"/>
        <w:rPr>
          <w:rFonts w:ascii="Book Antiqua" w:hAnsi="Book Antiqua"/>
          <w:lang w:val="es-ES"/>
        </w:rPr>
      </w:pPr>
      <w:r>
        <w:rPr>
          <w:rFonts w:ascii="Book Antiqua" w:hAnsi="Book Antiqua"/>
          <w:lang w:val="es-PR"/>
        </w:rPr>
        <w:tab/>
        <w:t>Por otra parte, de</w:t>
      </w:r>
      <w:r w:rsidR="00877DD8" w:rsidRPr="00286B39">
        <w:rPr>
          <w:rFonts w:ascii="Book Antiqua" w:hAnsi="Book Antiqua"/>
          <w:lang w:val="es-PR"/>
        </w:rPr>
        <w:t xml:space="preserve">l análisis </w:t>
      </w:r>
      <w:r w:rsidRPr="00286B39">
        <w:rPr>
          <w:rFonts w:ascii="Book Antiqua" w:hAnsi="Book Antiqua"/>
          <w:lang w:val="es-PR"/>
        </w:rPr>
        <w:t>jurídico presentado</w:t>
      </w:r>
      <w:r w:rsidRPr="002D1729">
        <w:rPr>
          <w:rFonts w:ascii="Book Antiqua" w:hAnsi="Book Antiqua"/>
          <w:lang w:val="es-ES"/>
        </w:rPr>
        <w:t xml:space="preserve"> a la Comisión por el </w:t>
      </w:r>
      <w:r w:rsidRPr="006E1CFA">
        <w:rPr>
          <w:rFonts w:ascii="Book Antiqua" w:hAnsi="Book Antiqua"/>
          <w:lang w:val="es-PR"/>
        </w:rPr>
        <w:t>Dr. Fernando Juan Echegaray Daleccio</w:t>
      </w:r>
      <w:r>
        <w:rPr>
          <w:rFonts w:ascii="Book Antiqua" w:hAnsi="Book Antiqua"/>
          <w:lang w:val="es-PR"/>
        </w:rPr>
        <w:t>,</w:t>
      </w:r>
      <w:r w:rsidR="00877DD8" w:rsidRPr="00286B39">
        <w:rPr>
          <w:rFonts w:ascii="Book Antiqua" w:hAnsi="Book Antiqua"/>
          <w:lang w:val="es-PR"/>
        </w:rPr>
        <w:t xml:space="preserve"> </w:t>
      </w:r>
      <w:r w:rsidRPr="002D1729">
        <w:rPr>
          <w:rFonts w:ascii="Book Antiqua" w:hAnsi="Book Antiqua"/>
          <w:lang w:val="es-ES"/>
        </w:rPr>
        <w:t xml:space="preserve">quien es un profesional versado en temas </w:t>
      </w:r>
      <w:r>
        <w:rPr>
          <w:rFonts w:ascii="Book Antiqua" w:hAnsi="Book Antiqua"/>
          <w:lang w:val="es-ES"/>
        </w:rPr>
        <w:t>relacionados a</w:t>
      </w:r>
      <w:r w:rsidR="00DC30B9">
        <w:rPr>
          <w:rFonts w:ascii="Book Antiqua" w:hAnsi="Book Antiqua"/>
          <w:lang w:val="es-ES"/>
        </w:rPr>
        <w:t xml:space="preserve"> </w:t>
      </w:r>
      <w:r>
        <w:rPr>
          <w:rFonts w:ascii="Book Antiqua" w:hAnsi="Book Antiqua"/>
          <w:lang w:val="es-ES"/>
        </w:rPr>
        <w:t>derechos como los que</w:t>
      </w:r>
      <w:r w:rsidRPr="002D1729">
        <w:rPr>
          <w:rFonts w:ascii="Book Antiqua" w:hAnsi="Book Antiqua"/>
          <w:lang w:val="es-ES"/>
        </w:rPr>
        <w:t xml:space="preserve"> atiende el Proyecto de la Cámara 664; </w:t>
      </w:r>
      <w:r w:rsidRPr="00286B39">
        <w:rPr>
          <w:rFonts w:ascii="Book Antiqua" w:hAnsi="Book Antiqua"/>
          <w:lang w:val="es-PR"/>
        </w:rPr>
        <w:t xml:space="preserve">concluye que ninguna de estas recomendaciones debe acogerse, ya que debilitarían la protección que el proyecto busca otorgar a consumidores, empresarios y participantes del mercado. </w:t>
      </w:r>
      <w:r>
        <w:rPr>
          <w:rFonts w:ascii="Book Antiqua" w:hAnsi="Book Antiqua"/>
          <w:lang w:val="es-PR"/>
        </w:rPr>
        <w:t>El jurista e</w:t>
      </w:r>
      <w:r w:rsidRPr="00286B39">
        <w:rPr>
          <w:rFonts w:ascii="Book Antiqua" w:hAnsi="Book Antiqua"/>
          <w:lang w:val="es-PR"/>
        </w:rPr>
        <w:t xml:space="preserve">xplica que tanto el engaño como las omisiones engañosas deben evaluarse por su efecto objetivo en la conducta económica del destinatario, independientemente de si el autor actuó con dolo o negligencia. </w:t>
      </w:r>
      <w:r>
        <w:rPr>
          <w:rFonts w:ascii="Book Antiqua" w:hAnsi="Book Antiqua"/>
          <w:lang w:val="es-PR"/>
        </w:rPr>
        <w:t>P</w:t>
      </w:r>
      <w:r w:rsidRPr="002D1729">
        <w:rPr>
          <w:rFonts w:ascii="Book Antiqua" w:hAnsi="Book Antiqua"/>
          <w:lang w:val="es-ES"/>
        </w:rPr>
        <w:t xml:space="preserve">articularmente </w:t>
      </w:r>
      <w:r w:rsidRPr="006E1CFA">
        <w:rPr>
          <w:rFonts w:ascii="Book Antiqua" w:hAnsi="Book Antiqua"/>
          <w:lang w:val="es-ES"/>
        </w:rPr>
        <w:t xml:space="preserve">en la materia de Competencia Desleal y su aplicación.  </w:t>
      </w:r>
    </w:p>
    <w:p w14:paraId="140A7A00" w14:textId="6075B632" w:rsidR="00877DD8" w:rsidRPr="006E1CFA" w:rsidRDefault="00C764D5" w:rsidP="006E1CFA">
      <w:pPr>
        <w:spacing w:line="360" w:lineRule="auto"/>
        <w:jc w:val="both"/>
        <w:rPr>
          <w:rFonts w:ascii="Book Antiqua" w:hAnsi="Book Antiqua"/>
          <w:lang w:val="es-PR"/>
        </w:rPr>
      </w:pPr>
      <w:r>
        <w:rPr>
          <w:rFonts w:ascii="Book Antiqua" w:hAnsi="Book Antiqua"/>
          <w:lang w:val="es-ES"/>
        </w:rPr>
        <w:tab/>
      </w:r>
      <w:r w:rsidR="006E1CFA">
        <w:rPr>
          <w:rFonts w:ascii="Book Antiqua" w:hAnsi="Book Antiqua"/>
          <w:lang w:val="es-ES"/>
        </w:rPr>
        <w:t xml:space="preserve">Cabe destacar que </w:t>
      </w:r>
      <w:r>
        <w:rPr>
          <w:rFonts w:ascii="Book Antiqua" w:hAnsi="Book Antiqua"/>
          <w:lang w:val="es-ES"/>
        </w:rPr>
        <w:t xml:space="preserve">en </w:t>
      </w:r>
      <w:r w:rsidR="006E1CFA">
        <w:rPr>
          <w:rFonts w:ascii="Book Antiqua" w:hAnsi="Book Antiqua"/>
          <w:lang w:val="es-ES"/>
        </w:rPr>
        <w:t xml:space="preserve">la </w:t>
      </w:r>
      <w:r>
        <w:rPr>
          <w:rFonts w:ascii="Book Antiqua" w:hAnsi="Book Antiqua"/>
          <w:lang w:val="es-ES"/>
        </w:rPr>
        <w:t>investigación</w:t>
      </w:r>
      <w:r w:rsidR="006E1CFA">
        <w:rPr>
          <w:rFonts w:ascii="Book Antiqua" w:hAnsi="Book Antiqua"/>
          <w:lang w:val="es-ES"/>
        </w:rPr>
        <w:t xml:space="preserve"> del Dr. Echegaray Dalecio</w:t>
      </w:r>
      <w:r>
        <w:rPr>
          <w:rFonts w:ascii="Book Antiqua" w:hAnsi="Book Antiqua"/>
          <w:lang w:val="es-ES"/>
        </w:rPr>
        <w:t xml:space="preserve"> fue publicada el 14 de enero de 2022 en su libro</w:t>
      </w:r>
      <w:r w:rsidR="006E1CFA">
        <w:rPr>
          <w:rFonts w:ascii="Book Antiqua" w:hAnsi="Book Antiqua"/>
          <w:lang w:val="es-ES"/>
        </w:rPr>
        <w:t xml:space="preserve">, </w:t>
      </w:r>
      <w:r w:rsidR="006E1CFA" w:rsidRPr="006E1CFA">
        <w:rPr>
          <w:rFonts w:ascii="Book Antiqua" w:hAnsi="Book Antiqua"/>
          <w:lang w:val="es-ES"/>
        </w:rPr>
        <w:t>“</w:t>
      </w:r>
      <w:r w:rsidR="006E1CFA" w:rsidRPr="00C764D5">
        <w:rPr>
          <w:rFonts w:ascii="Book Antiqua" w:hAnsi="Book Antiqua"/>
          <w:i/>
          <w:iCs/>
          <w:lang w:val="es-PR"/>
        </w:rPr>
        <w:t>Competencia desleal por actos de engaño e imitación, Estudio comparado entre España Estados Unidos y Puerto Rico”,</w:t>
      </w:r>
      <w:r w:rsidR="006E1CFA">
        <w:rPr>
          <w:rFonts w:ascii="Book Antiqua" w:hAnsi="Book Antiqua"/>
          <w:lang w:val="es-ES"/>
        </w:rPr>
        <w:t xml:space="preserve"> </w:t>
      </w:r>
      <w:r>
        <w:rPr>
          <w:rFonts w:ascii="Book Antiqua" w:hAnsi="Book Antiqua"/>
          <w:lang w:val="es-ES"/>
        </w:rPr>
        <w:t xml:space="preserve">por la casa editorial </w:t>
      </w:r>
      <w:r w:rsidRPr="00C764D5">
        <w:rPr>
          <w:rFonts w:ascii="Book Antiqua" w:hAnsi="Book Antiqua"/>
          <w:lang w:val="es-PR"/>
        </w:rPr>
        <w:t>Dykinson, S.L</w:t>
      </w:r>
      <w:r>
        <w:rPr>
          <w:rFonts w:ascii="Book Antiqua" w:hAnsi="Book Antiqua"/>
          <w:lang w:val="es-PR"/>
        </w:rPr>
        <w:t>.</w:t>
      </w:r>
      <w:r w:rsidRPr="00C764D5">
        <w:rPr>
          <w:rFonts w:ascii="Book Antiqua" w:hAnsi="Book Antiqua"/>
          <w:b/>
          <w:bCs/>
          <w:lang w:val="es-PR"/>
        </w:rPr>
        <w:t xml:space="preserve"> </w:t>
      </w:r>
      <w:r w:rsidRPr="00C764D5">
        <w:rPr>
          <w:rFonts w:ascii="Book Antiqua" w:hAnsi="Book Antiqua"/>
          <w:lang w:val="es-PR"/>
        </w:rPr>
        <w:t>Esta s</w:t>
      </w:r>
      <w:r w:rsidR="006E1CFA" w:rsidRPr="00C764D5">
        <w:rPr>
          <w:rFonts w:ascii="Book Antiqua" w:hAnsi="Book Antiqua"/>
          <w:lang w:val="es-PR"/>
        </w:rPr>
        <w:t>e</w:t>
      </w:r>
      <w:r w:rsidR="006E1CFA" w:rsidRPr="006E1CFA">
        <w:rPr>
          <w:rFonts w:ascii="Book Antiqua" w:hAnsi="Book Antiqua"/>
          <w:lang w:val="es-PR"/>
        </w:rPr>
        <w:t xml:space="preserve"> encuadra dentro de la colección del Instituto de Derecho Comparado de la Universidad Complutense de Madrid, y es producto de los trabajos de postgrado realizados por el Dr. Echegaray Daleccio, incardinados en el Programa de Máster y Doctorado que la Universidad Complutense de Madrid</w:t>
      </w:r>
      <w:r>
        <w:rPr>
          <w:rFonts w:ascii="Book Antiqua" w:hAnsi="Book Antiqua"/>
          <w:lang w:val="es-PR"/>
        </w:rPr>
        <w:t>.</w:t>
      </w:r>
    </w:p>
    <w:p w14:paraId="514077FB" w14:textId="77777777" w:rsidR="00877DD8" w:rsidRDefault="00877DD8" w:rsidP="00877DD8">
      <w:pPr>
        <w:tabs>
          <w:tab w:val="left" w:pos="0"/>
        </w:tabs>
        <w:spacing w:line="360" w:lineRule="auto"/>
        <w:ind w:firstLine="360"/>
        <w:jc w:val="both"/>
        <w:rPr>
          <w:rFonts w:ascii="Book Antiqua" w:hAnsi="Book Antiqua"/>
          <w:lang w:val="es-PR"/>
        </w:rPr>
      </w:pPr>
    </w:p>
    <w:p w14:paraId="128D4226" w14:textId="4FF17683" w:rsidR="00877DD8" w:rsidRDefault="00877DD8" w:rsidP="00877DD8">
      <w:pPr>
        <w:tabs>
          <w:tab w:val="left" w:pos="0"/>
        </w:tabs>
        <w:spacing w:line="360" w:lineRule="auto"/>
        <w:ind w:firstLine="360"/>
        <w:jc w:val="both"/>
        <w:rPr>
          <w:rFonts w:ascii="Book Antiqua" w:hAnsi="Book Antiqua"/>
          <w:lang w:val="es-PR"/>
        </w:rPr>
      </w:pPr>
      <w:r w:rsidRPr="00877DD8">
        <w:rPr>
          <w:rFonts w:ascii="Book Antiqua" w:hAnsi="Book Antiqua"/>
          <w:lang w:val="es-PR"/>
        </w:rPr>
        <w:lastRenderedPageBreak/>
        <w:t>Según su interpretación, a</w:t>
      </w:r>
      <w:r w:rsidRPr="00286B39">
        <w:rPr>
          <w:rFonts w:ascii="Book Antiqua" w:hAnsi="Book Antiqua"/>
          <w:lang w:val="es-PR"/>
        </w:rPr>
        <w:t>ñadir un requisito de intención limitaría significativamente el alcance de la ley y dejaría impunes prácticas que, aunque no intencionales, pueden causar daños sustanciales.</w:t>
      </w:r>
      <w:r w:rsidRPr="00877DD8">
        <w:rPr>
          <w:rFonts w:ascii="Book Antiqua" w:hAnsi="Book Antiqua"/>
          <w:lang w:val="es-PR"/>
        </w:rPr>
        <w:t xml:space="preserve"> </w:t>
      </w:r>
      <w:r w:rsidRPr="00286B39">
        <w:rPr>
          <w:rFonts w:ascii="Book Antiqua" w:hAnsi="Book Antiqua"/>
          <w:lang w:val="es-PR"/>
        </w:rPr>
        <w:t>Sobre la práctica agresiva propuesta en el artículo 10(b)(5), el análisis señala que esta disposición no es vaga ni excesivamente amplia, ya que solo aplica cuando exista acoso, coacción o influencia indebida que merme significativamente la libertad de elección del destinatario. Además, conductas como comunicados falsos o amenazas infundadas ya son reconocidas como prácticas desleales en jurisdicciones de Estados Unidos y España. Eliminar esta disposición restaría herramientas para enfrentar prácticas intimidatorias que afectan la competencia.</w:t>
      </w:r>
    </w:p>
    <w:p w14:paraId="60DE96BD" w14:textId="01169FD5" w:rsidR="009252D1" w:rsidRDefault="00877DD8" w:rsidP="009252D1">
      <w:pPr>
        <w:tabs>
          <w:tab w:val="left" w:pos="0"/>
        </w:tabs>
        <w:spacing w:line="360" w:lineRule="auto"/>
        <w:ind w:firstLine="360"/>
        <w:jc w:val="both"/>
        <w:rPr>
          <w:rFonts w:ascii="Book Antiqua" w:hAnsi="Book Antiqua"/>
          <w:lang w:val="es-PR"/>
        </w:rPr>
      </w:pPr>
      <w:r>
        <w:rPr>
          <w:rFonts w:ascii="Book Antiqua" w:hAnsi="Book Antiqua"/>
          <w:lang w:val="es-PR"/>
        </w:rPr>
        <w:t xml:space="preserve">Por su parte, </w:t>
      </w:r>
      <w:r w:rsidR="009252D1">
        <w:rPr>
          <w:rFonts w:ascii="Book Antiqua" w:hAnsi="Book Antiqua"/>
          <w:lang w:val="es-PR"/>
        </w:rPr>
        <w:t>e</w:t>
      </w:r>
      <w:r w:rsidR="009252D1" w:rsidRPr="009252D1">
        <w:rPr>
          <w:rFonts w:ascii="Book Antiqua" w:hAnsi="Book Antiqua"/>
          <w:lang w:val="es-PR"/>
        </w:rPr>
        <w:t>l Departamento de Justicia (DJ) expresó en su memorial una postura favorable</w:t>
      </w:r>
      <w:r w:rsidR="009252D1">
        <w:rPr>
          <w:rFonts w:ascii="Book Antiqua" w:hAnsi="Book Antiqua"/>
          <w:lang w:val="es-PR"/>
        </w:rPr>
        <w:t>, aunque</w:t>
      </w:r>
      <w:r w:rsidR="009252D1" w:rsidRPr="009252D1">
        <w:rPr>
          <w:rFonts w:ascii="Book Antiqua" w:hAnsi="Book Antiqua"/>
          <w:lang w:val="es-PR"/>
        </w:rPr>
        <w:t xml:space="preserve"> condicionada Proyecto de la Cámara 664, reconociendo que la Asamblea Legislativa tiene plena autoridad para aprobar medidas que protejan a los consumidores. En su conclusión, el DJ declara que no existe impedimento legal para continuar con el trámite legislativo, siempre que se atiendan las aclaraciones y recomendaciones señaladas en su escrito.</w:t>
      </w:r>
    </w:p>
    <w:p w14:paraId="45B867E3" w14:textId="400EDB9F" w:rsidR="009252D1" w:rsidRPr="009252D1" w:rsidRDefault="009252D1" w:rsidP="0012746B">
      <w:pPr>
        <w:tabs>
          <w:tab w:val="left" w:pos="0"/>
        </w:tabs>
        <w:spacing w:line="360" w:lineRule="auto"/>
        <w:ind w:firstLine="360"/>
        <w:jc w:val="both"/>
        <w:rPr>
          <w:rFonts w:ascii="Book Antiqua" w:hAnsi="Book Antiqua"/>
          <w:lang w:val="es-PR"/>
        </w:rPr>
      </w:pPr>
      <w:r w:rsidRPr="009252D1">
        <w:rPr>
          <w:rFonts w:ascii="Book Antiqua" w:hAnsi="Book Antiqua"/>
          <w:lang w:val="es-PR"/>
        </w:rPr>
        <w:t xml:space="preserve">El memorial del DJ formula </w:t>
      </w:r>
      <w:r w:rsidRPr="009252D1">
        <w:rPr>
          <w:rFonts w:ascii="Book Antiqua" w:hAnsi="Book Antiqua"/>
          <w:b/>
          <w:bCs/>
          <w:lang w:val="es-PR"/>
        </w:rPr>
        <w:t>tres preguntas fundamentales</w:t>
      </w:r>
      <w:r w:rsidRPr="009252D1">
        <w:rPr>
          <w:rFonts w:ascii="Book Antiqua" w:hAnsi="Book Antiqua"/>
          <w:lang w:val="es-PR"/>
        </w:rPr>
        <w:t xml:space="preserve"> sobre la interacción del nuevo proyecto con el ordenamiento actual, así como </w:t>
      </w:r>
      <w:r w:rsidRPr="009252D1">
        <w:rPr>
          <w:rFonts w:ascii="Book Antiqua" w:hAnsi="Book Antiqua"/>
          <w:b/>
          <w:bCs/>
          <w:lang w:val="es-PR"/>
        </w:rPr>
        <w:t>dos sugerencias</w:t>
      </w:r>
      <w:r w:rsidRPr="009252D1">
        <w:rPr>
          <w:rFonts w:ascii="Book Antiqua" w:hAnsi="Book Antiqua"/>
          <w:lang w:val="es-PR"/>
        </w:rPr>
        <w:t xml:space="preserve"> legislativas. El Dr. Fernando Echegaray responde cada planteamiento en detalle.</w:t>
      </w:r>
      <w:r w:rsidR="0012746B">
        <w:rPr>
          <w:rFonts w:ascii="Book Antiqua" w:hAnsi="Book Antiqua"/>
          <w:lang w:val="es-PR"/>
        </w:rPr>
        <w:t xml:space="preserve"> </w:t>
      </w:r>
      <w:r w:rsidRPr="009252D1">
        <w:rPr>
          <w:rFonts w:ascii="Book Antiqua" w:hAnsi="Book Antiqua"/>
          <w:lang w:val="es-PR"/>
        </w:rPr>
        <w:t>El</w:t>
      </w:r>
      <w:r w:rsidR="0012746B">
        <w:rPr>
          <w:rFonts w:ascii="Book Antiqua" w:hAnsi="Book Antiqua"/>
          <w:lang w:val="es-PR"/>
        </w:rPr>
        <w:t xml:space="preserve"> </w:t>
      </w:r>
      <w:r w:rsidRPr="009252D1">
        <w:rPr>
          <w:rFonts w:ascii="Book Antiqua" w:hAnsi="Book Antiqua"/>
          <w:lang w:val="es-PR"/>
        </w:rPr>
        <w:t>DJ</w:t>
      </w:r>
      <w:r w:rsidR="0012746B">
        <w:rPr>
          <w:rFonts w:ascii="Book Antiqua" w:hAnsi="Book Antiqua"/>
          <w:lang w:val="es-PR"/>
        </w:rPr>
        <w:t xml:space="preserve"> </w:t>
      </w:r>
      <w:r w:rsidRPr="009252D1">
        <w:rPr>
          <w:rFonts w:ascii="Book Antiqua" w:hAnsi="Book Antiqua"/>
          <w:lang w:val="es-PR"/>
        </w:rPr>
        <w:t>planteó si:</w:t>
      </w:r>
      <w:r w:rsidR="0012746B">
        <w:rPr>
          <w:rFonts w:ascii="Book Antiqua" w:hAnsi="Book Antiqua"/>
          <w:lang w:val="es-PR"/>
        </w:rPr>
        <w:t xml:space="preserve"> </w:t>
      </w:r>
      <w:r w:rsidRPr="009252D1">
        <w:rPr>
          <w:rFonts w:ascii="Book Antiqua" w:hAnsi="Book Antiqua"/>
          <w:lang w:val="es-PR"/>
        </w:rPr>
        <w:t>a) El Estado debe atemperar su Reglamento 2648 a las nuevas prácticas tipificadas;</w:t>
      </w:r>
      <w:r w:rsidR="0012746B">
        <w:rPr>
          <w:rFonts w:ascii="Book Antiqua" w:hAnsi="Book Antiqua"/>
          <w:lang w:val="es-PR"/>
        </w:rPr>
        <w:t xml:space="preserve"> </w:t>
      </w:r>
      <w:r w:rsidRPr="009252D1">
        <w:rPr>
          <w:rFonts w:ascii="Book Antiqua" w:hAnsi="Book Antiqua"/>
          <w:lang w:val="es-PR"/>
        </w:rPr>
        <w:t>b) Habrá métodos injustos distintos para el Estado y para el sector privado; y</w:t>
      </w:r>
      <w:r w:rsidR="0012746B">
        <w:rPr>
          <w:rFonts w:ascii="Book Antiqua" w:hAnsi="Book Antiqua"/>
          <w:lang w:val="es-PR"/>
        </w:rPr>
        <w:t xml:space="preserve"> </w:t>
      </w:r>
      <w:r w:rsidRPr="009252D1">
        <w:rPr>
          <w:rFonts w:ascii="Book Antiqua" w:hAnsi="Book Antiqua"/>
          <w:lang w:val="es-PR"/>
        </w:rPr>
        <w:t>c) La lista taxativa del proyecto podría limitar los derechos del consumidor.</w:t>
      </w:r>
    </w:p>
    <w:p w14:paraId="79FA6662" w14:textId="62DA0186" w:rsidR="0012746B" w:rsidRPr="0012746B" w:rsidRDefault="0012746B" w:rsidP="0012746B">
      <w:pPr>
        <w:tabs>
          <w:tab w:val="left" w:pos="0"/>
        </w:tabs>
        <w:spacing w:line="360" w:lineRule="auto"/>
        <w:ind w:firstLine="360"/>
        <w:jc w:val="both"/>
        <w:rPr>
          <w:rFonts w:ascii="Book Antiqua" w:hAnsi="Book Antiqua"/>
          <w:lang w:val="es-PR"/>
        </w:rPr>
      </w:pPr>
      <w:r w:rsidRPr="0012746B">
        <w:rPr>
          <w:rFonts w:ascii="Book Antiqua" w:hAnsi="Book Antiqua"/>
          <w:lang w:val="es-PR"/>
        </w:rPr>
        <w:t>El Dr. Echegaray en su</w:t>
      </w:r>
      <w:r w:rsidR="009252D1" w:rsidRPr="009252D1">
        <w:rPr>
          <w:rFonts w:ascii="Book Antiqua" w:hAnsi="Book Antiqua"/>
          <w:lang w:val="es-PR"/>
        </w:rPr>
        <w:t xml:space="preserve"> análisis concluye que:</w:t>
      </w:r>
      <w:r w:rsidRPr="0012746B">
        <w:rPr>
          <w:rFonts w:ascii="Book Antiqua" w:hAnsi="Book Antiqua"/>
          <w:lang w:val="es-PR"/>
        </w:rPr>
        <w:t xml:space="preserve"> </w:t>
      </w:r>
      <w:r w:rsidR="009252D1" w:rsidRPr="009252D1">
        <w:rPr>
          <w:rFonts w:ascii="Book Antiqua" w:hAnsi="Book Antiqua"/>
          <w:lang w:val="es-PR"/>
        </w:rPr>
        <w:t xml:space="preserve">El DJ no está obligado a atemperar el Reglamento 2648 al nuevo proyecto, ya que el P. de la C. 664 no altera las funciones de la OAM ni de DACO. Sin embargo, </w:t>
      </w:r>
      <w:r>
        <w:rPr>
          <w:rFonts w:ascii="Book Antiqua" w:hAnsi="Book Antiqua"/>
          <w:lang w:val="es-PR"/>
        </w:rPr>
        <w:t xml:space="preserve">este explica que </w:t>
      </w:r>
      <w:r w:rsidR="009252D1" w:rsidRPr="009252D1">
        <w:rPr>
          <w:rFonts w:ascii="Book Antiqua" w:hAnsi="Book Antiqua"/>
          <w:lang w:val="es-PR"/>
        </w:rPr>
        <w:t>sería recomendable armonizar el reglamento con las categorías nuevas para lograr uniformidad, aunque ello no tendría efecto sobre la capacidad de adjudicar daños, pues DACO carece de esa facultad.</w:t>
      </w:r>
      <w:r w:rsidRPr="0012746B">
        <w:rPr>
          <w:rFonts w:ascii="Book Antiqua" w:hAnsi="Book Antiqua"/>
          <w:lang w:val="es-PR"/>
        </w:rPr>
        <w:t xml:space="preserve"> </w:t>
      </w:r>
      <w:r w:rsidR="009252D1" w:rsidRPr="009252D1">
        <w:rPr>
          <w:rFonts w:ascii="Book Antiqua" w:hAnsi="Book Antiqua"/>
          <w:lang w:val="es-PR"/>
        </w:rPr>
        <w:t xml:space="preserve">Aunque el Reglamento 2648 contiene prácticas amplias y anacrónicas, el P. de la C. 664 es más abarcador en materia de competencia desleal, pues incluye nuevas figuras y una cláusula </w:t>
      </w:r>
      <w:r w:rsidR="009252D1" w:rsidRPr="009252D1">
        <w:rPr>
          <w:rFonts w:ascii="Book Antiqua" w:hAnsi="Book Antiqua"/>
          <w:lang w:val="es-PR"/>
        </w:rPr>
        <w:lastRenderedPageBreak/>
        <w:t>general moderna que permite atender futuras prácticas desleales no previstas expresamente.</w:t>
      </w:r>
    </w:p>
    <w:p w14:paraId="7DC1D313" w14:textId="09294777" w:rsidR="009252D1" w:rsidRPr="009252D1" w:rsidRDefault="009252D1" w:rsidP="00526D02">
      <w:pPr>
        <w:tabs>
          <w:tab w:val="left" w:pos="0"/>
        </w:tabs>
        <w:spacing w:line="360" w:lineRule="auto"/>
        <w:ind w:firstLine="360"/>
        <w:jc w:val="both"/>
        <w:rPr>
          <w:rFonts w:ascii="Book Antiqua" w:hAnsi="Book Antiqua"/>
          <w:lang w:val="es-PR"/>
        </w:rPr>
      </w:pPr>
      <w:r w:rsidRPr="009252D1">
        <w:rPr>
          <w:rFonts w:ascii="Book Antiqua" w:hAnsi="Book Antiqua"/>
          <w:lang w:val="es-PR"/>
        </w:rPr>
        <w:t xml:space="preserve">El memorial del Departamento de Justicia, aunque contiene </w:t>
      </w:r>
      <w:r w:rsidR="00526D02" w:rsidRPr="00526D02">
        <w:rPr>
          <w:rFonts w:ascii="Book Antiqua" w:hAnsi="Book Antiqua"/>
          <w:lang w:val="es-PR"/>
        </w:rPr>
        <w:t>recomendaciones</w:t>
      </w:r>
      <w:r w:rsidRPr="009252D1">
        <w:rPr>
          <w:rFonts w:ascii="Book Antiqua" w:hAnsi="Book Antiqua"/>
          <w:lang w:val="es-PR"/>
        </w:rPr>
        <w:t xml:space="preserve"> técnicas, no presenta oposición al proyecto. Sus preocupaciones fueron respondidas satisfactoriamente, y varias recomendaciones fueron acogidas</w:t>
      </w:r>
      <w:r w:rsidR="00526D02" w:rsidRPr="00526D02">
        <w:rPr>
          <w:rFonts w:ascii="Book Antiqua" w:hAnsi="Book Antiqua"/>
          <w:lang w:val="es-PR"/>
        </w:rPr>
        <w:t>,</w:t>
      </w:r>
      <w:r w:rsidRPr="009252D1">
        <w:rPr>
          <w:rFonts w:ascii="Book Antiqua" w:hAnsi="Book Antiqua"/>
          <w:lang w:val="es-PR"/>
        </w:rPr>
        <w:t xml:space="preserve"> incluyendo ajustes a la prescripción.</w:t>
      </w:r>
      <w:r w:rsidR="00526D02" w:rsidRPr="00526D02">
        <w:rPr>
          <w:rFonts w:ascii="Book Antiqua" w:hAnsi="Book Antiqua"/>
          <w:lang w:val="es-PR"/>
        </w:rPr>
        <w:t xml:space="preserve"> </w:t>
      </w:r>
    </w:p>
    <w:p w14:paraId="632D51D2" w14:textId="77777777" w:rsidR="00F44B56" w:rsidRDefault="00F44B56" w:rsidP="00F44B56">
      <w:pPr>
        <w:pStyle w:val="NoSpacing"/>
        <w:spacing w:line="360" w:lineRule="auto"/>
        <w:jc w:val="center"/>
        <w:rPr>
          <w:rFonts w:ascii="Book Antiqua" w:hAnsi="Book Antiqua"/>
          <w:b/>
          <w:color w:val="000000"/>
          <w:szCs w:val="24"/>
          <w:lang w:val="es-ES"/>
        </w:rPr>
      </w:pPr>
      <w:r w:rsidRPr="00E24AD8">
        <w:rPr>
          <w:rFonts w:ascii="Book Antiqua" w:hAnsi="Book Antiqua"/>
          <w:b/>
          <w:color w:val="000000"/>
          <w:szCs w:val="24"/>
          <w:lang w:val="es-ES"/>
        </w:rPr>
        <w:t>IMPACTO FISCAL</w:t>
      </w:r>
    </w:p>
    <w:p w14:paraId="0C32E076" w14:textId="7C2039BB" w:rsidR="008D116B" w:rsidRPr="008D116B" w:rsidRDefault="00F44B56" w:rsidP="00F44B56">
      <w:pPr>
        <w:pStyle w:val="NoSpacing"/>
        <w:spacing w:line="360" w:lineRule="auto"/>
        <w:jc w:val="both"/>
        <w:rPr>
          <w:rFonts w:ascii="Book Antiqua" w:hAnsi="Book Antiqua"/>
          <w:lang w:val="es-PR"/>
        </w:rPr>
      </w:pPr>
      <w:r w:rsidRPr="00E24AD8">
        <w:rPr>
          <w:rFonts w:ascii="Book Antiqua" w:hAnsi="Book Antiqua"/>
          <w:b/>
          <w:color w:val="000000"/>
          <w:szCs w:val="24"/>
          <w:lang w:val="es-ES"/>
        </w:rPr>
        <w:tab/>
      </w:r>
      <w:r w:rsidRPr="00E24AD8">
        <w:rPr>
          <w:rFonts w:ascii="Book Antiqua" w:hAnsi="Book Antiqua"/>
          <w:lang w:val="es-PR"/>
        </w:rPr>
        <w:t xml:space="preserve">Del análisis realizado por esta Comisión, </w:t>
      </w:r>
      <w:r w:rsidR="00F62A1E">
        <w:rPr>
          <w:rFonts w:ascii="Book Antiqua" w:hAnsi="Book Antiqua"/>
          <w:lang w:val="es-PR"/>
        </w:rPr>
        <w:t xml:space="preserve">no surge evidente que se trastoque el Plan Fiscal, ya que la medida no tendría un impacto fiscal directo. De igual modo, </w:t>
      </w:r>
      <w:r w:rsidRPr="00E24AD8">
        <w:rPr>
          <w:rFonts w:ascii="Book Antiqua" w:hAnsi="Book Antiqua"/>
          <w:lang w:val="es-PR"/>
        </w:rPr>
        <w:t xml:space="preserve">a tenor con el Artículo 1.007 de la Ley 107-2020, según enmendada, conocida como "Código Municipal de Puerto Rico", no surge que la medida tenga impacto fiscal </w:t>
      </w:r>
      <w:r w:rsidR="008416E6">
        <w:rPr>
          <w:rFonts w:ascii="Book Antiqua" w:hAnsi="Book Antiqua"/>
          <w:lang w:val="es-PR"/>
        </w:rPr>
        <w:t xml:space="preserve">sustancial </w:t>
      </w:r>
      <w:r w:rsidRPr="00E24AD8">
        <w:rPr>
          <w:rFonts w:ascii="Book Antiqua" w:hAnsi="Book Antiqua"/>
          <w:lang w:val="es-PR"/>
        </w:rPr>
        <w:t>sobre las finanzas municipales.</w:t>
      </w:r>
      <w:r w:rsidR="008416E6">
        <w:rPr>
          <w:rFonts w:ascii="Book Antiqua" w:hAnsi="Book Antiqua"/>
          <w:lang w:val="es-PR"/>
        </w:rPr>
        <w:t xml:space="preserve"> </w:t>
      </w:r>
    </w:p>
    <w:p w14:paraId="694AA488" w14:textId="77777777" w:rsidR="00F44B56" w:rsidRDefault="00F44B56" w:rsidP="00F44B56">
      <w:pPr>
        <w:pStyle w:val="ColorfulList-Accent11"/>
        <w:spacing w:line="360" w:lineRule="auto"/>
        <w:ind w:left="0"/>
        <w:jc w:val="center"/>
        <w:rPr>
          <w:rFonts w:ascii="Book Antiqua" w:hAnsi="Book Antiqua"/>
          <w:b/>
          <w:color w:val="000000"/>
          <w:lang w:val="es-ES"/>
        </w:rPr>
      </w:pPr>
      <w:r w:rsidRPr="00E24AD8">
        <w:rPr>
          <w:rFonts w:ascii="Book Antiqua" w:hAnsi="Book Antiqua"/>
          <w:b/>
          <w:color w:val="000000"/>
          <w:lang w:val="es-ES"/>
        </w:rPr>
        <w:t>CONCLUSIÓN</w:t>
      </w:r>
    </w:p>
    <w:p w14:paraId="24D25EE7" w14:textId="237F7010" w:rsidR="0072573B" w:rsidRDefault="00F44B56" w:rsidP="0072573B">
      <w:pPr>
        <w:pStyle w:val="ColorfulList-Accent11"/>
        <w:spacing w:line="360" w:lineRule="auto"/>
        <w:ind w:left="0"/>
        <w:jc w:val="both"/>
        <w:rPr>
          <w:rFonts w:ascii="Book Antiqua" w:hAnsi="Book Antiqua"/>
          <w:bCs/>
          <w:lang w:val="es-PR"/>
        </w:rPr>
      </w:pPr>
      <w:r>
        <w:rPr>
          <w:rFonts w:ascii="Book Antiqua" w:hAnsi="Book Antiqua"/>
          <w:bCs/>
          <w:lang w:val="es-PR"/>
        </w:rPr>
        <w:tab/>
      </w:r>
      <w:r w:rsidR="0072573B" w:rsidRPr="0072573B">
        <w:rPr>
          <w:rFonts w:ascii="Book Antiqua" w:hAnsi="Book Antiqua"/>
          <w:bCs/>
          <w:lang w:val="es-PR"/>
        </w:rPr>
        <w:t>A la luz de</w:t>
      </w:r>
      <w:r w:rsidR="0072573B">
        <w:rPr>
          <w:rFonts w:ascii="Book Antiqua" w:hAnsi="Book Antiqua"/>
          <w:bCs/>
          <w:lang w:val="es-PR"/>
        </w:rPr>
        <w:t xml:space="preserve">l estudio realizado, </w:t>
      </w:r>
      <w:r w:rsidR="0072573B" w:rsidRPr="0072573B">
        <w:rPr>
          <w:rFonts w:ascii="Book Antiqua" w:hAnsi="Book Antiqua"/>
          <w:bCs/>
          <w:lang w:val="es-PR"/>
        </w:rPr>
        <w:t>los memoriales evaluados y el análisis jurídico presentado, esta Comisión de Desarrollo Económico concluye que el Proyecto de la Cámara 664 constituye una herramienta necesaria y oportuna para fortalecer el marco legal contra la competencia desleal en Puerto Rico. La medida atiende lagunas importantes en el ordenamiento vigente, introduce categorías modernas de prácticas desleales y provee remedios más efectivos para consumidores, comerciantes y participantes del mercado.</w:t>
      </w:r>
    </w:p>
    <w:p w14:paraId="2A61D476" w14:textId="00EE9CA1" w:rsidR="0072573B" w:rsidRPr="0072573B" w:rsidRDefault="0072573B" w:rsidP="0072573B">
      <w:pPr>
        <w:pStyle w:val="ColorfulList-Accent11"/>
        <w:spacing w:line="360" w:lineRule="auto"/>
        <w:ind w:left="0"/>
        <w:jc w:val="both"/>
        <w:rPr>
          <w:rFonts w:ascii="Book Antiqua" w:hAnsi="Book Antiqua"/>
          <w:bCs/>
          <w:lang w:val="es-PR"/>
        </w:rPr>
      </w:pPr>
      <w:r>
        <w:rPr>
          <w:rFonts w:ascii="Book Antiqua" w:hAnsi="Book Antiqua"/>
          <w:bCs/>
          <w:lang w:val="es-PR"/>
        </w:rPr>
        <w:tab/>
      </w:r>
      <w:r w:rsidRPr="0072573B">
        <w:rPr>
          <w:rFonts w:ascii="Book Antiqua" w:hAnsi="Book Antiqua"/>
          <w:bCs/>
          <w:lang w:val="es-PR"/>
        </w:rPr>
        <w:t xml:space="preserve">Las preocupaciones técnicas levantadas por las agencias y entidades comparecientes fueron debidamente atendidas durante el proceso de investigación legislativa. El insumo recibido demuestra un consenso general en cuanto a la necesidad de modernizar la legislación relacionada con competencia desleal y dotar al Estado de herramientas eficaces para atender prácticas que afectan la integridad del comercio y la libre competencia. En atención a </w:t>
      </w:r>
      <w:r>
        <w:rPr>
          <w:rFonts w:ascii="Book Antiqua" w:hAnsi="Book Antiqua"/>
          <w:bCs/>
          <w:lang w:val="es-PR"/>
        </w:rPr>
        <w:t>los asuntos planteados por la medida</w:t>
      </w:r>
      <w:r w:rsidRPr="0072573B">
        <w:rPr>
          <w:rFonts w:ascii="Book Antiqua" w:hAnsi="Book Antiqua"/>
          <w:bCs/>
          <w:lang w:val="es-PR"/>
        </w:rPr>
        <w:t>, esta Comisión entiende que el P. de la C. 664 es coherente con la política pública de protección al consumidor, promueve un entorno comercial justo y fortalece la capacidad regulatoria del Estado.</w:t>
      </w:r>
    </w:p>
    <w:p w14:paraId="29B3D6E9" w14:textId="1ED69EB6" w:rsidR="00F44B56" w:rsidRDefault="00F44B56" w:rsidP="00F44B56">
      <w:pPr>
        <w:spacing w:line="360" w:lineRule="auto"/>
        <w:jc w:val="both"/>
        <w:rPr>
          <w:rFonts w:ascii="Book Antiqua" w:hAnsi="Book Antiqua"/>
          <w:lang w:val="es-PR"/>
        </w:rPr>
      </w:pPr>
      <w:r>
        <w:rPr>
          <w:rFonts w:ascii="Book Antiqua" w:hAnsi="Book Antiqua"/>
          <w:bCs/>
          <w:lang w:val="es-PR"/>
        </w:rPr>
        <w:lastRenderedPageBreak/>
        <w:tab/>
      </w:r>
      <w:r w:rsidRPr="00E24AD8">
        <w:rPr>
          <w:rFonts w:ascii="Book Antiqua" w:hAnsi="Book Antiqua"/>
          <w:lang w:val="es-PR"/>
        </w:rPr>
        <w:t>POR LO ANTES EXPUESTO, la Comisión de Desarrollo Económico de la Cámara de Representantes de Puerto Rico</w:t>
      </w:r>
      <w:r w:rsidR="00F62A1E">
        <w:rPr>
          <w:rFonts w:ascii="Book Antiqua" w:hAnsi="Book Antiqua"/>
          <w:lang w:val="es-PR"/>
        </w:rPr>
        <w:t>,</w:t>
      </w:r>
      <w:r w:rsidRPr="00E24AD8">
        <w:rPr>
          <w:rFonts w:ascii="Book Antiqua" w:hAnsi="Book Antiqua"/>
          <w:lang w:val="es-PR"/>
        </w:rPr>
        <w:t xml:space="preserve"> previo estudio y consideración, tienen a bien presentar ante este Alto Cuerpo el</w:t>
      </w:r>
      <w:r w:rsidR="00F62A1E">
        <w:rPr>
          <w:rFonts w:ascii="Book Antiqua" w:hAnsi="Book Antiqua"/>
          <w:lang w:val="es-PR"/>
        </w:rPr>
        <w:t xml:space="preserve"> Segundo</w:t>
      </w:r>
      <w:r w:rsidRPr="00E24AD8">
        <w:rPr>
          <w:rFonts w:ascii="Book Antiqua" w:hAnsi="Book Antiqua"/>
          <w:lang w:val="es-PR"/>
        </w:rPr>
        <w:t xml:space="preserve"> Informe Positivo sobre el Proyecto de</w:t>
      </w:r>
      <w:r>
        <w:rPr>
          <w:rFonts w:ascii="Book Antiqua" w:hAnsi="Book Antiqua"/>
          <w:lang w:val="es-PR"/>
        </w:rPr>
        <w:t xml:space="preserve"> </w:t>
      </w:r>
      <w:r w:rsidRPr="00E24AD8">
        <w:rPr>
          <w:rFonts w:ascii="Book Antiqua" w:hAnsi="Book Antiqua"/>
          <w:lang w:val="es-PR"/>
        </w:rPr>
        <w:t>l</w:t>
      </w:r>
      <w:r>
        <w:rPr>
          <w:rFonts w:ascii="Book Antiqua" w:hAnsi="Book Antiqua"/>
          <w:lang w:val="es-PR"/>
        </w:rPr>
        <w:t>a</w:t>
      </w:r>
      <w:r w:rsidRPr="00E24AD8">
        <w:rPr>
          <w:rFonts w:ascii="Book Antiqua" w:hAnsi="Book Antiqua"/>
          <w:lang w:val="es-PR"/>
        </w:rPr>
        <w:t xml:space="preserve"> </w:t>
      </w:r>
      <w:r>
        <w:rPr>
          <w:rFonts w:ascii="Book Antiqua" w:hAnsi="Book Antiqua"/>
          <w:lang w:val="es-PR"/>
        </w:rPr>
        <w:t xml:space="preserve">Cámara </w:t>
      </w:r>
      <w:r w:rsidR="008416E6">
        <w:rPr>
          <w:rFonts w:ascii="Book Antiqua" w:hAnsi="Book Antiqua"/>
          <w:lang w:val="es-PR"/>
        </w:rPr>
        <w:t>664</w:t>
      </w:r>
      <w:r w:rsidRPr="00E24AD8">
        <w:rPr>
          <w:rFonts w:ascii="Book Antiqua" w:hAnsi="Book Antiqua"/>
          <w:lang w:val="es-PR"/>
        </w:rPr>
        <w:t xml:space="preserve">, recomendando su aprobación </w:t>
      </w:r>
      <w:r w:rsidR="0072573B">
        <w:rPr>
          <w:rFonts w:ascii="Book Antiqua" w:hAnsi="Book Antiqua"/>
          <w:lang w:val="es-PR"/>
        </w:rPr>
        <w:t>con las</w:t>
      </w:r>
      <w:r w:rsidRPr="00E24AD8">
        <w:rPr>
          <w:rFonts w:ascii="Book Antiqua" w:hAnsi="Book Antiqua"/>
          <w:lang w:val="es-PR"/>
        </w:rPr>
        <w:t xml:space="preserve"> enmiendas</w:t>
      </w:r>
      <w:r w:rsidR="0072573B">
        <w:rPr>
          <w:rFonts w:ascii="Book Antiqua" w:hAnsi="Book Antiqua"/>
          <w:lang w:val="es-PR"/>
        </w:rPr>
        <w:t xml:space="preserve"> incorporadas en el </w:t>
      </w:r>
      <w:proofErr w:type="spellStart"/>
      <w:r w:rsidR="0072573B">
        <w:rPr>
          <w:rFonts w:ascii="Book Antiqua" w:hAnsi="Book Antiqua"/>
          <w:lang w:val="es-PR"/>
        </w:rPr>
        <w:t>Entirillado</w:t>
      </w:r>
      <w:proofErr w:type="spellEnd"/>
      <w:r w:rsidR="0072573B">
        <w:rPr>
          <w:rFonts w:ascii="Book Antiqua" w:hAnsi="Book Antiqua"/>
          <w:lang w:val="es-PR"/>
        </w:rPr>
        <w:t xml:space="preserve"> Electrónico que acompaña este </w:t>
      </w:r>
      <w:r w:rsidR="00F62A1E">
        <w:rPr>
          <w:rFonts w:ascii="Book Antiqua" w:hAnsi="Book Antiqua"/>
          <w:lang w:val="es-PR"/>
        </w:rPr>
        <w:t>Segundo I</w:t>
      </w:r>
      <w:r w:rsidR="0072573B">
        <w:rPr>
          <w:rFonts w:ascii="Book Antiqua" w:hAnsi="Book Antiqua"/>
          <w:lang w:val="es-PR"/>
        </w:rPr>
        <w:t>nforme</w:t>
      </w:r>
      <w:r w:rsidRPr="00E24AD8">
        <w:rPr>
          <w:rFonts w:ascii="Book Antiqua" w:hAnsi="Book Antiqua"/>
          <w:lang w:val="es-PR"/>
        </w:rPr>
        <w:t xml:space="preserve">. </w:t>
      </w:r>
    </w:p>
    <w:p w14:paraId="1CA18FE6" w14:textId="77777777" w:rsidR="00F62A1E" w:rsidRDefault="00F62A1E" w:rsidP="00F44B56">
      <w:pPr>
        <w:spacing w:line="360" w:lineRule="auto"/>
        <w:jc w:val="both"/>
        <w:rPr>
          <w:rFonts w:ascii="Book Antiqua" w:hAnsi="Book Antiqua"/>
          <w:lang w:val="es-PR"/>
        </w:rPr>
      </w:pPr>
    </w:p>
    <w:p w14:paraId="3E9D6DE9" w14:textId="17EDE61C" w:rsidR="00F44B56" w:rsidRPr="00E24AD8" w:rsidRDefault="00F44B56" w:rsidP="00F44B56">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388E5B63" w14:textId="77777777" w:rsidR="00F44B56" w:rsidRDefault="00F44B56" w:rsidP="00F44B56">
      <w:pPr>
        <w:spacing w:line="360" w:lineRule="auto"/>
        <w:jc w:val="both"/>
        <w:rPr>
          <w:rFonts w:ascii="Book Antiqua" w:hAnsi="Book Antiqua"/>
          <w:lang w:val="es-PR"/>
        </w:rPr>
      </w:pPr>
    </w:p>
    <w:p w14:paraId="4854B357" w14:textId="77777777" w:rsidR="00F44B56" w:rsidRPr="00E24AD8" w:rsidRDefault="00F44B56" w:rsidP="00F44B56">
      <w:pPr>
        <w:spacing w:line="360" w:lineRule="auto"/>
        <w:jc w:val="both"/>
        <w:rPr>
          <w:rFonts w:ascii="Book Antiqua" w:hAnsi="Book Antiqua"/>
          <w:lang w:val="es-PR"/>
        </w:rPr>
      </w:pPr>
    </w:p>
    <w:p w14:paraId="7470EA4B" w14:textId="77777777" w:rsidR="00F44B56" w:rsidRPr="00E24AD8" w:rsidRDefault="00F44B56" w:rsidP="00F44B56">
      <w:pPr>
        <w:spacing w:line="360" w:lineRule="auto"/>
        <w:jc w:val="both"/>
        <w:rPr>
          <w:rFonts w:ascii="Book Antiqua" w:hAnsi="Book Antiqua"/>
          <w:lang w:val="es-PR"/>
        </w:rPr>
      </w:pPr>
      <w:r w:rsidRPr="00E24AD8">
        <w:rPr>
          <w:rFonts w:ascii="Book Antiqua" w:hAnsi="Book Antiqua"/>
          <w:lang w:val="es-PR"/>
        </w:rPr>
        <w:t>Hon. Joel I. Franqui Atiles</w:t>
      </w:r>
    </w:p>
    <w:p w14:paraId="2AD92959" w14:textId="77777777" w:rsidR="00F44B56" w:rsidRPr="00E24AD8" w:rsidRDefault="00F44B56" w:rsidP="00F62A1E">
      <w:pPr>
        <w:jc w:val="both"/>
        <w:rPr>
          <w:rFonts w:ascii="Book Antiqua" w:hAnsi="Book Antiqua"/>
          <w:lang w:val="es-PR"/>
        </w:rPr>
      </w:pPr>
      <w:r w:rsidRPr="00E24AD8">
        <w:rPr>
          <w:rFonts w:ascii="Book Antiqua" w:hAnsi="Book Antiqua"/>
          <w:lang w:val="es-PR"/>
        </w:rPr>
        <w:t>Presidente</w:t>
      </w:r>
    </w:p>
    <w:p w14:paraId="6813F699" w14:textId="77777777" w:rsidR="00F44B56" w:rsidRDefault="00F44B56" w:rsidP="00F62A1E">
      <w:pPr>
        <w:jc w:val="both"/>
        <w:rPr>
          <w:rFonts w:ascii="Book Antiqua" w:hAnsi="Book Antiqua"/>
          <w:lang w:val="es-PR"/>
        </w:rPr>
      </w:pPr>
      <w:r w:rsidRPr="00E24AD8">
        <w:rPr>
          <w:rFonts w:ascii="Book Antiqua" w:hAnsi="Book Antiqua"/>
          <w:lang w:val="es-PR"/>
        </w:rPr>
        <w:t>Comisión de Desarrollo Económico</w:t>
      </w:r>
    </w:p>
    <w:p w14:paraId="081DCD59" w14:textId="226F8212" w:rsidR="0072573B" w:rsidRPr="0072573B" w:rsidRDefault="0072573B" w:rsidP="00F62A1E">
      <w:pPr>
        <w:jc w:val="both"/>
        <w:rPr>
          <w:rFonts w:ascii="Book Antiqua" w:hAnsi="Book Antiqua"/>
          <w:lang w:val="es-PR"/>
        </w:rPr>
      </w:pPr>
      <w:r>
        <w:rPr>
          <w:rFonts w:ascii="Book Antiqua" w:hAnsi="Book Antiqua"/>
          <w:lang w:val="es-PR"/>
        </w:rPr>
        <w:t>Camara de Representantes de Puerto Rico</w:t>
      </w:r>
    </w:p>
    <w:p w14:paraId="5C8BCC2C" w14:textId="77777777" w:rsidR="00ED074A" w:rsidRPr="0072573B" w:rsidRDefault="00ED074A">
      <w:pPr>
        <w:rPr>
          <w:lang w:val="es-PR"/>
        </w:rPr>
      </w:pPr>
    </w:p>
    <w:sectPr w:rsidR="00ED074A" w:rsidRPr="0072573B" w:rsidSect="00F44B56">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880AD" w14:textId="77777777" w:rsidR="00D46385" w:rsidRDefault="00D46385" w:rsidP="008416E6">
      <w:r>
        <w:separator/>
      </w:r>
    </w:p>
  </w:endnote>
  <w:endnote w:type="continuationSeparator" w:id="0">
    <w:p w14:paraId="25A30415" w14:textId="77777777" w:rsidR="00D46385" w:rsidRDefault="00D46385" w:rsidP="00841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A89F8" w14:textId="77777777" w:rsidR="00D46385" w:rsidRDefault="00D46385" w:rsidP="008416E6">
      <w:r>
        <w:separator/>
      </w:r>
    </w:p>
  </w:footnote>
  <w:footnote w:type="continuationSeparator" w:id="0">
    <w:p w14:paraId="5DBE0A3C" w14:textId="77777777" w:rsidR="00D46385" w:rsidRDefault="00D46385" w:rsidP="00841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83F6B" w14:textId="6C408A77" w:rsidR="00F44B56" w:rsidRPr="00E17735" w:rsidRDefault="00F44B56">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 la C. </w:t>
    </w:r>
    <w:r w:rsidR="008416E6">
      <w:rPr>
        <w:rFonts w:ascii="Book Antiqua" w:hAnsi="Book Antiqua"/>
        <w:b/>
        <w:i/>
        <w:color w:val="7F7F7F"/>
        <w:spacing w:val="60"/>
        <w:lang w:val="es-PR"/>
      </w:rPr>
      <w:t>664</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48D5E508" w14:textId="77777777" w:rsidR="00F44B56" w:rsidRPr="00E17735" w:rsidRDefault="00F44B56">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551FB2"/>
    <w:multiLevelType w:val="multilevel"/>
    <w:tmpl w:val="506E0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6236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B56"/>
    <w:rsid w:val="000641E3"/>
    <w:rsid w:val="0012746B"/>
    <w:rsid w:val="00131508"/>
    <w:rsid w:val="00132E8D"/>
    <w:rsid w:val="00136211"/>
    <w:rsid w:val="00210CFB"/>
    <w:rsid w:val="00286B39"/>
    <w:rsid w:val="002D1729"/>
    <w:rsid w:val="002E6396"/>
    <w:rsid w:val="003939A5"/>
    <w:rsid w:val="00407915"/>
    <w:rsid w:val="00447301"/>
    <w:rsid w:val="00526D02"/>
    <w:rsid w:val="0062770C"/>
    <w:rsid w:val="006522B7"/>
    <w:rsid w:val="006D7985"/>
    <w:rsid w:val="006E1CFA"/>
    <w:rsid w:val="0072573B"/>
    <w:rsid w:val="00820A7F"/>
    <w:rsid w:val="008416E6"/>
    <w:rsid w:val="00877DD8"/>
    <w:rsid w:val="008D116B"/>
    <w:rsid w:val="009252D1"/>
    <w:rsid w:val="00954928"/>
    <w:rsid w:val="00955220"/>
    <w:rsid w:val="009921CF"/>
    <w:rsid w:val="009A0249"/>
    <w:rsid w:val="00A55FC7"/>
    <w:rsid w:val="00A62074"/>
    <w:rsid w:val="00AE63C7"/>
    <w:rsid w:val="00C330D1"/>
    <w:rsid w:val="00C7371E"/>
    <w:rsid w:val="00C764D5"/>
    <w:rsid w:val="00C82766"/>
    <w:rsid w:val="00CD2EAE"/>
    <w:rsid w:val="00D46385"/>
    <w:rsid w:val="00D93624"/>
    <w:rsid w:val="00DC30B9"/>
    <w:rsid w:val="00E90F14"/>
    <w:rsid w:val="00ED074A"/>
    <w:rsid w:val="00F44B56"/>
    <w:rsid w:val="00F62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51A3C"/>
  <w15:chartTrackingRefBased/>
  <w15:docId w15:val="{FAEB03FE-2783-4204-840F-579D463A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B5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F44B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B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B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B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B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B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B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B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B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B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B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B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B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B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B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B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B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B56"/>
    <w:rPr>
      <w:rFonts w:eastAsiaTheme="majorEastAsia" w:cstheme="majorBidi"/>
      <w:color w:val="272727" w:themeColor="text1" w:themeTint="D8"/>
    </w:rPr>
  </w:style>
  <w:style w:type="paragraph" w:styleId="Title">
    <w:name w:val="Title"/>
    <w:basedOn w:val="Normal"/>
    <w:next w:val="Normal"/>
    <w:link w:val="TitleChar"/>
    <w:uiPriority w:val="10"/>
    <w:qFormat/>
    <w:rsid w:val="00F44B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B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B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B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B56"/>
    <w:pPr>
      <w:spacing w:before="160"/>
      <w:jc w:val="center"/>
    </w:pPr>
    <w:rPr>
      <w:i/>
      <w:iCs/>
      <w:color w:val="404040" w:themeColor="text1" w:themeTint="BF"/>
    </w:rPr>
  </w:style>
  <w:style w:type="character" w:customStyle="1" w:styleId="QuoteChar">
    <w:name w:val="Quote Char"/>
    <w:basedOn w:val="DefaultParagraphFont"/>
    <w:link w:val="Quote"/>
    <w:uiPriority w:val="29"/>
    <w:rsid w:val="00F44B56"/>
    <w:rPr>
      <w:i/>
      <w:iCs/>
      <w:color w:val="404040" w:themeColor="text1" w:themeTint="BF"/>
    </w:rPr>
  </w:style>
  <w:style w:type="paragraph" w:styleId="ListParagraph">
    <w:name w:val="List Paragraph"/>
    <w:basedOn w:val="Normal"/>
    <w:uiPriority w:val="34"/>
    <w:qFormat/>
    <w:rsid w:val="00F44B56"/>
    <w:pPr>
      <w:ind w:left="720"/>
      <w:contextualSpacing/>
    </w:pPr>
  </w:style>
  <w:style w:type="character" w:styleId="IntenseEmphasis">
    <w:name w:val="Intense Emphasis"/>
    <w:basedOn w:val="DefaultParagraphFont"/>
    <w:uiPriority w:val="21"/>
    <w:qFormat/>
    <w:rsid w:val="00F44B56"/>
    <w:rPr>
      <w:i/>
      <w:iCs/>
      <w:color w:val="0F4761" w:themeColor="accent1" w:themeShade="BF"/>
    </w:rPr>
  </w:style>
  <w:style w:type="paragraph" w:styleId="IntenseQuote">
    <w:name w:val="Intense Quote"/>
    <w:basedOn w:val="Normal"/>
    <w:next w:val="Normal"/>
    <w:link w:val="IntenseQuoteChar"/>
    <w:uiPriority w:val="30"/>
    <w:qFormat/>
    <w:rsid w:val="00F44B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B56"/>
    <w:rPr>
      <w:i/>
      <w:iCs/>
      <w:color w:val="0F4761" w:themeColor="accent1" w:themeShade="BF"/>
    </w:rPr>
  </w:style>
  <w:style w:type="character" w:styleId="IntenseReference">
    <w:name w:val="Intense Reference"/>
    <w:basedOn w:val="DefaultParagraphFont"/>
    <w:uiPriority w:val="32"/>
    <w:qFormat/>
    <w:rsid w:val="00F44B56"/>
    <w:rPr>
      <w:b/>
      <w:bCs/>
      <w:smallCaps/>
      <w:color w:val="0F4761" w:themeColor="accent1" w:themeShade="BF"/>
      <w:spacing w:val="5"/>
    </w:rPr>
  </w:style>
  <w:style w:type="paragraph" w:customStyle="1" w:styleId="ColorfulList-Accent11">
    <w:name w:val="Colorful List - Accent 11"/>
    <w:basedOn w:val="Normal"/>
    <w:uiPriority w:val="34"/>
    <w:qFormat/>
    <w:rsid w:val="00F44B56"/>
    <w:pPr>
      <w:ind w:left="720"/>
      <w:contextualSpacing/>
    </w:pPr>
  </w:style>
  <w:style w:type="paragraph" w:styleId="Header">
    <w:name w:val="header"/>
    <w:basedOn w:val="Normal"/>
    <w:link w:val="HeaderChar"/>
    <w:uiPriority w:val="99"/>
    <w:unhideWhenUsed/>
    <w:rsid w:val="00F44B56"/>
    <w:pPr>
      <w:tabs>
        <w:tab w:val="center" w:pos="4680"/>
        <w:tab w:val="right" w:pos="9360"/>
      </w:tabs>
    </w:pPr>
  </w:style>
  <w:style w:type="character" w:customStyle="1" w:styleId="HeaderChar">
    <w:name w:val="Header Char"/>
    <w:basedOn w:val="DefaultParagraphFont"/>
    <w:link w:val="Header"/>
    <w:uiPriority w:val="99"/>
    <w:rsid w:val="00F44B56"/>
    <w:rPr>
      <w:rFonts w:ascii="Times New Roman" w:eastAsia="Times New Roman" w:hAnsi="Times New Roman" w:cs="Times New Roman"/>
      <w:kern w:val="0"/>
      <w14:ligatures w14:val="none"/>
    </w:rPr>
  </w:style>
  <w:style w:type="paragraph" w:styleId="NoSpacing">
    <w:name w:val="No Spacing"/>
    <w:uiPriority w:val="1"/>
    <w:qFormat/>
    <w:rsid w:val="00F44B56"/>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8416E6"/>
    <w:pPr>
      <w:tabs>
        <w:tab w:val="center" w:pos="4680"/>
        <w:tab w:val="right" w:pos="9360"/>
      </w:tabs>
    </w:pPr>
  </w:style>
  <w:style w:type="character" w:customStyle="1" w:styleId="FooterChar">
    <w:name w:val="Footer Char"/>
    <w:basedOn w:val="DefaultParagraphFont"/>
    <w:link w:val="Footer"/>
    <w:uiPriority w:val="99"/>
    <w:rsid w:val="008416E6"/>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841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1800</Words>
  <Characters>10266</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2026-04-20T18:57:00Z</cp:lastPrinted>
  <dcterms:created xsi:type="dcterms:W3CDTF">2026-04-23T19:44:00Z</dcterms:created>
  <dcterms:modified xsi:type="dcterms:W3CDTF">2026-04-23T19:44:00Z</dcterms:modified>
</cp:coreProperties>
</file>