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61D5DF5D"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70837D23"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CA3DC6">
        <w:rPr>
          <w:rFonts w:ascii="Book Antiqua" w:hAnsi="Book Antiqua"/>
          <w:b/>
          <w:bCs/>
          <w:sz w:val="52"/>
          <w:szCs w:val="52"/>
          <w:lang w:val="es-ES_tradnl"/>
        </w:rPr>
        <w:t>665</w:t>
      </w:r>
    </w:p>
    <w:p w14:paraId="217BB401" w14:textId="77777777" w:rsidR="00843A6A" w:rsidRPr="006301FC" w:rsidRDefault="00843A6A" w:rsidP="00843A6A">
      <w:pPr>
        <w:jc w:val="center"/>
        <w:rPr>
          <w:rFonts w:ascii="Book Antiqua" w:hAnsi="Book Antiqua"/>
          <w:bCs/>
          <w:lang w:val="es-ES_tradnl"/>
        </w:rPr>
      </w:pPr>
    </w:p>
    <w:p w14:paraId="21B55AB0" w14:textId="019556CA" w:rsidR="00843A6A" w:rsidRPr="004B07C7" w:rsidRDefault="006F6DEE" w:rsidP="00843A6A">
      <w:pPr>
        <w:jc w:val="center"/>
        <w:rPr>
          <w:rFonts w:ascii="Book Antiqua" w:hAnsi="Book Antiqua"/>
          <w:caps/>
          <w:lang w:val="es-PR"/>
        </w:rPr>
      </w:pPr>
      <w:r>
        <w:rPr>
          <w:rFonts w:ascii="Book Antiqua" w:hAnsi="Book Antiqua"/>
          <w:caps/>
          <w:lang w:val="es-ES_tradnl"/>
        </w:rPr>
        <w:t xml:space="preserve">12 </w:t>
      </w:r>
      <w:r w:rsidR="007503BE">
        <w:rPr>
          <w:rFonts w:ascii="Book Antiqua" w:hAnsi="Book Antiqua"/>
          <w:caps/>
          <w:lang w:val="es-ES_tradnl"/>
        </w:rPr>
        <w:t>de mayo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464B3440"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E714B2">
        <w:rPr>
          <w:rFonts w:ascii="Book Antiqua" w:hAnsi="Book Antiqua"/>
          <w:lang w:val="es-ES_tradnl"/>
        </w:rPr>
        <w:t xml:space="preserve">la </w:t>
      </w:r>
      <w:r w:rsidR="002A3262">
        <w:rPr>
          <w:rFonts w:ascii="Book Antiqua" w:hAnsi="Book Antiqua"/>
          <w:lang w:val="es-ES_tradnl"/>
        </w:rPr>
        <w:t xml:space="preserve">representante </w:t>
      </w:r>
      <w:r w:rsidR="002A3262" w:rsidRPr="002A3262">
        <w:rPr>
          <w:rFonts w:ascii="Book Antiqua" w:hAnsi="Book Antiqua"/>
          <w:i/>
          <w:iCs/>
          <w:lang w:val="es-ES_tradnl"/>
        </w:rPr>
        <w:t>Lebrón</w:t>
      </w:r>
      <w:r w:rsidR="00E714B2" w:rsidRPr="002A3262">
        <w:rPr>
          <w:rFonts w:ascii="Book Antiqua" w:hAnsi="Book Antiqua"/>
          <w:i/>
          <w:iCs/>
          <w:szCs w:val="24"/>
          <w:lang w:val="es-ES_tradnl"/>
        </w:rPr>
        <w:t xml:space="preserve"> </w:t>
      </w:r>
      <w:r w:rsidR="00E714B2">
        <w:rPr>
          <w:rFonts w:ascii="Book Antiqua" w:hAnsi="Book Antiqua"/>
          <w:i/>
          <w:szCs w:val="24"/>
          <w:lang w:val="es-ES_tradnl"/>
        </w:rPr>
        <w:t>Rodríguez</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573BB3B8"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 xml:space="preserve">la Comisión de </w:t>
      </w:r>
      <w:r w:rsidR="00313BCC">
        <w:rPr>
          <w:rFonts w:ascii="Book Antiqua" w:hAnsi="Book Antiqua"/>
          <w:lang w:val="es-ES_tradnl"/>
        </w:rPr>
        <w:t>Hacienda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47636F24" w:rsidR="00843A6A" w:rsidRPr="00AA35EC" w:rsidRDefault="00843A6A" w:rsidP="001A0BC5">
      <w:pPr>
        <w:pStyle w:val="BodyText"/>
        <w:ind w:left="720" w:hanging="720"/>
        <w:rPr>
          <w:rFonts w:ascii="Book Antiqua" w:hAnsi="Book Antiqua" w:cs="AngsanaUPC"/>
        </w:rPr>
      </w:pPr>
      <w:r w:rsidRPr="00AA35EC">
        <w:rPr>
          <w:rFonts w:ascii="Book Antiqua" w:hAnsi="Book Antiqua" w:cs="AngsanaUPC"/>
        </w:rPr>
        <w:t>Para</w:t>
      </w:r>
      <w:r w:rsidR="00BA0EEA">
        <w:rPr>
          <w:rFonts w:ascii="Book Antiqua" w:hAnsi="Book Antiqua" w:cs="AngsanaUPC"/>
        </w:rPr>
        <w:t xml:space="preserve"> </w:t>
      </w:r>
      <w:r w:rsidR="002A3262" w:rsidRPr="002A3262">
        <w:rPr>
          <w:rFonts w:ascii="Book Antiqua" w:hAnsi="Book Antiqua" w:cs="AngsanaUPC"/>
        </w:rPr>
        <w:t>enmendar las Secciones 1023.09 y 1081.01 de la Ley 1-2011, según enmendada,</w:t>
      </w:r>
      <w:r w:rsidR="002A3262">
        <w:rPr>
          <w:rFonts w:ascii="Book Antiqua" w:hAnsi="Book Antiqua" w:cs="AngsanaUPC"/>
        </w:rPr>
        <w:t xml:space="preserve"> </w:t>
      </w:r>
      <w:r w:rsidR="002A3262" w:rsidRPr="002A3262">
        <w:rPr>
          <w:rFonts w:ascii="Book Antiqua" w:hAnsi="Book Antiqua" w:cs="AngsanaUPC"/>
        </w:rPr>
        <w:t>conocida como “Código de Rentas Internas de Puerto Rico de 2011“; y para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6B22DC61" w14:textId="77777777" w:rsidR="00D901DD" w:rsidRPr="00D901DD" w:rsidRDefault="00D901DD" w:rsidP="008A39D7">
      <w:pPr>
        <w:jc w:val="both"/>
        <w:rPr>
          <w:rFonts w:ascii="Book Antiqua" w:hAnsi="Book Antiqua"/>
          <w:bCs/>
          <w:lang w:val="es-ES"/>
        </w:rPr>
      </w:pPr>
    </w:p>
    <w:p w14:paraId="0B3602C6"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Esta Asamblea Legislativa está comprometida en revisar constantemente las disposiciones contributivas vigentes y atemperar el alcance de éstas en aras de beneficiar al pueblo de Puerto Rico. Por tal motivo, esta Asamblea Legislativa entiende pertinente promover la presente enmienda a la Ley Núm. 1 de 31 de enero de 2011, según enmendada, conocida como el “Código de Rentas Internas de Puerto Rico de 2011”.</w:t>
      </w:r>
    </w:p>
    <w:p w14:paraId="3215179C" w14:textId="77777777" w:rsidR="002A3262" w:rsidRPr="002A3262" w:rsidRDefault="002A3262" w:rsidP="001A0BC5">
      <w:pPr>
        <w:ind w:firstLine="720"/>
        <w:jc w:val="both"/>
        <w:rPr>
          <w:rFonts w:ascii="Book Antiqua" w:hAnsi="Book Antiqua"/>
          <w:bCs/>
          <w:lang w:val="es-ES"/>
        </w:rPr>
      </w:pPr>
    </w:p>
    <w:p w14:paraId="6E377F8E"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El apartado (b) de la Sección 1081.01 de la Ley 1-2011 establece las reglas aplicables a la tributación de las distribuciones de un fideicomiso exento bajo las disposiciones de la Sección 1081.01(a) de la Ley 1-2011. El referido apartado (b) dispone a manera de excepción que las distribuciones totales o parciales que a elección del participante sean transferidas (“</w:t>
      </w:r>
      <w:proofErr w:type="spellStart"/>
      <w:r w:rsidRPr="002A3262">
        <w:rPr>
          <w:rFonts w:ascii="Book Antiqua" w:hAnsi="Book Antiqua"/>
          <w:bCs/>
          <w:lang w:val="es-ES"/>
        </w:rPr>
        <w:t>rollover</w:t>
      </w:r>
      <w:proofErr w:type="spellEnd"/>
      <w:r w:rsidRPr="002A3262">
        <w:rPr>
          <w:rFonts w:ascii="Book Antiqua" w:hAnsi="Book Antiqua"/>
          <w:bCs/>
          <w:lang w:val="es-ES"/>
        </w:rPr>
        <w:t>”) a una cuenta o anualidad de retiro individual, a una cuenta de retiro individual no deducible o a un plan de retiro cualificado, no estarán sujetos a la retención de contribución sobre ingresos en el origen que establece dicho apartado (b), que pudiera ser de un 10% o de un 20% dependiendo de si se cumplen con ciertos requisitos establecidos en tal apartado (b). Sin embargo, dependiendo del vehículo al cual se realizan estas aportaciones por transferencia cualificadas o “</w:t>
      </w:r>
      <w:proofErr w:type="spellStart"/>
      <w:r w:rsidRPr="002A3262">
        <w:rPr>
          <w:rFonts w:ascii="Book Antiqua" w:hAnsi="Book Antiqua"/>
          <w:bCs/>
          <w:lang w:val="es-ES"/>
        </w:rPr>
        <w:t>rollovers</w:t>
      </w:r>
      <w:proofErr w:type="spellEnd"/>
      <w:r w:rsidRPr="002A3262">
        <w:rPr>
          <w:rFonts w:ascii="Book Antiqua" w:hAnsi="Book Antiqua"/>
          <w:bCs/>
          <w:lang w:val="es-ES"/>
        </w:rPr>
        <w:t>”, el participante al recibir luego las distribuciones de sus beneficios se podría encontrar entonces con la aplicabilidad de tasas contributivas mayores a las ya descritas.</w:t>
      </w:r>
    </w:p>
    <w:p w14:paraId="4E0075D7"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lastRenderedPageBreak/>
        <w:t>El Artículo 3.8 de la Ley Núm. 106 del 23 de agosto de 2017, conocida como la Ley para Garantizar el Pago a Nuestros Pensionados y Establecer un Nuevo Plan de Aportaciones Definidas para los Servidores Públicos (“Ley 106-2017”) establece la forma de tributación de los beneficios por separación de empleo y dispone que en el caso de que un participante del plan se separe del servicio público, su Cuenta de Aportación Definida puede permanecer en el plan, puede ser transferida a otro plan de aportaciones definidas cualificado exento bajo la Sección 1081.01(a) del Código de Rentas Internas de Puerto Rico, o el participante puede solicitar el desembolso del balance.</w:t>
      </w:r>
    </w:p>
    <w:p w14:paraId="02B5939F" w14:textId="77777777" w:rsidR="002A3262" w:rsidRPr="002A3262" w:rsidRDefault="002A3262" w:rsidP="001A0BC5">
      <w:pPr>
        <w:ind w:firstLine="720"/>
        <w:jc w:val="both"/>
        <w:rPr>
          <w:rFonts w:ascii="Book Antiqua" w:hAnsi="Book Antiqua"/>
          <w:bCs/>
          <w:lang w:val="es-ES"/>
        </w:rPr>
      </w:pPr>
    </w:p>
    <w:p w14:paraId="0AECFE6D" w14:textId="77777777" w:rsidR="002A3262" w:rsidRDefault="002A3262" w:rsidP="001A0BC5">
      <w:pPr>
        <w:ind w:firstLine="720"/>
        <w:jc w:val="both"/>
        <w:rPr>
          <w:rFonts w:ascii="Book Antiqua" w:hAnsi="Book Antiqua"/>
          <w:bCs/>
          <w:lang w:val="es-ES"/>
        </w:rPr>
      </w:pPr>
      <w:r w:rsidRPr="002A3262">
        <w:rPr>
          <w:rFonts w:ascii="Book Antiqua" w:hAnsi="Book Antiqua"/>
          <w:bCs/>
          <w:lang w:val="es-ES"/>
        </w:rPr>
        <w:t>Los participantes en planes de retiro cualificados privados, así como nuestros servidores públicos merecen tener alternativas adicionales de dónde colocar sus beneficios de retiro cuando los mismos son distribuidos ya sea del plan de retiro cualificado privado o del Plan de Aportaciones Definidas para los Servidores Públicos, según sea el caso. Es por ello por lo que esta Asamblea Legislativa considera deseable y conveniente crear para los participantes elegibles la alternativa de un plan de retiro cualificado de aportaciones de transferencia (</w:t>
      </w:r>
      <w:proofErr w:type="spellStart"/>
      <w:r w:rsidRPr="002A3262">
        <w:rPr>
          <w:rFonts w:ascii="Book Antiqua" w:hAnsi="Book Antiqua"/>
          <w:bCs/>
          <w:lang w:val="es-ES"/>
        </w:rPr>
        <w:t>rollovers</w:t>
      </w:r>
      <w:proofErr w:type="spellEnd"/>
      <w:r w:rsidRPr="002A3262">
        <w:rPr>
          <w:rFonts w:ascii="Book Antiqua" w:hAnsi="Book Antiqua"/>
          <w:bCs/>
          <w:lang w:val="es-ES"/>
        </w:rPr>
        <w:t>) para un solo individuo.</w:t>
      </w:r>
    </w:p>
    <w:p w14:paraId="133F31DB" w14:textId="77777777" w:rsidR="002A3262" w:rsidRPr="002A3262" w:rsidRDefault="002A3262" w:rsidP="001A0BC5">
      <w:pPr>
        <w:ind w:firstLine="720"/>
        <w:jc w:val="both"/>
        <w:rPr>
          <w:rFonts w:ascii="Book Antiqua" w:hAnsi="Book Antiqua"/>
          <w:bCs/>
          <w:lang w:val="es-ES"/>
        </w:rPr>
      </w:pPr>
    </w:p>
    <w:p w14:paraId="40E94FE6"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Este tipo de plan de retiro cualificado recibirá aportaciones de transferencia (</w:t>
      </w:r>
      <w:proofErr w:type="spellStart"/>
      <w:r w:rsidRPr="002A3262">
        <w:rPr>
          <w:rFonts w:ascii="Book Antiqua" w:hAnsi="Book Antiqua"/>
          <w:bCs/>
          <w:lang w:val="es-ES"/>
        </w:rPr>
        <w:t>rollovers</w:t>
      </w:r>
      <w:proofErr w:type="spellEnd"/>
      <w:r w:rsidRPr="002A3262">
        <w:rPr>
          <w:rFonts w:ascii="Book Antiqua" w:hAnsi="Book Antiqua"/>
          <w:bCs/>
          <w:lang w:val="es-ES"/>
        </w:rPr>
        <w:t>) provenientes de otros planes de retiro cualificados bajo la Sección 1081.01 del Código de Rentas Internas o provenientes del Plan de Aportaciones Definidas para los Servidores Públicos. El plan de retiro cualificado podrá ser establecido solo por un individuo o para beneficio de un individuo y el único tipo de aportación que se podrá realizar serán aportaciones de transferencia (</w:t>
      </w:r>
      <w:proofErr w:type="spellStart"/>
      <w:r w:rsidRPr="002A3262">
        <w:rPr>
          <w:rFonts w:ascii="Book Antiqua" w:hAnsi="Book Antiqua"/>
          <w:bCs/>
          <w:lang w:val="es-ES"/>
        </w:rPr>
        <w:t>rollovers</w:t>
      </w:r>
      <w:proofErr w:type="spellEnd"/>
      <w:r w:rsidRPr="002A3262">
        <w:rPr>
          <w:rFonts w:ascii="Book Antiqua" w:hAnsi="Book Antiqua"/>
          <w:bCs/>
          <w:lang w:val="es-ES"/>
        </w:rPr>
        <w:t>). Estas aportaciones de transferencia (</w:t>
      </w:r>
      <w:proofErr w:type="spellStart"/>
      <w:r w:rsidRPr="002A3262">
        <w:rPr>
          <w:rFonts w:ascii="Book Antiqua" w:hAnsi="Book Antiqua"/>
          <w:bCs/>
          <w:lang w:val="es-ES"/>
        </w:rPr>
        <w:t>rollovers</w:t>
      </w:r>
      <w:proofErr w:type="spellEnd"/>
      <w:r w:rsidRPr="002A3262">
        <w:rPr>
          <w:rFonts w:ascii="Book Antiqua" w:hAnsi="Book Antiqua"/>
          <w:bCs/>
          <w:lang w:val="es-ES"/>
        </w:rPr>
        <w:t>) podrían tener la caracterización de transferencias voluntarias o transferencias involuntarias. Las transferencias voluntarias podrían surgir por motivo de la separación de empleo o la terminación de un plan de retiro cualificado donde el participante, ya sea del plan de retiro cualificado privado o del Plan de Aportaciones Definidas para los Servidores Públicos, elige realizar una aportación de transferencia (</w:t>
      </w:r>
      <w:proofErr w:type="spellStart"/>
      <w:r w:rsidRPr="002A3262">
        <w:rPr>
          <w:rFonts w:ascii="Book Antiqua" w:hAnsi="Book Antiqua"/>
          <w:bCs/>
          <w:lang w:val="es-ES"/>
        </w:rPr>
        <w:t>rollover</w:t>
      </w:r>
      <w:proofErr w:type="spellEnd"/>
      <w:r w:rsidRPr="002A3262">
        <w:rPr>
          <w:rFonts w:ascii="Book Antiqua" w:hAnsi="Book Antiqua"/>
          <w:bCs/>
          <w:lang w:val="es-ES"/>
        </w:rPr>
        <w:t>) al Plan de Retiro Cualificado de Aportaciones de Transferencia (</w:t>
      </w:r>
      <w:proofErr w:type="spellStart"/>
      <w:r w:rsidRPr="002A3262">
        <w:rPr>
          <w:rFonts w:ascii="Book Antiqua" w:hAnsi="Book Antiqua"/>
          <w:bCs/>
          <w:lang w:val="es-ES"/>
        </w:rPr>
        <w:t>rollovers</w:t>
      </w:r>
      <w:proofErr w:type="spellEnd"/>
      <w:r w:rsidRPr="002A3262">
        <w:rPr>
          <w:rFonts w:ascii="Book Antiqua" w:hAnsi="Book Antiqua"/>
          <w:bCs/>
          <w:lang w:val="es-ES"/>
        </w:rPr>
        <w:t xml:space="preserve">) para un Solo Individuo conforme a lo dispuesto en esta ley. Por el otro lado, transferencias involuntarias podrían ocurrir en el caso en que el participante es forzado, conforme a la Sección 203(e) de ERISA, a recibir una distribución de sus beneficios de retiro porque sus beneficios son igual o menores a la cantidad de $7,000 o por causas tales como que su patrono cerró operaciones, está en procedimiento de quiebra para ser liquidado o que simplemente el plan de retiro fue “abandonado” conforme a las reglas establecidas por el Departamento del Trabajo Federal (“U.S. </w:t>
      </w:r>
      <w:proofErr w:type="spellStart"/>
      <w:r w:rsidRPr="002A3262">
        <w:rPr>
          <w:rFonts w:ascii="Book Antiqua" w:hAnsi="Book Antiqua"/>
          <w:bCs/>
          <w:lang w:val="es-ES"/>
        </w:rPr>
        <w:t>Department</w:t>
      </w:r>
      <w:proofErr w:type="spellEnd"/>
      <w:r w:rsidRPr="002A3262">
        <w:rPr>
          <w:rFonts w:ascii="Book Antiqua" w:hAnsi="Book Antiqua"/>
          <w:bCs/>
          <w:lang w:val="es-ES"/>
        </w:rPr>
        <w:t xml:space="preserve"> </w:t>
      </w:r>
      <w:proofErr w:type="spellStart"/>
      <w:r w:rsidRPr="002A3262">
        <w:rPr>
          <w:rFonts w:ascii="Book Antiqua" w:hAnsi="Book Antiqua"/>
          <w:bCs/>
          <w:lang w:val="es-ES"/>
        </w:rPr>
        <w:t>of</w:t>
      </w:r>
      <w:proofErr w:type="spellEnd"/>
      <w:r w:rsidRPr="002A3262">
        <w:rPr>
          <w:rFonts w:ascii="Book Antiqua" w:hAnsi="Book Antiqua"/>
          <w:bCs/>
          <w:lang w:val="es-ES"/>
        </w:rPr>
        <w:t xml:space="preserve"> Labor”) a esos fines. Debido a la naturaleza no </w:t>
      </w:r>
      <w:proofErr w:type="spellStart"/>
      <w:r w:rsidRPr="002A3262">
        <w:rPr>
          <w:rFonts w:ascii="Book Antiqua" w:hAnsi="Book Antiqua"/>
          <w:bCs/>
          <w:lang w:val="es-ES"/>
        </w:rPr>
        <w:t>contributoria</w:t>
      </w:r>
      <w:proofErr w:type="spellEnd"/>
      <w:r w:rsidRPr="002A3262">
        <w:rPr>
          <w:rFonts w:ascii="Book Antiqua" w:hAnsi="Book Antiqua"/>
          <w:bCs/>
          <w:lang w:val="es-ES"/>
        </w:rPr>
        <w:t xml:space="preserve"> del plan, sería apropiado que el Departamento de Hacienda no cobre derechos de radicación en su evaluación del establecimiento de dicho plan, así como cuando se termine el plan.</w:t>
      </w:r>
    </w:p>
    <w:p w14:paraId="51AB1325" w14:textId="77777777" w:rsidR="002A3262" w:rsidRPr="002A3262" w:rsidRDefault="002A3262" w:rsidP="001A0BC5">
      <w:pPr>
        <w:ind w:firstLine="720"/>
        <w:jc w:val="both"/>
        <w:rPr>
          <w:rFonts w:ascii="Book Antiqua" w:hAnsi="Book Antiqua"/>
          <w:bCs/>
          <w:lang w:val="es-ES"/>
        </w:rPr>
      </w:pPr>
    </w:p>
    <w:p w14:paraId="2B0A52E0"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 xml:space="preserve">Actualmente un participante terminado puede transferir sus balances en un plan de retiro cualificado a un Plan </w:t>
      </w:r>
      <w:proofErr w:type="spellStart"/>
      <w:r w:rsidRPr="002A3262">
        <w:rPr>
          <w:rFonts w:ascii="Book Antiqua" w:hAnsi="Book Antiqua"/>
          <w:bCs/>
          <w:lang w:val="es-ES"/>
        </w:rPr>
        <w:t>Keogh</w:t>
      </w:r>
      <w:proofErr w:type="spellEnd"/>
      <w:r w:rsidRPr="002A3262">
        <w:rPr>
          <w:rFonts w:ascii="Book Antiqua" w:hAnsi="Book Antiqua"/>
          <w:bCs/>
          <w:lang w:val="es-ES"/>
        </w:rPr>
        <w:t xml:space="preserve">, establecido bajo la Sección 1081.01 de un negocio no incorporado. El Plan </w:t>
      </w:r>
      <w:proofErr w:type="spellStart"/>
      <w:r w:rsidRPr="002A3262">
        <w:rPr>
          <w:rFonts w:ascii="Book Antiqua" w:hAnsi="Book Antiqua"/>
          <w:bCs/>
          <w:lang w:val="es-ES"/>
        </w:rPr>
        <w:t>Keogh</w:t>
      </w:r>
      <w:proofErr w:type="spellEnd"/>
      <w:r w:rsidRPr="002A3262">
        <w:rPr>
          <w:rFonts w:ascii="Book Antiqua" w:hAnsi="Book Antiqua"/>
          <w:bCs/>
          <w:lang w:val="es-ES"/>
        </w:rPr>
        <w:t xml:space="preserve"> conserva tanto las ventajas contributivas atribuibles a la </w:t>
      </w:r>
      <w:r w:rsidRPr="002A3262">
        <w:rPr>
          <w:rFonts w:ascii="Book Antiqua" w:hAnsi="Book Antiqua"/>
          <w:bCs/>
          <w:lang w:val="es-ES"/>
        </w:rPr>
        <w:lastRenderedPageBreak/>
        <w:t>distribución, así como la flexibilidad de inversión de otros planes de retiro cualificados bajo la Sección 1081.</w:t>
      </w:r>
    </w:p>
    <w:p w14:paraId="461A2C73" w14:textId="77777777" w:rsidR="002A3262" w:rsidRPr="002A3262" w:rsidRDefault="002A3262" w:rsidP="001A0BC5">
      <w:pPr>
        <w:ind w:firstLine="720"/>
        <w:jc w:val="both"/>
        <w:rPr>
          <w:rFonts w:ascii="Book Antiqua" w:hAnsi="Book Antiqua"/>
          <w:bCs/>
          <w:lang w:val="es-ES"/>
        </w:rPr>
      </w:pPr>
    </w:p>
    <w:p w14:paraId="7527FFC8"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 xml:space="preserve">Sin embargo, los planes </w:t>
      </w:r>
      <w:proofErr w:type="spellStart"/>
      <w:r w:rsidRPr="002A3262">
        <w:rPr>
          <w:rFonts w:ascii="Book Antiqua" w:hAnsi="Book Antiqua"/>
          <w:bCs/>
          <w:lang w:val="es-ES"/>
        </w:rPr>
        <w:t>Keogh</w:t>
      </w:r>
      <w:proofErr w:type="spellEnd"/>
      <w:r w:rsidRPr="002A3262">
        <w:rPr>
          <w:rFonts w:ascii="Book Antiqua" w:hAnsi="Book Antiqua"/>
          <w:bCs/>
          <w:lang w:val="es-ES"/>
        </w:rPr>
        <w:t xml:space="preserve"> con el único propósito de transferir una cuenta de un plan de retiro de un patrono anterior son una opción más costosa. Además de los cargos de calificación que cobra el Departamento de Hacienda por emitir la correspondiente Determinación Administrativa (una tarifa única de $800), hay servicios de administración anual que generalmente son proporcionados por firmas de contabilidad, administradores y firmas de servicios financieros que generalmente promedian $800 por año. Los </w:t>
      </w:r>
      <w:proofErr w:type="spellStart"/>
      <w:r w:rsidRPr="002A3262">
        <w:rPr>
          <w:rFonts w:ascii="Book Antiqua" w:hAnsi="Book Antiqua"/>
          <w:bCs/>
          <w:lang w:val="es-ES"/>
        </w:rPr>
        <w:t>Keogh</w:t>
      </w:r>
      <w:proofErr w:type="spellEnd"/>
      <w:r w:rsidRPr="002A3262">
        <w:rPr>
          <w:rFonts w:ascii="Book Antiqua" w:hAnsi="Book Antiqua"/>
          <w:bCs/>
          <w:lang w:val="es-ES"/>
        </w:rPr>
        <w:t xml:space="preserve"> </w:t>
      </w:r>
      <w:proofErr w:type="spellStart"/>
      <w:r w:rsidRPr="002A3262">
        <w:rPr>
          <w:rFonts w:ascii="Book Antiqua" w:hAnsi="Book Antiqua"/>
          <w:bCs/>
          <w:lang w:val="es-ES"/>
        </w:rPr>
        <w:t>contributorios</w:t>
      </w:r>
      <w:proofErr w:type="spellEnd"/>
      <w:r w:rsidRPr="002A3262">
        <w:rPr>
          <w:rFonts w:ascii="Book Antiqua" w:hAnsi="Book Antiqua"/>
          <w:bCs/>
          <w:lang w:val="es-ES"/>
        </w:rPr>
        <w:t xml:space="preserve"> son más complicados que los </w:t>
      </w:r>
      <w:proofErr w:type="spellStart"/>
      <w:r w:rsidRPr="002A3262">
        <w:rPr>
          <w:rFonts w:ascii="Book Antiqua" w:hAnsi="Book Antiqua"/>
          <w:bCs/>
          <w:lang w:val="es-ES"/>
        </w:rPr>
        <w:t>Keogh</w:t>
      </w:r>
      <w:proofErr w:type="spellEnd"/>
      <w:r w:rsidRPr="002A3262">
        <w:rPr>
          <w:rFonts w:ascii="Book Antiqua" w:hAnsi="Book Antiqua"/>
          <w:bCs/>
          <w:lang w:val="es-ES"/>
        </w:rPr>
        <w:t xml:space="preserve"> no </w:t>
      </w:r>
      <w:proofErr w:type="spellStart"/>
      <w:r w:rsidRPr="002A3262">
        <w:rPr>
          <w:rFonts w:ascii="Book Antiqua" w:hAnsi="Book Antiqua"/>
          <w:bCs/>
          <w:lang w:val="es-ES"/>
        </w:rPr>
        <w:t>contributorios</w:t>
      </w:r>
      <w:proofErr w:type="spellEnd"/>
      <w:r w:rsidRPr="002A3262">
        <w:rPr>
          <w:rFonts w:ascii="Book Antiqua" w:hAnsi="Book Antiqua"/>
          <w:bCs/>
          <w:lang w:val="es-ES"/>
        </w:rPr>
        <w:t>, ya que dichos planes podrían cubrir a empleados de las empresas y es posible que se requieran pruebas de discriminación e informes de ERISA, lo cual incrementa el costo. Un Plan de Retiro Cualificado de Aportaciones de Transferencia sería sustancialmente menos complicado, ya que solo cubriría a una persona y no se permitirían aportaciones, eliminando así la necesidad de pruebas de discriminación y otros costos relativos a la administración del plan.</w:t>
      </w:r>
    </w:p>
    <w:p w14:paraId="1A8C8ADA" w14:textId="77777777" w:rsidR="002A3262" w:rsidRPr="002A3262" w:rsidRDefault="002A3262" w:rsidP="001A0BC5">
      <w:pPr>
        <w:ind w:firstLine="720"/>
        <w:jc w:val="both"/>
        <w:rPr>
          <w:rFonts w:ascii="Book Antiqua" w:hAnsi="Book Antiqua"/>
          <w:bCs/>
          <w:lang w:val="es-ES"/>
        </w:rPr>
      </w:pPr>
    </w:p>
    <w:p w14:paraId="1CB795F4"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 xml:space="preserve">Para las transferencias involuntarias de cuentas con $7,000 o menos y la transferencia voluntaria de cuentas sin aportaciones futuras, el establecimiento de un Plan de Retiro Cualificado de Aportaciones de Transferencia eliminaría tanto los cargos de cualificación, así como los costos anuales de administración de </w:t>
      </w:r>
      <w:proofErr w:type="spellStart"/>
      <w:r w:rsidRPr="002A3262">
        <w:rPr>
          <w:rFonts w:ascii="Book Antiqua" w:hAnsi="Book Antiqua"/>
          <w:bCs/>
          <w:lang w:val="es-ES"/>
        </w:rPr>
        <w:t>Keogh</w:t>
      </w:r>
      <w:proofErr w:type="spellEnd"/>
      <w:r w:rsidRPr="002A3262">
        <w:rPr>
          <w:rFonts w:ascii="Book Antiqua" w:hAnsi="Book Antiqua"/>
          <w:bCs/>
          <w:lang w:val="es-ES"/>
        </w:rPr>
        <w:t>.</w:t>
      </w:r>
    </w:p>
    <w:p w14:paraId="4A00736D" w14:textId="77777777" w:rsidR="002A3262" w:rsidRPr="002A3262" w:rsidRDefault="002A3262" w:rsidP="001A0BC5">
      <w:pPr>
        <w:ind w:firstLine="720"/>
        <w:jc w:val="both"/>
        <w:rPr>
          <w:rFonts w:ascii="Book Antiqua" w:hAnsi="Book Antiqua"/>
          <w:bCs/>
          <w:lang w:val="es-ES"/>
        </w:rPr>
      </w:pPr>
    </w:p>
    <w:p w14:paraId="08B6188D" w14:textId="0E4E1E63" w:rsidR="002A3262" w:rsidRDefault="002A3262" w:rsidP="001A0BC5">
      <w:pPr>
        <w:ind w:firstLine="720"/>
        <w:jc w:val="both"/>
        <w:rPr>
          <w:rFonts w:ascii="Book Antiqua" w:hAnsi="Book Antiqua"/>
          <w:bCs/>
          <w:lang w:val="es-ES"/>
        </w:rPr>
      </w:pPr>
      <w:r w:rsidRPr="002A3262">
        <w:rPr>
          <w:rFonts w:ascii="Book Antiqua" w:hAnsi="Book Antiqua"/>
          <w:bCs/>
          <w:lang w:val="es-ES"/>
        </w:rPr>
        <w:t>Las distribuciones de suma global (“</w:t>
      </w:r>
      <w:proofErr w:type="spellStart"/>
      <w:r w:rsidRPr="002A3262">
        <w:rPr>
          <w:rFonts w:ascii="Book Antiqua" w:hAnsi="Book Antiqua"/>
          <w:bCs/>
          <w:lang w:val="es-ES"/>
        </w:rPr>
        <w:t>lump</w:t>
      </w:r>
      <w:proofErr w:type="spellEnd"/>
      <w:r w:rsidRPr="002A3262">
        <w:rPr>
          <w:rFonts w:ascii="Book Antiqua" w:hAnsi="Book Antiqua"/>
          <w:bCs/>
          <w:lang w:val="es-ES"/>
        </w:rPr>
        <w:t xml:space="preserve"> sum </w:t>
      </w:r>
      <w:proofErr w:type="spellStart"/>
      <w:r w:rsidRPr="002A3262">
        <w:rPr>
          <w:rFonts w:ascii="Book Antiqua" w:hAnsi="Book Antiqua"/>
          <w:bCs/>
          <w:lang w:val="es-ES"/>
        </w:rPr>
        <w:t>distributions</w:t>
      </w:r>
      <w:proofErr w:type="spellEnd"/>
      <w:r w:rsidRPr="002A3262">
        <w:rPr>
          <w:rFonts w:ascii="Book Antiqua" w:hAnsi="Book Antiqua"/>
          <w:bCs/>
          <w:lang w:val="es-ES"/>
        </w:rPr>
        <w:t>”) de los planes tipo 1081.01 y bajo la Ley 106, que representan beneficios que se han acumulado durante toda la carrera laboral de un individuo, generalmente están sujetos a una retención en el origen de un 10% o 20%. Una distribución de $255,000 a la edad de 65 años, podría proporcionar un beneficio de por vida de</w:t>
      </w:r>
      <w:r>
        <w:rPr>
          <w:rFonts w:ascii="Book Antiqua" w:hAnsi="Book Antiqua"/>
          <w:bCs/>
          <w:lang w:val="es-ES"/>
        </w:rPr>
        <w:t xml:space="preserve"> </w:t>
      </w:r>
      <w:r w:rsidRPr="002A3262">
        <w:rPr>
          <w:rFonts w:ascii="Book Antiqua" w:hAnsi="Book Antiqua"/>
          <w:bCs/>
          <w:lang w:val="es-ES"/>
        </w:rPr>
        <w:t>$10,200 por año. Si a la distribución se le impone una tasa contributiva del 10% de conformidad con la Sección 1081.01(b), el beneficio de retiro después de impuestos será de $9,180 por año. Actualmente, sin embargo, las distribuciones de suma global podrían estar sujetas a la Contribución Básica Alterna. A manera de ejemplo, en el caso de una distribución de $255,000, la Contribución Básica Alterna aplicable podría tratarse de una tasa contributiva de 24%, reduciendo así el beneficio de por vida después de contribuciones a $7,752 por año.</w:t>
      </w:r>
    </w:p>
    <w:p w14:paraId="52F8DED8" w14:textId="77777777" w:rsidR="002A3262" w:rsidRPr="002A3262" w:rsidRDefault="002A3262" w:rsidP="001A0BC5">
      <w:pPr>
        <w:ind w:firstLine="720"/>
        <w:jc w:val="both"/>
        <w:rPr>
          <w:rFonts w:ascii="Book Antiqua" w:hAnsi="Book Antiqua"/>
          <w:bCs/>
          <w:lang w:val="es-ES"/>
        </w:rPr>
      </w:pPr>
    </w:p>
    <w:p w14:paraId="4CD87BEA" w14:textId="77777777" w:rsidR="002A3262" w:rsidRPr="002A3262" w:rsidRDefault="002A3262" w:rsidP="001A0BC5">
      <w:pPr>
        <w:ind w:firstLine="720"/>
        <w:jc w:val="both"/>
        <w:rPr>
          <w:rFonts w:ascii="Book Antiqua" w:hAnsi="Book Antiqua"/>
          <w:bCs/>
          <w:lang w:val="es-ES"/>
        </w:rPr>
      </w:pPr>
      <w:r w:rsidRPr="002A3262">
        <w:rPr>
          <w:rFonts w:ascii="Book Antiqua" w:hAnsi="Book Antiqua"/>
          <w:bCs/>
          <w:lang w:val="es-ES"/>
        </w:rPr>
        <w:t>En el escenario anterior, las tasas contributivas del 10%/20% aplicables a las distribuciones de los planes de retiro bajo la Sección 1081.01 o bajo la Ley 106-2017 son inoperantes y deben restablecerse a su intención original. Una disposición que establezca que las distribuciones de suma global (</w:t>
      </w:r>
      <w:proofErr w:type="spellStart"/>
      <w:r w:rsidRPr="002A3262">
        <w:rPr>
          <w:rFonts w:ascii="Book Antiqua" w:hAnsi="Book Antiqua"/>
          <w:bCs/>
          <w:lang w:val="es-ES"/>
        </w:rPr>
        <w:t>lump</w:t>
      </w:r>
      <w:proofErr w:type="spellEnd"/>
      <w:r w:rsidRPr="002A3262">
        <w:rPr>
          <w:rFonts w:ascii="Book Antiqua" w:hAnsi="Book Antiqua"/>
          <w:bCs/>
          <w:lang w:val="es-ES"/>
        </w:rPr>
        <w:t xml:space="preserve"> sum </w:t>
      </w:r>
      <w:proofErr w:type="spellStart"/>
      <w:r w:rsidRPr="002A3262">
        <w:rPr>
          <w:rFonts w:ascii="Book Antiqua" w:hAnsi="Book Antiqua"/>
          <w:bCs/>
          <w:lang w:val="es-ES"/>
        </w:rPr>
        <w:t>distributions</w:t>
      </w:r>
      <w:proofErr w:type="spellEnd"/>
      <w:r w:rsidRPr="002A3262">
        <w:rPr>
          <w:rFonts w:ascii="Book Antiqua" w:hAnsi="Book Antiqua"/>
          <w:bCs/>
          <w:lang w:val="es-ES"/>
        </w:rPr>
        <w:t>) no estarán sujetas a obligaciones contributivas más allá del requisito de retención, resolvería mejor el resultado contributivo contradictorio que actualmente afecta a las distribuciones de suma global por razón de la aplicación de la Contribución Básica Alterna.</w:t>
      </w:r>
    </w:p>
    <w:p w14:paraId="28169DAC" w14:textId="77777777" w:rsidR="002A3262" w:rsidRPr="002A3262" w:rsidRDefault="002A3262" w:rsidP="001A0BC5">
      <w:pPr>
        <w:ind w:firstLine="720"/>
        <w:jc w:val="both"/>
        <w:rPr>
          <w:rFonts w:ascii="Book Antiqua" w:hAnsi="Book Antiqua"/>
          <w:bCs/>
          <w:lang w:val="es-ES"/>
        </w:rPr>
      </w:pPr>
    </w:p>
    <w:p w14:paraId="7F322192" w14:textId="06AB84E9" w:rsidR="00CF09CD" w:rsidRDefault="002A3262" w:rsidP="001A0BC5">
      <w:pPr>
        <w:ind w:firstLine="720"/>
        <w:jc w:val="both"/>
        <w:rPr>
          <w:rFonts w:ascii="Book Antiqua" w:hAnsi="Book Antiqua"/>
          <w:bCs/>
          <w:lang w:val="es-ES"/>
        </w:rPr>
      </w:pPr>
      <w:r w:rsidRPr="002A3262">
        <w:rPr>
          <w:rFonts w:ascii="Book Antiqua" w:hAnsi="Book Antiqua"/>
          <w:bCs/>
          <w:lang w:val="es-ES"/>
        </w:rPr>
        <w:lastRenderedPageBreak/>
        <w:t xml:space="preserve">Muchos de nuestros retirados, tanto de la esfera gubernamental como la privada, enfrentan tiempos difíciles al retirarse ya que experimentan merma de ingresos, pero a la misma vez sufren los incrementos en costos de vida y precios de las medicinas. Sus dineros provenientes del retiro y el Seguro Social son los medios económicos con los que cuentan para enfrentar tal difícil situación de estrechez económica. Ya esta asamblea legislativa aprobó mediante la Ley 257-2018 que las distribuciones en exceso de $10,000 de planes de retiro debido a un Desastre Declarado tributan a una tasa preferencial de 10% en lugar de cualquier otra contribución impuesta por el Código, incluyendo la contribución básica alterna. Nuestros retirados merecen que se les ayude a tener dinero disponible para enfrentar estos grandes retos económicos. Es por ello </w:t>
      </w:r>
      <w:proofErr w:type="gramStart"/>
      <w:r w:rsidRPr="002A3262">
        <w:rPr>
          <w:rFonts w:ascii="Book Antiqua" w:hAnsi="Book Antiqua"/>
          <w:bCs/>
          <w:lang w:val="es-ES"/>
        </w:rPr>
        <w:t>que</w:t>
      </w:r>
      <w:proofErr w:type="gramEnd"/>
      <w:r w:rsidRPr="002A3262">
        <w:rPr>
          <w:rFonts w:ascii="Book Antiqua" w:hAnsi="Book Antiqua"/>
          <w:bCs/>
          <w:lang w:val="es-ES"/>
        </w:rPr>
        <w:t xml:space="preserve"> esta Ley, siendo consistente con la intención legislativa ya expresada en el 2018, aunque no reduce las tasas contributivas de 20% o de 10% que podrían ser aplicables a distribuciones totales de planes de retiro, libera dichas distribuciones totales de estar sujetas a otras contribuciones sobre ingresos que impone el Código de Rentas Internas, incluyendo la contribución básica alterna. Así, por medio de este mecanismo, se les provee dinero en su bolsillo para ayudarlos a palear el alto costo de vida y los incrementos en los precios de las medicinas</w:t>
      </w:r>
    </w:p>
    <w:p w14:paraId="4F542FD4" w14:textId="77777777" w:rsidR="002A3262" w:rsidRPr="00CF09CD" w:rsidRDefault="002A3262" w:rsidP="001A0BC5">
      <w:pPr>
        <w:ind w:firstLine="720"/>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42F1A927" w14:textId="77777777" w:rsidR="00CF09CD" w:rsidRDefault="00CF09CD" w:rsidP="00CF09CD">
      <w:pPr>
        <w:pStyle w:val="default"/>
        <w:jc w:val="both"/>
        <w:rPr>
          <w:rFonts w:ascii="Book Antiqua" w:hAnsi="Book Antiqua"/>
          <w:i/>
          <w:iCs/>
          <w:color w:val="auto"/>
          <w:lang w:val="es-ES"/>
        </w:rPr>
      </w:pPr>
    </w:p>
    <w:p w14:paraId="73F8FE13" w14:textId="77777777" w:rsidR="00856B8F" w:rsidRPr="00FE625C" w:rsidRDefault="00856B8F" w:rsidP="00CF09CD">
      <w:pPr>
        <w:pStyle w:val="default"/>
        <w:jc w:val="both"/>
        <w:rPr>
          <w:rFonts w:ascii="Book Antiqua" w:hAnsi="Book Antiqua"/>
          <w:bCs/>
          <w:lang w:val="es-ES"/>
        </w:rPr>
        <w:sectPr w:rsidR="00856B8F" w:rsidRPr="00FE625C" w:rsidSect="007B151B">
          <w:headerReference w:type="even" r:id="rId10"/>
          <w:headerReference w:type="default" r:id="rId11"/>
          <w:pgSz w:w="12240" w:h="15840" w:code="1"/>
          <w:pgMar w:top="1440" w:right="1440" w:bottom="1440" w:left="1440" w:header="720" w:footer="720" w:gutter="0"/>
          <w:cols w:space="720"/>
          <w:titlePg/>
          <w:docGrid w:linePitch="360"/>
        </w:sectPr>
      </w:pPr>
    </w:p>
    <w:p w14:paraId="160F6235" w14:textId="48DC1DC6" w:rsidR="002A3262" w:rsidRPr="002A3262" w:rsidRDefault="00856B8F"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ES"/>
        </w:rPr>
        <w:tab/>
      </w:r>
      <w:r w:rsidR="002A3262" w:rsidRPr="002A3262">
        <w:rPr>
          <w:rFonts w:ascii="Book Antiqua" w:hAnsi="Book Antiqua"/>
          <w:lang w:val="es-PR"/>
        </w:rPr>
        <w:t xml:space="preserve">Artículo 1.- Se enmienda el apartado (a) de la Sección 1023.09 de la Ley Núm. 1 </w:t>
      </w:r>
      <w:r w:rsidR="002A3262">
        <w:rPr>
          <w:rFonts w:ascii="Book Antiqua" w:hAnsi="Book Antiqua"/>
          <w:lang w:val="es-PR"/>
        </w:rPr>
        <w:t>-</w:t>
      </w:r>
      <w:r w:rsidR="002A3262" w:rsidRPr="002A3262">
        <w:rPr>
          <w:rFonts w:ascii="Book Antiqua" w:hAnsi="Book Antiqua"/>
          <w:lang w:val="es-PR"/>
        </w:rPr>
        <w:t xml:space="preserve"> 2011, según enmendada, para que lea como sigue:</w:t>
      </w:r>
    </w:p>
    <w:p w14:paraId="67374279" w14:textId="77777777" w:rsidR="002A3262" w:rsidRP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sidRPr="002A3262">
        <w:rPr>
          <w:rFonts w:ascii="Book Antiqua" w:hAnsi="Book Antiqua"/>
          <w:lang w:val="es-PR"/>
        </w:rPr>
        <w:tab/>
        <w:t>“Sección 1023.09.- Contribución Especial sobre Distribuciones Totales de Ciertos Fideicomisos de Empleados.</w:t>
      </w:r>
    </w:p>
    <w:p w14:paraId="4DFE1723" w14:textId="5FAED80E" w:rsidR="002A3262" w:rsidRPr="002A3262" w:rsidRDefault="002A3262" w:rsidP="002A3262">
      <w:pPr>
        <w:pStyle w:val="ListParagraph"/>
        <w:numPr>
          <w:ilvl w:val="0"/>
          <w:numId w:val="2"/>
        </w:numPr>
        <w:tabs>
          <w:tab w:val="left" w:pos="720"/>
          <w:tab w:val="left" w:pos="7920"/>
        </w:tabs>
        <w:autoSpaceDE w:val="0"/>
        <w:autoSpaceDN w:val="0"/>
        <w:adjustRightInd w:val="0"/>
        <w:spacing w:line="480" w:lineRule="auto"/>
        <w:jc w:val="both"/>
        <w:rPr>
          <w:rFonts w:ascii="Book Antiqua" w:hAnsi="Book Antiqua"/>
          <w:lang w:val="es-PR"/>
        </w:rPr>
      </w:pPr>
      <w:r w:rsidRPr="002A3262">
        <w:rPr>
          <w:rFonts w:ascii="Book Antiqua" w:hAnsi="Book Antiqua"/>
          <w:lang w:val="es-PR"/>
        </w:rPr>
        <w:t xml:space="preserve">Imposición de Contribución. - Al rendir su planilla de contribución sobre ingresos, el contribuyente podrá elegir tratar el monto de la distribución total que bajo la Sección 1081.01(b)(1) sea considerada como una ganancia de capital a largo plazo, sujeta a la contribución especial impuesta en dicha Sección o tributar dicho ingreso como ingreso ordinario, lo que sea más beneficioso para el contribuyente. Conforme a la Sección 1081.01(b), para años contributivos comenzados luego del 31 de diciembre de </w:t>
      </w:r>
      <w:r w:rsidRPr="002A3262">
        <w:rPr>
          <w:rFonts w:ascii="Book Antiqua" w:hAnsi="Book Antiqua"/>
          <w:b/>
          <w:bCs/>
          <w:lang w:val="es-PR"/>
        </w:rPr>
        <w:t>[2018]</w:t>
      </w:r>
      <w:r w:rsidRPr="002A3262">
        <w:rPr>
          <w:rFonts w:ascii="Book Antiqua" w:hAnsi="Book Antiqua"/>
          <w:lang w:val="es-PR"/>
        </w:rPr>
        <w:t xml:space="preserve"> </w:t>
      </w:r>
      <w:r w:rsidRPr="002A3262">
        <w:rPr>
          <w:rFonts w:ascii="Book Antiqua" w:hAnsi="Book Antiqua"/>
          <w:i/>
          <w:iCs/>
          <w:lang w:val="es-PR"/>
        </w:rPr>
        <w:t>2017</w:t>
      </w:r>
      <w:r w:rsidRPr="002A3262">
        <w:rPr>
          <w:rFonts w:ascii="Book Antiqua" w:hAnsi="Book Antiqua"/>
          <w:lang w:val="es-PR"/>
        </w:rPr>
        <w:t xml:space="preserve">, las distribuciones totales de planes de retiro cualificados bajo la Sección 1081.01(a) se consideran ingreso </w:t>
      </w:r>
      <w:r w:rsidRPr="002A3262">
        <w:rPr>
          <w:rFonts w:ascii="Book Antiqua" w:hAnsi="Book Antiqua"/>
          <w:lang w:val="es-PR"/>
        </w:rPr>
        <w:lastRenderedPageBreak/>
        <w:t xml:space="preserve">ordinario sujeto a los tipos contributivos de la Sección 1021.01, pero si se ha cumplido con las disposiciones de la Sección1081.01(b)(1), el contribuyente solo pagará una contribución igual al veinte (20) porciento de la porción tributable de la distribución total o diez (10) porciento si se cumplen los incisos (A) y (B) del párrafo (1) del apartado (b) de la Sección 1081.01 </w:t>
      </w:r>
      <w:r w:rsidRPr="002A3262">
        <w:rPr>
          <w:rFonts w:ascii="Book Antiqua" w:hAnsi="Book Antiqua"/>
          <w:b/>
          <w:bCs/>
          <w:lang w:val="es-PR"/>
        </w:rPr>
        <w:t>[o se tratara dicha distribución como ingreso ordinario, lo que sea más beneficioso para el contribuyente]</w:t>
      </w:r>
      <w:r w:rsidRPr="002A3262">
        <w:rPr>
          <w:rFonts w:ascii="Book Antiqua" w:hAnsi="Book Antiqua"/>
          <w:lang w:val="es-PR"/>
        </w:rPr>
        <w:t xml:space="preserve">. </w:t>
      </w:r>
      <w:r w:rsidRPr="002A3262">
        <w:rPr>
          <w:rFonts w:ascii="Book Antiqua" w:hAnsi="Book Antiqua"/>
          <w:i/>
          <w:iCs/>
          <w:lang w:val="es-PR"/>
        </w:rPr>
        <w:t>Ya sea que la distribución total, esté sujeta a los tipos contributivos de la Sección 1021.01 o a los tipos contributivos de 20% o de 10%descritos anteriormente, la imposición de tal contribución aplicará en lugar de cualquier otra contribución impuesta en este Subtítulo, incluyendo la contribución básica alterna</w:t>
      </w:r>
      <w:r w:rsidRPr="002A3262">
        <w:rPr>
          <w:rFonts w:ascii="Book Antiqua" w:hAnsi="Book Antiqua"/>
          <w:lang w:val="es-PR"/>
        </w:rPr>
        <w:t>. “</w:t>
      </w:r>
    </w:p>
    <w:p w14:paraId="27CA8B3C" w14:textId="22A00A44" w:rsidR="002A3262" w:rsidRP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 xml:space="preserve">Artículo 2.- Se enmienda el apartado (a) de la Sección 1081.01 de la Ley Núm. 1 </w:t>
      </w:r>
      <w:r>
        <w:rPr>
          <w:rFonts w:ascii="Book Antiqua" w:hAnsi="Book Antiqua"/>
          <w:lang w:val="es-PR"/>
        </w:rPr>
        <w:t>-</w:t>
      </w:r>
      <w:r w:rsidRPr="002A3262">
        <w:rPr>
          <w:rFonts w:ascii="Book Antiqua" w:hAnsi="Book Antiqua"/>
          <w:lang w:val="es-PR"/>
        </w:rPr>
        <w:t xml:space="preserve"> 2011, según enmendada, para que lea como sigue: </w:t>
      </w:r>
    </w:p>
    <w:p w14:paraId="204C3765" w14:textId="62F1DFB0" w:rsidR="002A3262" w:rsidRP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“Sección 1081.01.- Fideicomisos de Empleados</w:t>
      </w:r>
    </w:p>
    <w:p w14:paraId="26F5D2D1" w14:textId="64AD4642" w:rsidR="002A3262" w:rsidRPr="002A3262" w:rsidRDefault="002A3262" w:rsidP="002A3262">
      <w:pPr>
        <w:tabs>
          <w:tab w:val="left" w:pos="720"/>
          <w:tab w:val="left" w:pos="7920"/>
        </w:tabs>
        <w:autoSpaceDE w:val="0"/>
        <w:autoSpaceDN w:val="0"/>
        <w:adjustRightInd w:val="0"/>
        <w:spacing w:line="480" w:lineRule="auto"/>
        <w:ind w:left="1440"/>
        <w:jc w:val="both"/>
        <w:rPr>
          <w:rFonts w:ascii="Book Antiqua" w:hAnsi="Book Antiqua"/>
          <w:lang w:val="es-PR"/>
        </w:rPr>
      </w:pPr>
      <w:r>
        <w:rPr>
          <w:rFonts w:ascii="Book Antiqua" w:hAnsi="Book Antiqua"/>
          <w:lang w:val="es-PR"/>
        </w:rPr>
        <w:t xml:space="preserve">(a)  </w:t>
      </w:r>
      <w:r w:rsidRPr="002A3262">
        <w:rPr>
          <w:rFonts w:ascii="Book Antiqua" w:hAnsi="Book Antiqua"/>
          <w:lang w:val="es-PR"/>
        </w:rPr>
        <w:t xml:space="preserve">Exención. - Un fideicomiso organizado bajo las leyes de Puerto Rico que forme parte de un plan de retiro de un patrono, de participación en ganancias, bonificación en acciones o pensiones, </w:t>
      </w:r>
      <w:r w:rsidRPr="002A3262">
        <w:rPr>
          <w:rFonts w:ascii="Book Antiqua" w:hAnsi="Book Antiqua"/>
          <w:i/>
          <w:iCs/>
          <w:lang w:val="es-PR"/>
        </w:rPr>
        <w:t>de un plan de retiro cualificado de aportaciones de transferencia (</w:t>
      </w:r>
      <w:proofErr w:type="spellStart"/>
      <w:r w:rsidRPr="002A3262">
        <w:rPr>
          <w:rFonts w:ascii="Book Antiqua" w:hAnsi="Book Antiqua"/>
          <w:i/>
          <w:iCs/>
          <w:lang w:val="es-PR"/>
        </w:rPr>
        <w:t>rollovers</w:t>
      </w:r>
      <w:proofErr w:type="spellEnd"/>
      <w:r w:rsidRPr="002A3262">
        <w:rPr>
          <w:rFonts w:ascii="Book Antiqua" w:hAnsi="Book Antiqua"/>
          <w:i/>
          <w:iCs/>
          <w:lang w:val="es-PR"/>
        </w:rPr>
        <w:t>) para un solo individuo</w:t>
      </w:r>
      <w:r w:rsidRPr="002A3262">
        <w:rPr>
          <w:rFonts w:ascii="Book Antiqua" w:hAnsi="Book Antiqua"/>
          <w:lang w:val="es-PR"/>
        </w:rPr>
        <w:t xml:space="preserve">, para el beneficio exclusivo de sus empleados residentes en Puerto Rico o que rindan servicios principalmente en Puerto Rico, y de los beneficiarios de éstos y un fideicomiso organizado bajo las leyes de Puerto Rico o que sea considerado un fideicomiso doméstico bajo el Código de Rentas Internas de los Estados Unidos de 1986, según enmendado, o cualquier disposición </w:t>
      </w:r>
      <w:r w:rsidRPr="002A3262">
        <w:rPr>
          <w:rFonts w:ascii="Book Antiqua" w:hAnsi="Book Antiqua"/>
          <w:lang w:val="es-PR"/>
        </w:rPr>
        <w:lastRenderedPageBreak/>
        <w:t>legal sucesora, que forme parte de un plan de retiro de un patrono, de participación en ganancias, bonificación en acciones o pensiones, para el beneficio exclusivo de sus empleados residentes en Puerto Rico o empleados residentes en Puerto Rico y Estados Unidos y de los beneficiarios de éstos y que, con respecto a sus participantes y beneficiarios de los Estados Unidos, cumpla con los requisitos de cualificación de la Sección 401(a) del Código de Rentas Internas de los Estados Unidos, según enmendado (en adelante referido para propósitos de esta Sección como el “Código Federal”) no será tributable bajo este Subcapítulo y ninguna otra disposición de este Subcapítulo será aplicable con respecto a dicho fideicomiso o a sus beneficiarios, sujeto a que en sus términos y operación cumpla con los siguientes requisitos de cualificación.</w:t>
      </w:r>
    </w:p>
    <w:p w14:paraId="3FA56D73" w14:textId="77777777" w:rsidR="002A3262" w:rsidRDefault="002A3262" w:rsidP="002A3262">
      <w:pPr>
        <w:tabs>
          <w:tab w:val="left" w:pos="720"/>
          <w:tab w:val="left" w:pos="7920"/>
        </w:tabs>
        <w:autoSpaceDE w:val="0"/>
        <w:autoSpaceDN w:val="0"/>
        <w:adjustRightInd w:val="0"/>
        <w:spacing w:line="480" w:lineRule="auto"/>
        <w:ind w:left="1440"/>
        <w:jc w:val="both"/>
        <w:rPr>
          <w:rFonts w:ascii="Book Antiqua" w:hAnsi="Book Antiqua"/>
          <w:lang w:val="es-PR"/>
        </w:rPr>
      </w:pPr>
      <w:r w:rsidRPr="002A3262">
        <w:rPr>
          <w:rFonts w:ascii="Book Antiqua" w:hAnsi="Book Antiqua"/>
          <w:lang w:val="es-PR"/>
        </w:rPr>
        <w:t>(1) …</w:t>
      </w:r>
    </w:p>
    <w:p w14:paraId="07B330E3" w14:textId="09396C4F" w:rsidR="002A3262" w:rsidRPr="002A3262" w:rsidRDefault="002A3262" w:rsidP="002A3262">
      <w:pPr>
        <w:tabs>
          <w:tab w:val="left" w:pos="720"/>
          <w:tab w:val="left" w:pos="7920"/>
        </w:tabs>
        <w:autoSpaceDE w:val="0"/>
        <w:autoSpaceDN w:val="0"/>
        <w:adjustRightInd w:val="0"/>
        <w:spacing w:line="480" w:lineRule="auto"/>
        <w:ind w:left="1440"/>
        <w:jc w:val="both"/>
        <w:rPr>
          <w:rFonts w:ascii="Book Antiqua" w:hAnsi="Book Antiqua"/>
          <w:lang w:val="es-PR"/>
        </w:rPr>
      </w:pPr>
      <w:r>
        <w:rPr>
          <w:rFonts w:ascii="Book Antiqua" w:hAnsi="Book Antiqua"/>
          <w:lang w:val="es-PR"/>
        </w:rPr>
        <w:t>…”</w:t>
      </w:r>
    </w:p>
    <w:p w14:paraId="4864A03B" w14:textId="327A6F4F" w:rsidR="002A3262" w:rsidRP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 xml:space="preserve">Artículo 3. Se enmienda el inciso (A) del párrafo (13) del apartado (a) de la Sección 1081.01 de la Ley Núm. 1 </w:t>
      </w:r>
      <w:r>
        <w:rPr>
          <w:rFonts w:ascii="Book Antiqua" w:hAnsi="Book Antiqua"/>
          <w:lang w:val="es-PR"/>
        </w:rPr>
        <w:t>-</w:t>
      </w:r>
      <w:r w:rsidRPr="002A3262">
        <w:rPr>
          <w:rFonts w:ascii="Book Antiqua" w:hAnsi="Book Antiqua"/>
          <w:lang w:val="es-PR"/>
        </w:rPr>
        <w:t>2011, según enmendada, para que lea como sigue:</w:t>
      </w:r>
    </w:p>
    <w:p w14:paraId="3C7C5E35" w14:textId="2320E9E3" w:rsid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t>“</w:t>
      </w:r>
      <w:r w:rsidRPr="002A3262">
        <w:rPr>
          <w:rFonts w:ascii="Book Antiqua" w:hAnsi="Book Antiqua"/>
          <w:lang w:val="es-PR"/>
        </w:rPr>
        <w:t xml:space="preserve">Sección 1081.01.- Fideicomisos de Empleados </w:t>
      </w:r>
    </w:p>
    <w:p w14:paraId="5763CDE6" w14:textId="7911FD26" w:rsidR="002A3262" w:rsidRP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(a) Exención. …</w:t>
      </w:r>
    </w:p>
    <w:p w14:paraId="3147B333" w14:textId="24D517CA" w:rsid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(1) …</w:t>
      </w:r>
    </w:p>
    <w:p w14:paraId="438DEDC1" w14:textId="78B0CA24" w:rsidR="002A3262" w:rsidRPr="002A3262" w:rsidRDefault="002A3262" w:rsidP="002A3262">
      <w:pPr>
        <w:tabs>
          <w:tab w:val="left" w:pos="720"/>
          <w:tab w:val="left" w:pos="7920"/>
        </w:tabs>
        <w:autoSpaceDE w:val="0"/>
        <w:autoSpaceDN w:val="0"/>
        <w:adjustRightInd w:val="0"/>
        <w:spacing w:line="480" w:lineRule="auto"/>
        <w:ind w:left="720"/>
        <w:jc w:val="both"/>
        <w:rPr>
          <w:rFonts w:ascii="Book Antiqua" w:hAnsi="Book Antiqua"/>
          <w:lang w:val="es-PR"/>
        </w:rPr>
      </w:pPr>
      <w:r w:rsidRPr="002A3262">
        <w:rPr>
          <w:rFonts w:ascii="Book Antiqua" w:hAnsi="Book Antiqua"/>
          <w:lang w:val="es-PR"/>
        </w:rPr>
        <w:t>…</w:t>
      </w:r>
    </w:p>
    <w:p w14:paraId="4303D450" w14:textId="77777777" w:rsidR="002A3262" w:rsidRDefault="002A3262"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Pr="002A3262">
        <w:rPr>
          <w:rFonts w:ascii="Book Antiqua" w:hAnsi="Book Antiqua"/>
          <w:lang w:val="es-PR"/>
        </w:rPr>
        <w:t>(13)</w:t>
      </w:r>
      <w:r>
        <w:rPr>
          <w:rFonts w:ascii="Book Antiqua" w:hAnsi="Book Antiqua"/>
          <w:lang w:val="es-PR"/>
        </w:rPr>
        <w:t xml:space="preserve"> </w:t>
      </w:r>
      <w:r w:rsidRPr="002A3262">
        <w:rPr>
          <w:rFonts w:ascii="Book Antiqua" w:hAnsi="Book Antiqua"/>
          <w:lang w:val="es-PR"/>
        </w:rPr>
        <w:t>Prueba de exención</w:t>
      </w:r>
    </w:p>
    <w:p w14:paraId="1EE7A82E" w14:textId="1E5241EC" w:rsidR="00784708" w:rsidRDefault="002A3262" w:rsidP="00784708">
      <w:pPr>
        <w:tabs>
          <w:tab w:val="left" w:pos="720"/>
        </w:tabs>
        <w:autoSpaceDE w:val="0"/>
        <w:autoSpaceDN w:val="0"/>
        <w:adjustRightInd w:val="0"/>
        <w:spacing w:line="480" w:lineRule="auto"/>
        <w:ind w:left="720"/>
        <w:jc w:val="both"/>
        <w:rPr>
          <w:rFonts w:ascii="Book Antiqua" w:hAnsi="Book Antiqua"/>
          <w:lang w:val="es-PR"/>
        </w:rPr>
      </w:pPr>
      <w:r>
        <w:rPr>
          <w:rFonts w:ascii="Book Antiqua" w:hAnsi="Book Antiqua"/>
          <w:lang w:val="es-PR"/>
        </w:rPr>
        <w:lastRenderedPageBreak/>
        <w:tab/>
      </w:r>
      <w:r w:rsidRPr="002A3262">
        <w:rPr>
          <w:rFonts w:ascii="Book Antiqua" w:hAnsi="Book Antiqua"/>
          <w:lang w:val="es-PR"/>
        </w:rPr>
        <w:t xml:space="preserve">(A) Requisito para Exención.  –  Todo fideicomiso que reclame exención bajo el apartado (a) tendrá que solicitar y obtener una determinación administrativa del </w:t>
      </w:r>
      <w:proofErr w:type="gramStart"/>
      <w:r w:rsidRPr="002A3262">
        <w:rPr>
          <w:rFonts w:ascii="Book Antiqua" w:hAnsi="Book Antiqua"/>
          <w:lang w:val="es-PR"/>
        </w:rPr>
        <w:t>Secretario</w:t>
      </w:r>
      <w:proofErr w:type="gramEnd"/>
      <w:r w:rsidRPr="002A3262">
        <w:rPr>
          <w:rFonts w:ascii="Book Antiqua" w:hAnsi="Book Antiqua"/>
          <w:lang w:val="es-PR"/>
        </w:rPr>
        <w:t xml:space="preserve"> a tales efectos.</w:t>
      </w:r>
      <w:r w:rsidRPr="002A3262">
        <w:rPr>
          <w:rFonts w:ascii="Book Antiqua" w:hAnsi="Book Antiqua"/>
          <w:lang w:val="es-PR"/>
        </w:rPr>
        <w:tab/>
      </w:r>
      <w:r w:rsidRPr="002A3262">
        <w:rPr>
          <w:rFonts w:ascii="Book Antiqua" w:hAnsi="Book Antiqua"/>
          <w:i/>
          <w:iCs/>
          <w:lang w:val="es-PR"/>
        </w:rPr>
        <w:t xml:space="preserve">El </w:t>
      </w:r>
      <w:proofErr w:type="gramStart"/>
      <w:r w:rsidRPr="002A3262">
        <w:rPr>
          <w:rFonts w:ascii="Book Antiqua" w:hAnsi="Book Antiqua"/>
          <w:i/>
          <w:iCs/>
          <w:lang w:val="es-PR"/>
        </w:rPr>
        <w:t>Secretario</w:t>
      </w:r>
      <w:proofErr w:type="gramEnd"/>
      <w:r w:rsidRPr="002A3262">
        <w:rPr>
          <w:rFonts w:ascii="Book Antiqua" w:hAnsi="Book Antiqua"/>
          <w:i/>
          <w:iCs/>
          <w:lang w:val="es-PR"/>
        </w:rPr>
        <w:tab/>
        <w:t>dispondrá</w:t>
      </w:r>
      <w:r>
        <w:rPr>
          <w:rFonts w:ascii="Book Antiqua" w:hAnsi="Book Antiqua"/>
          <w:i/>
          <w:iCs/>
          <w:lang w:val="es-PR"/>
        </w:rPr>
        <w:t xml:space="preserve"> </w:t>
      </w:r>
      <w:r w:rsidRPr="002A3262">
        <w:rPr>
          <w:rFonts w:ascii="Book Antiqua" w:hAnsi="Book Antiqua"/>
          <w:i/>
          <w:iCs/>
          <w:lang w:val="es-PR"/>
        </w:rPr>
        <w:t>mediante reglamento, carta circular o determinación administrativa un procedimiento eficaz y expedito parala emisión de determinación administrativa en el caso de un plan de retiro cualificado de aportaciones de transferencia (</w:t>
      </w:r>
      <w:proofErr w:type="spellStart"/>
      <w:r w:rsidRPr="002A3262">
        <w:rPr>
          <w:rFonts w:ascii="Book Antiqua" w:hAnsi="Book Antiqua"/>
          <w:i/>
          <w:iCs/>
          <w:lang w:val="es-PR"/>
        </w:rPr>
        <w:t>rollovers</w:t>
      </w:r>
      <w:proofErr w:type="spellEnd"/>
      <w:r w:rsidRPr="002A3262">
        <w:rPr>
          <w:rFonts w:ascii="Book Antiqua" w:hAnsi="Book Antiqua"/>
          <w:i/>
          <w:iCs/>
          <w:lang w:val="es-PR"/>
        </w:rPr>
        <w:t>) para un solo individuo. El Departamento de Hacienda no cobrará derechos de radicación tanto para la Determinación Administrativa inicial como</w:t>
      </w:r>
      <w:r w:rsidR="00784708">
        <w:rPr>
          <w:rFonts w:ascii="Book Antiqua" w:hAnsi="Book Antiqua"/>
          <w:i/>
          <w:iCs/>
          <w:lang w:val="es-PR"/>
        </w:rPr>
        <w:t xml:space="preserve"> </w:t>
      </w:r>
      <w:r w:rsidRPr="002A3262">
        <w:rPr>
          <w:rFonts w:ascii="Book Antiqua" w:hAnsi="Book Antiqua"/>
          <w:i/>
          <w:iCs/>
          <w:lang w:val="es-PR"/>
        </w:rPr>
        <w:t>para la posible terminación luego de dicho plan</w:t>
      </w:r>
      <w:r w:rsidRPr="002A3262">
        <w:rPr>
          <w:rFonts w:ascii="Book Antiqua" w:hAnsi="Book Antiqua"/>
          <w:lang w:val="es-PR"/>
        </w:rPr>
        <w:t>.</w:t>
      </w:r>
      <w:r w:rsidR="00784708">
        <w:rPr>
          <w:rFonts w:ascii="Book Antiqua" w:hAnsi="Book Antiqua"/>
          <w:lang w:val="es-PR"/>
        </w:rPr>
        <w:t xml:space="preserve"> </w:t>
      </w:r>
    </w:p>
    <w:p w14:paraId="5DA88C0B" w14:textId="77777777" w:rsidR="00784708" w:rsidRDefault="00784708" w:rsidP="00784708">
      <w:pPr>
        <w:tabs>
          <w:tab w:val="left" w:pos="7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ab/>
      </w:r>
      <w:r w:rsidRPr="00784708">
        <w:rPr>
          <w:rFonts w:ascii="Book Antiqua" w:hAnsi="Book Antiqua"/>
          <w:lang w:val="es-PR"/>
        </w:rPr>
        <w:t>(B) Término para solicitar Determinación Administrativa</w:t>
      </w:r>
      <w:r>
        <w:rPr>
          <w:rFonts w:ascii="Book Antiqua" w:hAnsi="Book Antiqua"/>
          <w:lang w:val="es-PR"/>
        </w:rPr>
        <w:t xml:space="preserve"> …</w:t>
      </w:r>
    </w:p>
    <w:p w14:paraId="537F773E" w14:textId="1D3D0DDD" w:rsidR="002A3262" w:rsidRPr="00784708" w:rsidRDefault="00784708" w:rsidP="00784708">
      <w:pPr>
        <w:tabs>
          <w:tab w:val="left" w:pos="7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w:t>
      </w:r>
    </w:p>
    <w:p w14:paraId="5C0E5805" w14:textId="7C06CE44" w:rsidR="002A3262" w:rsidRDefault="00784708"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 xml:space="preserve">Artículo 4. Se añade un párrafo (16) al apartado (a) de la Sección 1081.01 de la Ley Núm. 1 </w:t>
      </w:r>
      <w:r>
        <w:rPr>
          <w:rFonts w:ascii="Book Antiqua" w:hAnsi="Book Antiqua"/>
          <w:lang w:val="es-PR"/>
        </w:rPr>
        <w:t>-</w:t>
      </w:r>
      <w:r w:rsidR="002A3262" w:rsidRPr="002A3262">
        <w:rPr>
          <w:rFonts w:ascii="Book Antiqua" w:hAnsi="Book Antiqua"/>
          <w:lang w:val="es-PR"/>
        </w:rPr>
        <w:t xml:space="preserve"> 2011, según enmendada, para que lea como sigue:</w:t>
      </w:r>
    </w:p>
    <w:p w14:paraId="23AAA816" w14:textId="77777777" w:rsidR="00784708" w:rsidRDefault="00784708" w:rsidP="00784708">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t>“</w:t>
      </w:r>
      <w:r w:rsidRPr="002A3262">
        <w:rPr>
          <w:rFonts w:ascii="Book Antiqua" w:hAnsi="Book Antiqua"/>
          <w:lang w:val="es-PR"/>
        </w:rPr>
        <w:t xml:space="preserve">Sección 1081.01.- Fideicomisos de Empleados </w:t>
      </w:r>
    </w:p>
    <w:p w14:paraId="2D539122" w14:textId="77777777" w:rsidR="002A3262" w:rsidRPr="00784708" w:rsidRDefault="002A3262" w:rsidP="00784708">
      <w:pPr>
        <w:tabs>
          <w:tab w:val="left" w:pos="720"/>
          <w:tab w:val="left" w:pos="7920"/>
        </w:tabs>
        <w:autoSpaceDE w:val="0"/>
        <w:autoSpaceDN w:val="0"/>
        <w:adjustRightInd w:val="0"/>
        <w:spacing w:line="480" w:lineRule="auto"/>
        <w:ind w:left="720"/>
        <w:jc w:val="both"/>
        <w:rPr>
          <w:rFonts w:ascii="Book Antiqua" w:hAnsi="Book Antiqua"/>
          <w:i/>
          <w:iCs/>
          <w:lang w:val="es-PR"/>
        </w:rPr>
      </w:pPr>
      <w:r w:rsidRPr="00784708">
        <w:rPr>
          <w:rFonts w:ascii="Book Antiqua" w:hAnsi="Book Antiqua"/>
          <w:i/>
          <w:iCs/>
          <w:lang w:val="es-PR"/>
        </w:rPr>
        <w:t>(a) Exención. …</w:t>
      </w:r>
    </w:p>
    <w:p w14:paraId="79F38C9B" w14:textId="77777777" w:rsidR="002A3262" w:rsidRPr="00784708" w:rsidRDefault="002A3262" w:rsidP="00784708">
      <w:pPr>
        <w:tabs>
          <w:tab w:val="left" w:pos="720"/>
          <w:tab w:val="left" w:pos="7920"/>
        </w:tabs>
        <w:autoSpaceDE w:val="0"/>
        <w:autoSpaceDN w:val="0"/>
        <w:adjustRightInd w:val="0"/>
        <w:spacing w:line="480" w:lineRule="auto"/>
        <w:ind w:left="720"/>
        <w:jc w:val="both"/>
        <w:rPr>
          <w:rFonts w:ascii="Book Antiqua" w:hAnsi="Book Antiqua"/>
          <w:i/>
          <w:iCs/>
          <w:lang w:val="es-PR"/>
        </w:rPr>
      </w:pPr>
      <w:r w:rsidRPr="00784708">
        <w:rPr>
          <w:rFonts w:ascii="Book Antiqua" w:hAnsi="Book Antiqua"/>
          <w:i/>
          <w:iCs/>
          <w:lang w:val="es-PR"/>
        </w:rPr>
        <w:t>(1) …</w:t>
      </w:r>
    </w:p>
    <w:p w14:paraId="0F660C8C" w14:textId="77777777" w:rsidR="002A3262" w:rsidRPr="00784708" w:rsidRDefault="002A3262" w:rsidP="00784708">
      <w:pPr>
        <w:tabs>
          <w:tab w:val="left" w:pos="720"/>
          <w:tab w:val="left" w:pos="7920"/>
        </w:tabs>
        <w:autoSpaceDE w:val="0"/>
        <w:autoSpaceDN w:val="0"/>
        <w:adjustRightInd w:val="0"/>
        <w:spacing w:line="480" w:lineRule="auto"/>
        <w:ind w:left="720"/>
        <w:jc w:val="both"/>
        <w:rPr>
          <w:rFonts w:ascii="Book Antiqua" w:hAnsi="Book Antiqua"/>
          <w:i/>
          <w:iCs/>
          <w:lang w:val="es-PR"/>
        </w:rPr>
      </w:pPr>
      <w:r w:rsidRPr="00784708">
        <w:rPr>
          <w:rFonts w:ascii="Book Antiqua" w:hAnsi="Book Antiqua"/>
          <w:i/>
          <w:iCs/>
          <w:lang w:val="es-PR"/>
        </w:rPr>
        <w:t>…</w:t>
      </w:r>
    </w:p>
    <w:p w14:paraId="58FC229C" w14:textId="23801C3C" w:rsidR="002A3262" w:rsidRPr="00784708" w:rsidRDefault="002A3262" w:rsidP="00784708">
      <w:pPr>
        <w:tabs>
          <w:tab w:val="left" w:pos="720"/>
          <w:tab w:val="left" w:pos="7920"/>
        </w:tabs>
        <w:autoSpaceDE w:val="0"/>
        <w:autoSpaceDN w:val="0"/>
        <w:adjustRightInd w:val="0"/>
        <w:spacing w:line="480" w:lineRule="auto"/>
        <w:ind w:left="720"/>
        <w:jc w:val="both"/>
        <w:rPr>
          <w:rFonts w:ascii="Book Antiqua" w:hAnsi="Book Antiqua"/>
          <w:i/>
          <w:iCs/>
          <w:lang w:val="es-PR"/>
        </w:rPr>
      </w:pPr>
      <w:r w:rsidRPr="00784708">
        <w:rPr>
          <w:rFonts w:ascii="Book Antiqua" w:hAnsi="Book Antiqua"/>
          <w:i/>
          <w:iCs/>
          <w:lang w:val="es-PR"/>
        </w:rPr>
        <w:t>(16) Un plan de retiro cualificado de aportaciones de transferencia (</w:t>
      </w:r>
      <w:proofErr w:type="spellStart"/>
      <w:r w:rsidRPr="00784708">
        <w:rPr>
          <w:rFonts w:ascii="Book Antiqua" w:hAnsi="Book Antiqua"/>
          <w:i/>
          <w:iCs/>
          <w:lang w:val="es-PR"/>
        </w:rPr>
        <w:t>rollovers</w:t>
      </w:r>
      <w:proofErr w:type="spellEnd"/>
      <w:r w:rsidRPr="00784708">
        <w:rPr>
          <w:rFonts w:ascii="Book Antiqua" w:hAnsi="Book Antiqua"/>
          <w:i/>
          <w:iCs/>
          <w:lang w:val="es-PR"/>
        </w:rPr>
        <w:t>) para un solo individuo constituirá un plan de participación en ganancias el cual podrá ser establecido sólo por un individuo o para beneficio de un individuo y el único tipo de aportación que se podrá realizar serán aportaciones de transferencia (</w:t>
      </w:r>
      <w:proofErr w:type="spellStart"/>
      <w:r w:rsidRPr="00784708">
        <w:rPr>
          <w:rFonts w:ascii="Book Antiqua" w:hAnsi="Book Antiqua"/>
          <w:i/>
          <w:iCs/>
          <w:lang w:val="es-PR"/>
        </w:rPr>
        <w:t>rollovers</w:t>
      </w:r>
      <w:proofErr w:type="spellEnd"/>
      <w:r w:rsidRPr="00784708">
        <w:rPr>
          <w:rFonts w:ascii="Book Antiqua" w:hAnsi="Book Antiqua"/>
          <w:i/>
          <w:iCs/>
          <w:lang w:val="es-PR"/>
        </w:rPr>
        <w:t xml:space="preserve">) atribuible a circunstancias que incluyen, pero no están limitadas a, separación de empleo, terminación de un plan de retiro cualificado, transferencias involuntarias donde el participante es forzado a recibir </w:t>
      </w:r>
      <w:r w:rsidRPr="00784708">
        <w:rPr>
          <w:rFonts w:ascii="Book Antiqua" w:hAnsi="Book Antiqua"/>
          <w:i/>
          <w:iCs/>
          <w:lang w:val="es-PR"/>
        </w:rPr>
        <w:lastRenderedPageBreak/>
        <w:t xml:space="preserve">una distribución de sus beneficios de retiro en un plan de retiro cualificado ya que los mismos ascienden a $7,000.00 o menos, u otra limitación mayor, según dispuesta en la Sección 203(e) de ERISA, o la distribución obedece a circunstancias variadas que podrían incluir cierre patronal, liquidación o quiebra del patrono bajo el plan de retiro cualificado, el plan de retiro cualificado fue “abandonado” según las reglas dispuestas a tal efecto por el Departamento del Trabajo Federal (U.S. </w:t>
      </w:r>
      <w:proofErr w:type="spellStart"/>
      <w:r w:rsidRPr="00784708">
        <w:rPr>
          <w:rFonts w:ascii="Book Antiqua" w:hAnsi="Book Antiqua"/>
          <w:i/>
          <w:iCs/>
          <w:lang w:val="es-PR"/>
        </w:rPr>
        <w:t>Department</w:t>
      </w:r>
      <w:proofErr w:type="spellEnd"/>
      <w:r w:rsidRPr="00784708">
        <w:rPr>
          <w:rFonts w:ascii="Book Antiqua" w:hAnsi="Book Antiqua"/>
          <w:i/>
          <w:iCs/>
          <w:lang w:val="es-PR"/>
        </w:rPr>
        <w:t xml:space="preserve"> </w:t>
      </w:r>
      <w:proofErr w:type="spellStart"/>
      <w:r w:rsidRPr="00784708">
        <w:rPr>
          <w:rFonts w:ascii="Book Antiqua" w:hAnsi="Book Antiqua"/>
          <w:i/>
          <w:iCs/>
          <w:lang w:val="es-PR"/>
        </w:rPr>
        <w:t>of</w:t>
      </w:r>
      <w:proofErr w:type="spellEnd"/>
      <w:r w:rsidRPr="00784708">
        <w:rPr>
          <w:rFonts w:ascii="Book Antiqua" w:hAnsi="Book Antiqua"/>
          <w:i/>
          <w:iCs/>
          <w:lang w:val="es-PR"/>
        </w:rPr>
        <w:t xml:space="preserve"> Labor). Los requisitos de cualificación contenidos en los párrafos (11), (12), (14) y (15) de este apartado (a) bajo la Sección 1081.01 no serán de aplicabilidad a los planes de retiro cualificados de aportaciones de transferencia (</w:t>
      </w:r>
      <w:proofErr w:type="spellStart"/>
      <w:r w:rsidRPr="00784708">
        <w:rPr>
          <w:rFonts w:ascii="Book Antiqua" w:hAnsi="Book Antiqua"/>
          <w:i/>
          <w:iCs/>
          <w:lang w:val="es-PR"/>
        </w:rPr>
        <w:t>rollovers</w:t>
      </w:r>
      <w:proofErr w:type="spellEnd"/>
      <w:r w:rsidRPr="00784708">
        <w:rPr>
          <w:rFonts w:ascii="Book Antiqua" w:hAnsi="Book Antiqua"/>
          <w:i/>
          <w:iCs/>
          <w:lang w:val="es-PR"/>
        </w:rPr>
        <w:t>) para un solo individuo, cuyo fideicomiso deberá ser establecido bajo las leyes de Puerto Rico y el fideicomisario (</w:t>
      </w:r>
      <w:proofErr w:type="spellStart"/>
      <w:r w:rsidRPr="00784708">
        <w:rPr>
          <w:rFonts w:ascii="Book Antiqua" w:hAnsi="Book Antiqua"/>
          <w:i/>
          <w:iCs/>
          <w:lang w:val="es-PR"/>
        </w:rPr>
        <w:t>trustee</w:t>
      </w:r>
      <w:proofErr w:type="spellEnd"/>
      <w:r w:rsidRPr="00784708">
        <w:rPr>
          <w:rFonts w:ascii="Book Antiqua" w:hAnsi="Book Antiqua"/>
          <w:i/>
          <w:iCs/>
          <w:lang w:val="es-PR"/>
        </w:rPr>
        <w:t>) bajo el mismo debe ser una entidad regulada por la Oficina del Comisionado de Instituciones Financieras de Puerto Rico que, entre otros deberes, fungirá de Agente Pagador en Puerto Rico, proveerá servicios de manejo de inversión  discrecionales,</w:t>
      </w:r>
      <w:r w:rsidR="00784708">
        <w:rPr>
          <w:rFonts w:ascii="Book Antiqua" w:hAnsi="Book Antiqua"/>
          <w:i/>
          <w:iCs/>
          <w:lang w:val="es-PR"/>
        </w:rPr>
        <w:t xml:space="preserve"> </w:t>
      </w:r>
      <w:r w:rsidRPr="00784708">
        <w:rPr>
          <w:rFonts w:ascii="Book Antiqua" w:hAnsi="Book Antiqua"/>
          <w:i/>
          <w:iCs/>
          <w:lang w:val="es-PR"/>
        </w:rPr>
        <w:t>manejo  de  confiscaciones,</w:t>
      </w:r>
      <w:r w:rsidR="00784708">
        <w:rPr>
          <w:rFonts w:ascii="Book Antiqua" w:hAnsi="Book Antiqua"/>
          <w:i/>
          <w:iCs/>
          <w:lang w:val="es-PR"/>
        </w:rPr>
        <w:t xml:space="preserve"> </w:t>
      </w:r>
      <w:r w:rsidRPr="00784708">
        <w:rPr>
          <w:rFonts w:ascii="Book Antiqua" w:hAnsi="Book Antiqua"/>
          <w:i/>
          <w:iCs/>
          <w:lang w:val="es-PR"/>
        </w:rPr>
        <w:t>localizar  participantes “desaparecidos” (</w:t>
      </w:r>
      <w:proofErr w:type="spellStart"/>
      <w:r w:rsidRPr="00784708">
        <w:rPr>
          <w:rFonts w:ascii="Book Antiqua" w:hAnsi="Book Antiqua"/>
          <w:i/>
          <w:iCs/>
          <w:lang w:val="es-PR"/>
        </w:rPr>
        <w:t>missing</w:t>
      </w:r>
      <w:proofErr w:type="spellEnd"/>
      <w:r w:rsidRPr="00784708">
        <w:rPr>
          <w:rFonts w:ascii="Book Antiqua" w:hAnsi="Book Antiqua"/>
          <w:i/>
          <w:iCs/>
          <w:lang w:val="es-PR"/>
        </w:rPr>
        <w:t xml:space="preserve"> </w:t>
      </w:r>
      <w:proofErr w:type="spellStart"/>
      <w:r w:rsidRPr="00784708">
        <w:rPr>
          <w:rFonts w:ascii="Book Antiqua" w:hAnsi="Book Antiqua"/>
          <w:i/>
          <w:iCs/>
          <w:lang w:val="es-PR"/>
        </w:rPr>
        <w:t>participants</w:t>
      </w:r>
      <w:proofErr w:type="spellEnd"/>
      <w:r w:rsidRPr="00784708">
        <w:rPr>
          <w:rFonts w:ascii="Book Antiqua" w:hAnsi="Book Antiqua"/>
          <w:i/>
          <w:iCs/>
          <w:lang w:val="es-PR"/>
        </w:rPr>
        <w:t>).</w:t>
      </w:r>
      <w:r w:rsidR="00784708">
        <w:rPr>
          <w:rFonts w:ascii="Book Antiqua" w:hAnsi="Book Antiqua"/>
          <w:i/>
          <w:iCs/>
          <w:lang w:val="es-PR"/>
        </w:rPr>
        <w:t xml:space="preserve"> </w:t>
      </w:r>
      <w:r w:rsidRPr="00784708">
        <w:rPr>
          <w:rFonts w:ascii="Book Antiqua" w:hAnsi="Book Antiqua"/>
          <w:i/>
          <w:iCs/>
          <w:lang w:val="es-PR"/>
        </w:rPr>
        <w:t>Los planes de retiro cualificados de aportaciones de transferencia (</w:t>
      </w:r>
      <w:proofErr w:type="spellStart"/>
      <w:r w:rsidRPr="00784708">
        <w:rPr>
          <w:rFonts w:ascii="Book Antiqua" w:hAnsi="Book Antiqua"/>
          <w:i/>
          <w:iCs/>
          <w:lang w:val="es-PR"/>
        </w:rPr>
        <w:t>rollovers</w:t>
      </w:r>
      <w:proofErr w:type="spellEnd"/>
      <w:r w:rsidRPr="00784708">
        <w:rPr>
          <w:rFonts w:ascii="Book Antiqua" w:hAnsi="Book Antiqua"/>
          <w:i/>
          <w:iCs/>
          <w:lang w:val="es-PR"/>
        </w:rPr>
        <w:t>) para un solo individuo constituyen planes de retiro de participación en ganancias individuales no-</w:t>
      </w:r>
      <w:proofErr w:type="spellStart"/>
      <w:r w:rsidRPr="00784708">
        <w:rPr>
          <w:rFonts w:ascii="Book Antiqua" w:hAnsi="Book Antiqua"/>
          <w:i/>
          <w:iCs/>
          <w:lang w:val="es-PR"/>
        </w:rPr>
        <w:t>contributorios</w:t>
      </w:r>
      <w:proofErr w:type="spellEnd"/>
      <w:r w:rsidRPr="00784708">
        <w:rPr>
          <w:rFonts w:ascii="Book Antiqua" w:hAnsi="Book Antiqua"/>
          <w:i/>
          <w:iCs/>
          <w:lang w:val="es-PR"/>
        </w:rPr>
        <w:t xml:space="preserve"> bajo esta Sección 1081.01 a ser agregados en un Plan Maestro. La inversión predeterminada o por omisión (“default </w:t>
      </w:r>
      <w:proofErr w:type="spellStart"/>
      <w:r w:rsidRPr="00784708">
        <w:rPr>
          <w:rFonts w:ascii="Book Antiqua" w:hAnsi="Book Antiqua"/>
          <w:i/>
          <w:iCs/>
          <w:lang w:val="es-PR"/>
        </w:rPr>
        <w:t>investment</w:t>
      </w:r>
      <w:proofErr w:type="spellEnd"/>
      <w:r w:rsidRPr="00784708">
        <w:rPr>
          <w:rFonts w:ascii="Book Antiqua" w:hAnsi="Book Antiqua"/>
          <w:i/>
          <w:iCs/>
          <w:lang w:val="es-PR"/>
        </w:rPr>
        <w:t xml:space="preserve">”) de estos planes debe ser un fondo para preservar el capital (“capital </w:t>
      </w:r>
      <w:proofErr w:type="spellStart"/>
      <w:r w:rsidRPr="00784708">
        <w:rPr>
          <w:rFonts w:ascii="Book Antiqua" w:hAnsi="Book Antiqua"/>
          <w:i/>
          <w:iCs/>
          <w:lang w:val="es-PR"/>
        </w:rPr>
        <w:t>preservation</w:t>
      </w:r>
      <w:proofErr w:type="spellEnd"/>
      <w:r w:rsidRPr="00784708">
        <w:rPr>
          <w:rFonts w:ascii="Book Antiqua" w:hAnsi="Book Antiqua"/>
          <w:i/>
          <w:iCs/>
          <w:lang w:val="es-PR"/>
        </w:rPr>
        <w:t xml:space="preserve"> </w:t>
      </w:r>
      <w:proofErr w:type="spellStart"/>
      <w:r w:rsidRPr="00784708">
        <w:rPr>
          <w:rFonts w:ascii="Book Antiqua" w:hAnsi="Book Antiqua"/>
          <w:i/>
          <w:iCs/>
          <w:lang w:val="es-PR"/>
        </w:rPr>
        <w:t>fund</w:t>
      </w:r>
      <w:proofErr w:type="spellEnd"/>
      <w:r w:rsidRPr="00784708">
        <w:rPr>
          <w:rFonts w:ascii="Book Antiqua" w:hAnsi="Book Antiqua"/>
          <w:i/>
          <w:iCs/>
          <w:lang w:val="es-PR"/>
        </w:rPr>
        <w:t>”) que cualifique como “propiedad localizada en Puerto Rico.”</w:t>
      </w:r>
      <w:r w:rsidRPr="00784708">
        <w:rPr>
          <w:rFonts w:ascii="Book Antiqua" w:hAnsi="Book Antiqua"/>
          <w:i/>
          <w:iCs/>
          <w:lang w:val="es-PR"/>
        </w:rPr>
        <w:tab/>
        <w:t xml:space="preserve">Otras alternativas de inversión podrían ser elegidas conforme a directrices de los auspiciadores del plan de retiro cualificado de aportaciones de transferencia Los auspiciadores de o patronos bajo un plan de retiro cualificado podrán efectuar transferencias involuntarias al </w:t>
      </w:r>
      <w:r w:rsidRPr="00784708">
        <w:rPr>
          <w:rFonts w:ascii="Book Antiqua" w:hAnsi="Book Antiqua"/>
          <w:i/>
          <w:iCs/>
          <w:lang w:val="es-PR"/>
        </w:rPr>
        <w:lastRenderedPageBreak/>
        <w:t>plan de retiro cualificado de aportaciones de transferencia (</w:t>
      </w:r>
      <w:proofErr w:type="spellStart"/>
      <w:r w:rsidRPr="00784708">
        <w:rPr>
          <w:rFonts w:ascii="Book Antiqua" w:hAnsi="Book Antiqua"/>
          <w:i/>
          <w:iCs/>
          <w:lang w:val="es-PR"/>
        </w:rPr>
        <w:t>rollovers</w:t>
      </w:r>
      <w:proofErr w:type="spellEnd"/>
      <w:r w:rsidRPr="00784708">
        <w:rPr>
          <w:rFonts w:ascii="Book Antiqua" w:hAnsi="Book Antiqua"/>
          <w:i/>
          <w:iCs/>
          <w:lang w:val="es-PR"/>
        </w:rPr>
        <w:t>) para un solo individuo.</w:t>
      </w:r>
      <w:r w:rsidR="00784708">
        <w:rPr>
          <w:rFonts w:ascii="Book Antiqua" w:hAnsi="Book Antiqua"/>
          <w:i/>
          <w:iCs/>
          <w:lang w:val="es-PR"/>
        </w:rPr>
        <w:t xml:space="preserve">” </w:t>
      </w:r>
    </w:p>
    <w:p w14:paraId="5BC8AD03" w14:textId="5952CFC6" w:rsidR="002A3262" w:rsidRPr="002A3262" w:rsidRDefault="00784708"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 xml:space="preserve">Artículo 5. Se enmienda el inciso (B) del párrafo (1) del apartado (b) de la Sección 1081.01 de la Ley Núm. 1 </w:t>
      </w:r>
      <w:r>
        <w:rPr>
          <w:rFonts w:ascii="Book Antiqua" w:hAnsi="Book Antiqua"/>
          <w:lang w:val="es-PR"/>
        </w:rPr>
        <w:t>-</w:t>
      </w:r>
      <w:r w:rsidR="002A3262" w:rsidRPr="002A3262">
        <w:rPr>
          <w:rFonts w:ascii="Book Antiqua" w:hAnsi="Book Antiqua"/>
          <w:lang w:val="es-PR"/>
        </w:rPr>
        <w:t xml:space="preserve"> 2011, según enmendada, para que lea como sigue: </w:t>
      </w:r>
    </w:p>
    <w:p w14:paraId="5BD84D41" w14:textId="77777777" w:rsidR="00784708" w:rsidRDefault="00784708" w:rsidP="00784708">
      <w:pPr>
        <w:tabs>
          <w:tab w:val="left" w:pos="720"/>
          <w:tab w:val="left" w:pos="79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w:t>
      </w:r>
      <w:r w:rsidRPr="002A3262">
        <w:rPr>
          <w:rFonts w:ascii="Book Antiqua" w:hAnsi="Book Antiqua"/>
          <w:lang w:val="es-PR"/>
        </w:rPr>
        <w:t xml:space="preserve">Sección 1081.01.- Fideicomisos de Empleados </w:t>
      </w:r>
    </w:p>
    <w:p w14:paraId="4C1101E2" w14:textId="73BECB7A" w:rsidR="00784708" w:rsidRDefault="00784708" w:rsidP="00784708">
      <w:pPr>
        <w:tabs>
          <w:tab w:val="left" w:pos="720"/>
          <w:tab w:val="left" w:pos="7920"/>
        </w:tabs>
        <w:autoSpaceDE w:val="0"/>
        <w:autoSpaceDN w:val="0"/>
        <w:adjustRightInd w:val="0"/>
        <w:spacing w:line="480" w:lineRule="auto"/>
        <w:ind w:left="720"/>
        <w:jc w:val="both"/>
        <w:rPr>
          <w:rFonts w:ascii="Book Antiqua" w:hAnsi="Book Antiqua"/>
          <w:lang w:val="es-PR"/>
        </w:rPr>
      </w:pPr>
      <w:r>
        <w:rPr>
          <w:rFonts w:ascii="Book Antiqua" w:hAnsi="Book Antiqua"/>
          <w:lang w:val="es-PR"/>
        </w:rPr>
        <w:t>(a) …</w:t>
      </w:r>
    </w:p>
    <w:p w14:paraId="3CA22CF9" w14:textId="13F5E82A" w:rsidR="002A3262" w:rsidRPr="002A3262" w:rsidRDefault="002A3262" w:rsidP="00784708">
      <w:pPr>
        <w:tabs>
          <w:tab w:val="left" w:pos="720"/>
          <w:tab w:val="left" w:pos="7920"/>
        </w:tabs>
        <w:autoSpaceDE w:val="0"/>
        <w:autoSpaceDN w:val="0"/>
        <w:adjustRightInd w:val="0"/>
        <w:spacing w:line="480" w:lineRule="auto"/>
        <w:ind w:left="720"/>
        <w:jc w:val="both"/>
        <w:rPr>
          <w:rFonts w:ascii="Book Antiqua" w:hAnsi="Book Antiqua"/>
          <w:lang w:val="es-PR"/>
        </w:rPr>
      </w:pPr>
      <w:r w:rsidRPr="002A3262">
        <w:rPr>
          <w:rFonts w:ascii="Book Antiqua" w:hAnsi="Book Antiqua"/>
          <w:lang w:val="es-PR"/>
        </w:rPr>
        <w:t>(b) Tributación del Beneficiario.</w:t>
      </w:r>
    </w:p>
    <w:p w14:paraId="34A420FA" w14:textId="128510D4" w:rsidR="002A3262" w:rsidRPr="002A3262" w:rsidRDefault="002A3262" w:rsidP="00784708">
      <w:pPr>
        <w:tabs>
          <w:tab w:val="left" w:pos="720"/>
          <w:tab w:val="left" w:pos="7920"/>
        </w:tabs>
        <w:autoSpaceDE w:val="0"/>
        <w:autoSpaceDN w:val="0"/>
        <w:adjustRightInd w:val="0"/>
        <w:spacing w:line="480" w:lineRule="auto"/>
        <w:ind w:left="720"/>
        <w:jc w:val="both"/>
        <w:rPr>
          <w:rFonts w:ascii="Book Antiqua" w:hAnsi="Book Antiqua"/>
          <w:lang w:val="es-PR"/>
        </w:rPr>
      </w:pPr>
      <w:r w:rsidRPr="002A3262">
        <w:rPr>
          <w:rFonts w:ascii="Book Antiqua" w:hAnsi="Book Antiqua"/>
          <w:lang w:val="es-PR"/>
        </w:rPr>
        <w:t>(1) En general. …</w:t>
      </w:r>
    </w:p>
    <w:p w14:paraId="1CC7DB42" w14:textId="77777777" w:rsidR="00784708" w:rsidRDefault="002A3262" w:rsidP="00784708">
      <w:pPr>
        <w:tabs>
          <w:tab w:val="left" w:pos="720"/>
          <w:tab w:val="left" w:pos="7920"/>
        </w:tabs>
        <w:autoSpaceDE w:val="0"/>
        <w:autoSpaceDN w:val="0"/>
        <w:adjustRightInd w:val="0"/>
        <w:spacing w:line="480" w:lineRule="auto"/>
        <w:ind w:left="720" w:firstLine="720"/>
        <w:jc w:val="both"/>
        <w:rPr>
          <w:rFonts w:ascii="Book Antiqua" w:hAnsi="Book Antiqua"/>
          <w:lang w:val="es-PR"/>
        </w:rPr>
      </w:pPr>
      <w:r w:rsidRPr="002A3262">
        <w:rPr>
          <w:rFonts w:ascii="Book Antiqua" w:hAnsi="Book Antiqua"/>
          <w:lang w:val="es-PR"/>
        </w:rPr>
        <w:t>(A) Distribuciones Totales efectuadas antes del 1 de enero de 2018 …</w:t>
      </w:r>
    </w:p>
    <w:p w14:paraId="1791EC77" w14:textId="1FA0BEF6" w:rsidR="002A3262" w:rsidRPr="002A3262" w:rsidRDefault="002A3262" w:rsidP="00784708">
      <w:pPr>
        <w:tabs>
          <w:tab w:val="left" w:pos="720"/>
          <w:tab w:val="left" w:pos="7920"/>
        </w:tabs>
        <w:autoSpaceDE w:val="0"/>
        <w:autoSpaceDN w:val="0"/>
        <w:adjustRightInd w:val="0"/>
        <w:spacing w:line="480" w:lineRule="auto"/>
        <w:ind w:left="1440"/>
        <w:jc w:val="both"/>
        <w:rPr>
          <w:rFonts w:ascii="Book Antiqua" w:hAnsi="Book Antiqua"/>
          <w:lang w:val="es-PR"/>
        </w:rPr>
      </w:pPr>
      <w:r w:rsidRPr="002A3262">
        <w:rPr>
          <w:rFonts w:ascii="Book Antiqua" w:hAnsi="Book Antiqua"/>
          <w:lang w:val="es-PR"/>
        </w:rPr>
        <w:t>(B) “Distribuciones Totales efectuadas después del 31 de diciembre de 2017-</w:t>
      </w:r>
      <w:r w:rsidR="00784708">
        <w:rPr>
          <w:rFonts w:ascii="Book Antiqua" w:hAnsi="Book Antiqua"/>
          <w:lang w:val="es-PR"/>
        </w:rPr>
        <w:t>S</w:t>
      </w:r>
      <w:r w:rsidRPr="002A3262">
        <w:rPr>
          <w:rFonts w:ascii="Book Antiqua" w:hAnsi="Book Antiqua"/>
          <w:lang w:val="es-PR"/>
        </w:rPr>
        <w:t>i la totalidad de los beneficios bajo el fideicomiso con respecto a un  participante es pagada o puesta a la disposición del participante o su beneficiario dentro de un solo año contributivo de éste debido a la separación del servicio del participante por cualquier razón, o la terminación del plan (en adelante referida para propósitos de este apartado como una “distribución total”), el monto de dicha distribución, en la cantidad que exceda el monto aportado por el participante, que ya haya sido tributado por éste, será considerado como ingreso ordinario sujeto a los tipos contributivos provistos en la Sección 1021.01.</w:t>
      </w:r>
      <w:r w:rsidR="00784708">
        <w:rPr>
          <w:rFonts w:ascii="Book Antiqua" w:hAnsi="Book Antiqua"/>
          <w:lang w:val="es-PR"/>
        </w:rPr>
        <w:t xml:space="preserve"> </w:t>
      </w:r>
      <w:r w:rsidRPr="002A3262">
        <w:rPr>
          <w:rFonts w:ascii="Book Antiqua" w:hAnsi="Book Antiqua"/>
          <w:lang w:val="es-PR"/>
        </w:rPr>
        <w:t xml:space="preserve">Sin embargo, en el caso de distribuciones totales con respecto a las cuales se ha cumplido con las obligaciones de retención en el origen de la Sección 1081.01(b)(3)(A) y de depósito de la Sección 1081.01(b)(4), en lugar de los tipos contributivos </w:t>
      </w:r>
      <w:r w:rsidRPr="002A3262">
        <w:rPr>
          <w:rFonts w:ascii="Book Antiqua" w:hAnsi="Book Antiqua"/>
          <w:lang w:val="es-PR"/>
        </w:rPr>
        <w:lastRenderedPageBreak/>
        <w:t xml:space="preserve">en la Sección 1021.01, aplicará la tasa del veinte </w:t>
      </w:r>
      <w:r w:rsidR="00784708" w:rsidRPr="002A3262">
        <w:rPr>
          <w:rFonts w:ascii="Book Antiqua" w:hAnsi="Book Antiqua"/>
          <w:lang w:val="es-PR"/>
        </w:rPr>
        <w:t>por ciento</w:t>
      </w:r>
      <w:r w:rsidRPr="002A3262">
        <w:rPr>
          <w:rFonts w:ascii="Book Antiqua" w:hAnsi="Book Antiqua"/>
          <w:lang w:val="es-PR"/>
        </w:rPr>
        <w:t xml:space="preserve"> (20%). No obstante, si se cumplen los requisitos dispuestos en las cláusulas (i) y (</w:t>
      </w:r>
      <w:proofErr w:type="spellStart"/>
      <w:r w:rsidRPr="002A3262">
        <w:rPr>
          <w:rFonts w:ascii="Book Antiqua" w:hAnsi="Book Antiqua"/>
          <w:lang w:val="es-PR"/>
        </w:rPr>
        <w:t>ii</w:t>
      </w:r>
      <w:proofErr w:type="spellEnd"/>
      <w:r w:rsidRPr="002A3262">
        <w:rPr>
          <w:rFonts w:ascii="Book Antiqua" w:hAnsi="Book Antiqua"/>
          <w:lang w:val="es-PR"/>
        </w:rPr>
        <w:t>) del inciso (A) de este párrafo, aplicará la tasa de diez por ciento (10%).</w:t>
      </w:r>
      <w:r w:rsidR="00784708">
        <w:rPr>
          <w:rFonts w:ascii="Book Antiqua" w:hAnsi="Book Antiqua"/>
          <w:lang w:val="es-PR"/>
        </w:rPr>
        <w:t xml:space="preserve"> </w:t>
      </w:r>
      <w:r w:rsidRPr="00784708">
        <w:rPr>
          <w:rFonts w:ascii="Book Antiqua" w:hAnsi="Book Antiqua"/>
          <w:i/>
          <w:iCs/>
          <w:lang w:val="es-PR"/>
        </w:rPr>
        <w:t>Ya sea que la distribución total esté sujeta a los tipos contributivos de la Sección 1021.01 o a los tipos contributivos de 20% o de 10% descritos anteriormente, la imposición de tal contribución aplicará en lugar de cualquier otra contribución impuesta en este Subtítulo, incluyendo la contribución básica alterna</w:t>
      </w:r>
      <w:r w:rsidRPr="002A3262">
        <w:rPr>
          <w:rFonts w:ascii="Book Antiqua" w:hAnsi="Book Antiqua"/>
          <w:lang w:val="es-PR"/>
        </w:rPr>
        <w:t>. “</w:t>
      </w:r>
    </w:p>
    <w:p w14:paraId="7D4C3E64" w14:textId="77777777" w:rsidR="00784708" w:rsidRDefault="00784708"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 xml:space="preserve">Artículo 6. Separabilidad </w:t>
      </w:r>
    </w:p>
    <w:p w14:paraId="54295C4F" w14:textId="3072D1BE" w:rsidR="002A3262" w:rsidRPr="002A3262" w:rsidRDefault="00784708"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Si cualquier Sección o parte de esta Ley fuere anulada o declarada inválida, la sentencia a tal efecto dictada no afectará, perjudicará, ni invalidará el resto de esta Ley. El efecto de dicha sentencia quedará limitado a la Sección o parte de ésta que así hubiere sido anulada o declarada inválida.</w:t>
      </w:r>
    </w:p>
    <w:p w14:paraId="51C71CB0" w14:textId="76A4EBD3" w:rsidR="002A3262" w:rsidRPr="002A3262" w:rsidRDefault="00784708" w:rsidP="002A3262">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Artículo 7. -Vigencia</w:t>
      </w:r>
    </w:p>
    <w:p w14:paraId="647ED10D" w14:textId="4344ECCC" w:rsidR="00CF09CD" w:rsidRPr="00843A6A" w:rsidRDefault="00784708" w:rsidP="00784708">
      <w:pPr>
        <w:tabs>
          <w:tab w:val="left" w:pos="72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ab/>
      </w:r>
      <w:r w:rsidR="002A3262" w:rsidRPr="002A3262">
        <w:rPr>
          <w:rFonts w:ascii="Book Antiqua" w:hAnsi="Book Antiqua"/>
          <w:lang w:val="es-PR"/>
        </w:rPr>
        <w:t>Esta Ley entrará en vigor inmediatamente después de su aprobación.</w:t>
      </w:r>
    </w:p>
    <w:sectPr w:rsidR="00CF09CD"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326EB" w14:textId="77777777" w:rsidR="00965C35" w:rsidRDefault="00965C35">
      <w:r>
        <w:separator/>
      </w:r>
    </w:p>
  </w:endnote>
  <w:endnote w:type="continuationSeparator" w:id="0">
    <w:p w14:paraId="2F282E81" w14:textId="77777777" w:rsidR="00965C35" w:rsidRDefault="00965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4D9D2" w14:textId="77777777" w:rsidR="00965C35" w:rsidRDefault="00965C35">
      <w:r>
        <w:separator/>
      </w:r>
    </w:p>
  </w:footnote>
  <w:footnote w:type="continuationSeparator" w:id="0">
    <w:p w14:paraId="70152EEB" w14:textId="77777777" w:rsidR="00965C35" w:rsidRDefault="00965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28033F"/>
    <w:multiLevelType w:val="hybridMultilevel"/>
    <w:tmpl w:val="8D6A9D92"/>
    <w:lvl w:ilvl="0" w:tplc="CF5219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 w:numId="2" w16cid:durableId="180051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03FB0"/>
    <w:rsid w:val="000042F7"/>
    <w:rsid w:val="000228D7"/>
    <w:rsid w:val="00036AF6"/>
    <w:rsid w:val="000913D0"/>
    <w:rsid w:val="00092E53"/>
    <w:rsid w:val="000B4A00"/>
    <w:rsid w:val="000C19A3"/>
    <w:rsid w:val="000D4E71"/>
    <w:rsid w:val="000E5DF0"/>
    <w:rsid w:val="00100AA5"/>
    <w:rsid w:val="00106008"/>
    <w:rsid w:val="001276EE"/>
    <w:rsid w:val="00172AF9"/>
    <w:rsid w:val="00180F38"/>
    <w:rsid w:val="0019074D"/>
    <w:rsid w:val="001A0BC5"/>
    <w:rsid w:val="001E721C"/>
    <w:rsid w:val="001F77D1"/>
    <w:rsid w:val="00227F88"/>
    <w:rsid w:val="00230E9E"/>
    <w:rsid w:val="002A3262"/>
    <w:rsid w:val="002D13B7"/>
    <w:rsid w:val="002E1E35"/>
    <w:rsid w:val="00304FA6"/>
    <w:rsid w:val="00313BCC"/>
    <w:rsid w:val="0031596A"/>
    <w:rsid w:val="00325B04"/>
    <w:rsid w:val="00361EAA"/>
    <w:rsid w:val="00367C1F"/>
    <w:rsid w:val="0037027C"/>
    <w:rsid w:val="003833A1"/>
    <w:rsid w:val="003A7B3F"/>
    <w:rsid w:val="003B0E69"/>
    <w:rsid w:val="003C78C4"/>
    <w:rsid w:val="003E1BF1"/>
    <w:rsid w:val="00404F1C"/>
    <w:rsid w:val="00421911"/>
    <w:rsid w:val="004336B1"/>
    <w:rsid w:val="00467155"/>
    <w:rsid w:val="00487176"/>
    <w:rsid w:val="00491E50"/>
    <w:rsid w:val="004C2A16"/>
    <w:rsid w:val="004C50AC"/>
    <w:rsid w:val="004C52FD"/>
    <w:rsid w:val="00516B5F"/>
    <w:rsid w:val="00522BBC"/>
    <w:rsid w:val="005330B1"/>
    <w:rsid w:val="00542C7B"/>
    <w:rsid w:val="0054769E"/>
    <w:rsid w:val="0056050E"/>
    <w:rsid w:val="005605A2"/>
    <w:rsid w:val="00570D1C"/>
    <w:rsid w:val="00573C9A"/>
    <w:rsid w:val="005A7C19"/>
    <w:rsid w:val="005B263E"/>
    <w:rsid w:val="005B47DD"/>
    <w:rsid w:val="005C7E61"/>
    <w:rsid w:val="005E27EC"/>
    <w:rsid w:val="005E493B"/>
    <w:rsid w:val="00615127"/>
    <w:rsid w:val="00655BF8"/>
    <w:rsid w:val="00675672"/>
    <w:rsid w:val="0069715A"/>
    <w:rsid w:val="006A11CD"/>
    <w:rsid w:val="006B7B9D"/>
    <w:rsid w:val="006F6DEE"/>
    <w:rsid w:val="00723DFE"/>
    <w:rsid w:val="007503BE"/>
    <w:rsid w:val="00750D1E"/>
    <w:rsid w:val="00755629"/>
    <w:rsid w:val="00784708"/>
    <w:rsid w:val="00792FAC"/>
    <w:rsid w:val="0079710B"/>
    <w:rsid w:val="007A0CDE"/>
    <w:rsid w:val="007B0CAB"/>
    <w:rsid w:val="007B151B"/>
    <w:rsid w:val="007C38F7"/>
    <w:rsid w:val="007C41A0"/>
    <w:rsid w:val="007C73C0"/>
    <w:rsid w:val="007F1C93"/>
    <w:rsid w:val="007F3518"/>
    <w:rsid w:val="0080194C"/>
    <w:rsid w:val="0083386B"/>
    <w:rsid w:val="00834D48"/>
    <w:rsid w:val="00843A6A"/>
    <w:rsid w:val="00856B8F"/>
    <w:rsid w:val="008720AA"/>
    <w:rsid w:val="008A39D7"/>
    <w:rsid w:val="008A4C3B"/>
    <w:rsid w:val="008F1E46"/>
    <w:rsid w:val="009117CD"/>
    <w:rsid w:val="00924F8C"/>
    <w:rsid w:val="00951EB8"/>
    <w:rsid w:val="00956EA6"/>
    <w:rsid w:val="00964B82"/>
    <w:rsid w:val="00965C35"/>
    <w:rsid w:val="00972C31"/>
    <w:rsid w:val="009A3181"/>
    <w:rsid w:val="009E47C7"/>
    <w:rsid w:val="00A061EC"/>
    <w:rsid w:val="00A1343F"/>
    <w:rsid w:val="00A33F4A"/>
    <w:rsid w:val="00A57DBF"/>
    <w:rsid w:val="00A60996"/>
    <w:rsid w:val="00A649F9"/>
    <w:rsid w:val="00AA56B9"/>
    <w:rsid w:val="00AB7244"/>
    <w:rsid w:val="00AE17BE"/>
    <w:rsid w:val="00AE704D"/>
    <w:rsid w:val="00B00AE2"/>
    <w:rsid w:val="00B34ECE"/>
    <w:rsid w:val="00BA0EEA"/>
    <w:rsid w:val="00BB5B16"/>
    <w:rsid w:val="00C135CC"/>
    <w:rsid w:val="00C1492A"/>
    <w:rsid w:val="00C260C9"/>
    <w:rsid w:val="00C563E9"/>
    <w:rsid w:val="00C66B13"/>
    <w:rsid w:val="00C81DA6"/>
    <w:rsid w:val="00CA3DC6"/>
    <w:rsid w:val="00CB020D"/>
    <w:rsid w:val="00CC0194"/>
    <w:rsid w:val="00CC0226"/>
    <w:rsid w:val="00CC27FF"/>
    <w:rsid w:val="00CD3C2F"/>
    <w:rsid w:val="00CD45B5"/>
    <w:rsid w:val="00CF09CD"/>
    <w:rsid w:val="00D01C18"/>
    <w:rsid w:val="00D16E71"/>
    <w:rsid w:val="00D2203C"/>
    <w:rsid w:val="00D46B8E"/>
    <w:rsid w:val="00D56E6E"/>
    <w:rsid w:val="00D755DB"/>
    <w:rsid w:val="00D81094"/>
    <w:rsid w:val="00D901DD"/>
    <w:rsid w:val="00DA1787"/>
    <w:rsid w:val="00DE15FB"/>
    <w:rsid w:val="00E02D30"/>
    <w:rsid w:val="00E25133"/>
    <w:rsid w:val="00E26674"/>
    <w:rsid w:val="00E43EBD"/>
    <w:rsid w:val="00E458F6"/>
    <w:rsid w:val="00E714B2"/>
    <w:rsid w:val="00E7309A"/>
    <w:rsid w:val="00E82755"/>
    <w:rsid w:val="00E87549"/>
    <w:rsid w:val="00E91F76"/>
    <w:rsid w:val="00E96932"/>
    <w:rsid w:val="00EA0DD1"/>
    <w:rsid w:val="00EA1E33"/>
    <w:rsid w:val="00EC0A86"/>
    <w:rsid w:val="00ED7AF6"/>
    <w:rsid w:val="00F44786"/>
    <w:rsid w:val="00F56A5C"/>
    <w:rsid w:val="00F9157B"/>
    <w:rsid w:val="00F9236E"/>
    <w:rsid w:val="00F94236"/>
    <w:rsid w:val="00FC438D"/>
    <w:rsid w:val="00FC669A"/>
    <w:rsid w:val="00FD59CA"/>
    <w:rsid w:val="00FE36B8"/>
    <w:rsid w:val="00FE611F"/>
    <w:rsid w:val="00FE6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00C62-17C9-4AB0-BF8D-F11AC8E3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2978</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Bárbara Sierra Nieves</cp:lastModifiedBy>
  <cp:revision>6</cp:revision>
  <cp:lastPrinted>2025-05-13T13:39:00Z</cp:lastPrinted>
  <dcterms:created xsi:type="dcterms:W3CDTF">2025-05-12T22:18:00Z</dcterms:created>
  <dcterms:modified xsi:type="dcterms:W3CDTF">2025-05-13T20:27:00Z</dcterms:modified>
</cp:coreProperties>
</file>