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5066D" w14:textId="77777777" w:rsidR="0013326C" w:rsidRDefault="0013326C" w:rsidP="0013326C">
      <w:pPr>
        <w:jc w:val="center"/>
        <w:rPr>
          <w:rFonts w:ascii="Book Antiqua" w:hAnsi="Book Antiqua"/>
          <w:sz w:val="28"/>
          <w:lang w:val="es-ES_tradnl"/>
        </w:rPr>
      </w:pPr>
      <w:r>
        <w:rPr>
          <w:rFonts w:ascii="Book Antiqua" w:hAnsi="Book Antiqua"/>
          <w:sz w:val="28"/>
          <w:lang w:val="es-ES_tradnl"/>
        </w:rPr>
        <w:t>GOBIERNO DE PUERTO RICO</w:t>
      </w:r>
    </w:p>
    <w:p w14:paraId="4CA4404A" w14:textId="77777777" w:rsidR="0013326C" w:rsidRDefault="0013326C" w:rsidP="0013326C">
      <w:pPr>
        <w:jc w:val="center"/>
        <w:rPr>
          <w:rFonts w:ascii="Book Antiqua" w:hAnsi="Book Antiqua"/>
          <w:sz w:val="28"/>
          <w:lang w:val="es-ES_tradnl"/>
        </w:rPr>
      </w:pPr>
    </w:p>
    <w:p w14:paraId="544335AB" w14:textId="44A3C494" w:rsidR="0013326C" w:rsidRPr="003870D3" w:rsidRDefault="003870D3" w:rsidP="003870D3">
      <w:pPr>
        <w:suppressLineNumbers/>
        <w:ind w:hanging="90"/>
        <w:rPr>
          <w:rFonts w:ascii="Book Antiqua" w:hAnsi="Book Antiqua"/>
          <w:lang w:val="it-IT"/>
        </w:rPr>
      </w:pPr>
      <w:r w:rsidRPr="003870D3">
        <w:rPr>
          <w:rFonts w:ascii="Book Antiqua" w:hAnsi="Book Antiqua"/>
          <w:lang w:val="it-IT"/>
        </w:rPr>
        <w:t>20ma.</w:t>
      </w:r>
      <w:r w:rsidR="0013326C" w:rsidRPr="003870D3">
        <w:rPr>
          <w:rFonts w:ascii="Book Antiqua" w:hAnsi="Book Antiqua"/>
          <w:lang w:val="it-IT"/>
        </w:rPr>
        <w:t xml:space="preserve"> Asamblea </w:t>
      </w:r>
      <w:r w:rsidR="0013326C" w:rsidRPr="003870D3">
        <w:rPr>
          <w:rFonts w:ascii="Book Antiqua" w:hAnsi="Book Antiqua"/>
          <w:lang w:val="it-IT"/>
        </w:rPr>
        <w:tab/>
      </w:r>
      <w:r w:rsidR="0013326C" w:rsidRPr="003870D3">
        <w:rPr>
          <w:rFonts w:ascii="Book Antiqua" w:hAnsi="Book Antiqua"/>
          <w:lang w:val="it-IT"/>
        </w:rPr>
        <w:tab/>
      </w:r>
      <w:r w:rsidR="0013326C" w:rsidRPr="003870D3">
        <w:rPr>
          <w:rFonts w:ascii="Book Antiqua" w:hAnsi="Book Antiqua"/>
          <w:lang w:val="it-IT"/>
        </w:rPr>
        <w:tab/>
      </w:r>
      <w:r w:rsidR="0013326C" w:rsidRPr="003870D3">
        <w:rPr>
          <w:rFonts w:ascii="Book Antiqua" w:hAnsi="Book Antiqua"/>
          <w:lang w:val="it-IT"/>
        </w:rPr>
        <w:tab/>
      </w:r>
      <w:r w:rsidR="0013326C" w:rsidRPr="003870D3">
        <w:rPr>
          <w:rFonts w:ascii="Book Antiqua" w:hAnsi="Book Antiqua"/>
          <w:lang w:val="it-IT"/>
        </w:rPr>
        <w:tab/>
      </w:r>
      <w:r w:rsidR="0013326C" w:rsidRPr="003870D3">
        <w:rPr>
          <w:rFonts w:ascii="Book Antiqua" w:hAnsi="Book Antiqua"/>
          <w:lang w:val="it-IT"/>
        </w:rPr>
        <w:tab/>
      </w:r>
      <w:r w:rsidR="0013326C" w:rsidRPr="003870D3">
        <w:rPr>
          <w:rFonts w:ascii="Book Antiqua" w:hAnsi="Book Antiqua"/>
          <w:lang w:val="it-IT"/>
        </w:rPr>
        <w:tab/>
        <w:t xml:space="preserve">                     </w:t>
      </w:r>
      <w:r>
        <w:rPr>
          <w:rFonts w:ascii="Book Antiqua" w:hAnsi="Book Antiqua"/>
          <w:lang w:val="it-IT"/>
        </w:rPr>
        <w:t xml:space="preserve"> </w:t>
      </w:r>
      <w:r w:rsidRPr="003870D3">
        <w:rPr>
          <w:rFonts w:ascii="Book Antiqua" w:hAnsi="Book Antiqua"/>
          <w:lang w:val="it-IT"/>
        </w:rPr>
        <w:t xml:space="preserve">1ra. </w:t>
      </w:r>
      <w:r w:rsidR="0013326C" w:rsidRPr="003870D3">
        <w:rPr>
          <w:rFonts w:ascii="Book Antiqua" w:hAnsi="Book Antiqua"/>
          <w:lang w:val="it-IT"/>
        </w:rPr>
        <w:t>Sesión</w:t>
      </w:r>
    </w:p>
    <w:p w14:paraId="316EB258" w14:textId="24E6F6B9" w:rsidR="0013326C" w:rsidRPr="003870D3" w:rsidRDefault="0013326C" w:rsidP="003870D3">
      <w:pPr>
        <w:pStyle w:val="Title2"/>
        <w:tabs>
          <w:tab w:val="clear" w:pos="648"/>
          <w:tab w:val="clear" w:pos="7776"/>
          <w:tab w:val="clear" w:pos="7848"/>
        </w:tabs>
        <w:rPr>
          <w:rFonts w:ascii="Book Antiqua" w:hAnsi="Book Antiqua"/>
          <w:lang w:val="it-IT"/>
        </w:rPr>
      </w:pPr>
      <w:r w:rsidRPr="003870D3">
        <w:rPr>
          <w:rFonts w:ascii="Book Antiqua" w:hAnsi="Book Antiqua"/>
          <w:lang w:val="it-IT"/>
        </w:rPr>
        <w:t xml:space="preserve">       </w:t>
      </w:r>
      <w:r w:rsidR="003870D3" w:rsidRPr="003870D3">
        <w:rPr>
          <w:rFonts w:ascii="Book Antiqua" w:hAnsi="Book Antiqua"/>
          <w:lang w:val="it-IT"/>
        </w:rPr>
        <w:t xml:space="preserve">   </w:t>
      </w:r>
      <w:r w:rsidRPr="003870D3">
        <w:rPr>
          <w:rFonts w:ascii="Book Antiqua" w:hAnsi="Book Antiqua"/>
          <w:lang w:val="it-IT"/>
        </w:rPr>
        <w:t xml:space="preserve">Legislativa             </w:t>
      </w:r>
      <w:r w:rsidRPr="003870D3">
        <w:rPr>
          <w:rFonts w:ascii="Book Antiqua" w:hAnsi="Book Antiqua"/>
          <w:lang w:val="it-IT"/>
        </w:rPr>
        <w:tab/>
      </w:r>
      <w:r w:rsidRPr="003870D3">
        <w:rPr>
          <w:rFonts w:ascii="Book Antiqua" w:hAnsi="Book Antiqua"/>
          <w:lang w:val="it-IT"/>
        </w:rPr>
        <w:tab/>
        <w:t xml:space="preserve">     </w:t>
      </w:r>
      <w:r w:rsidR="003870D3" w:rsidRPr="003870D3">
        <w:rPr>
          <w:rFonts w:ascii="Book Antiqua" w:hAnsi="Book Antiqua"/>
          <w:lang w:val="it-IT"/>
        </w:rPr>
        <w:t xml:space="preserve"> </w:t>
      </w:r>
      <w:r w:rsidR="003870D3">
        <w:rPr>
          <w:rFonts w:ascii="Book Antiqua" w:hAnsi="Book Antiqua"/>
          <w:lang w:val="it-IT"/>
        </w:rPr>
        <w:t xml:space="preserve">                                                                        </w:t>
      </w:r>
      <w:r w:rsidRPr="003870D3">
        <w:rPr>
          <w:rFonts w:ascii="Book Antiqua" w:hAnsi="Book Antiqua"/>
          <w:lang w:val="it-IT"/>
        </w:rPr>
        <w:t>Ordinaria</w:t>
      </w:r>
      <w:r w:rsidRPr="003870D3">
        <w:rPr>
          <w:rFonts w:ascii="Book Antiqua" w:hAnsi="Book Antiqua"/>
          <w:lang w:val="it-IT"/>
        </w:rPr>
        <w:tab/>
      </w:r>
    </w:p>
    <w:p w14:paraId="7EBCAFE8" w14:textId="77777777" w:rsidR="0013326C" w:rsidRPr="003870D3" w:rsidRDefault="0013326C" w:rsidP="0013326C">
      <w:pPr>
        <w:rPr>
          <w:lang w:val="it-IT"/>
        </w:rPr>
      </w:pPr>
    </w:p>
    <w:p w14:paraId="27B56499" w14:textId="77777777" w:rsidR="0013326C" w:rsidRDefault="0013326C" w:rsidP="0013326C">
      <w:pPr>
        <w:jc w:val="center"/>
        <w:rPr>
          <w:rFonts w:ascii="Book Antiqua" w:hAnsi="Book Antiqua"/>
          <w:b/>
          <w:sz w:val="36"/>
          <w:lang w:val="es-ES_tradnl"/>
        </w:rPr>
      </w:pPr>
      <w:r>
        <w:rPr>
          <w:rFonts w:ascii="Book Antiqua" w:hAnsi="Book Antiqua"/>
          <w:b/>
          <w:sz w:val="36"/>
          <w:lang w:val="es-ES_tradnl"/>
        </w:rPr>
        <w:t>CÁMARA DE REPRESENTANTES</w:t>
      </w:r>
    </w:p>
    <w:p w14:paraId="74E10B3C" w14:textId="77777777" w:rsidR="0013326C" w:rsidRPr="004B3A0B" w:rsidRDefault="0013326C" w:rsidP="0013326C">
      <w:pPr>
        <w:autoSpaceDE w:val="0"/>
        <w:autoSpaceDN w:val="0"/>
        <w:adjustRightInd w:val="0"/>
        <w:rPr>
          <w:rFonts w:ascii="Book Antiqua" w:hAnsi="Book Antiqua" w:cs="Book Antiqua"/>
          <w:szCs w:val="24"/>
          <w:lang w:val="es-ES_tradnl"/>
        </w:rPr>
      </w:pPr>
    </w:p>
    <w:p w14:paraId="7878EBD6" w14:textId="104DA7C1" w:rsidR="0013326C" w:rsidRPr="00737D9C" w:rsidRDefault="0013326C" w:rsidP="0013326C">
      <w:pPr>
        <w:autoSpaceDE w:val="0"/>
        <w:autoSpaceDN w:val="0"/>
        <w:adjustRightInd w:val="0"/>
        <w:jc w:val="center"/>
        <w:rPr>
          <w:rFonts w:ascii="Book Antiqua" w:hAnsi="Book Antiqua" w:cs="Book Antiqua"/>
          <w:b/>
          <w:bCs/>
          <w:sz w:val="52"/>
          <w:szCs w:val="52"/>
          <w:lang w:val="es-PR"/>
        </w:rPr>
      </w:pPr>
      <w:r w:rsidRPr="00737D9C">
        <w:rPr>
          <w:rFonts w:ascii="Book Antiqua" w:hAnsi="Book Antiqua" w:cs="Book Antiqua"/>
          <w:b/>
          <w:bCs/>
          <w:sz w:val="52"/>
          <w:szCs w:val="52"/>
          <w:lang w:val="es-PR"/>
        </w:rPr>
        <w:t>P. de la C.</w:t>
      </w:r>
      <w:r w:rsidR="00E344DE">
        <w:rPr>
          <w:rFonts w:ascii="Book Antiqua" w:hAnsi="Book Antiqua" w:cs="Book Antiqua"/>
          <w:b/>
          <w:bCs/>
          <w:sz w:val="52"/>
          <w:szCs w:val="52"/>
          <w:lang w:val="es-PR"/>
        </w:rPr>
        <w:t xml:space="preserve"> 666</w:t>
      </w:r>
    </w:p>
    <w:p w14:paraId="51FC7870" w14:textId="77777777" w:rsidR="0013326C" w:rsidRPr="00737D9C" w:rsidRDefault="0013326C" w:rsidP="0013326C">
      <w:pPr>
        <w:autoSpaceDE w:val="0"/>
        <w:autoSpaceDN w:val="0"/>
        <w:adjustRightInd w:val="0"/>
        <w:rPr>
          <w:rFonts w:ascii="Book Antiqua" w:hAnsi="Book Antiqua" w:cs="Book Antiqua"/>
          <w:szCs w:val="24"/>
          <w:lang w:val="es-PR"/>
        </w:rPr>
      </w:pPr>
    </w:p>
    <w:p w14:paraId="5DA538BA" w14:textId="0F1BE932" w:rsidR="0013326C" w:rsidRPr="00E56FC7" w:rsidRDefault="003870D3" w:rsidP="0013326C">
      <w:pPr>
        <w:jc w:val="center"/>
        <w:rPr>
          <w:rFonts w:ascii="Book Antiqua" w:hAnsi="Book Antiqua" w:cs="Arial"/>
          <w:caps/>
          <w:szCs w:val="28"/>
          <w:lang w:val="es-PR"/>
        </w:rPr>
      </w:pPr>
      <w:r>
        <w:rPr>
          <w:rFonts w:ascii="Book Antiqua" w:hAnsi="Book Antiqua" w:cs="Arial"/>
          <w:caps/>
          <w:szCs w:val="28"/>
          <w:lang w:val="es-PR"/>
        </w:rPr>
        <w:t xml:space="preserve">12 </w:t>
      </w:r>
      <w:r w:rsidR="0013326C" w:rsidRPr="00E56FC7">
        <w:rPr>
          <w:rFonts w:ascii="Book Antiqua" w:hAnsi="Book Antiqua" w:cs="Arial"/>
          <w:caps/>
          <w:szCs w:val="28"/>
          <w:lang w:val="es-PR"/>
        </w:rPr>
        <w:t xml:space="preserve">de </w:t>
      </w:r>
      <w:r w:rsidR="0013326C">
        <w:rPr>
          <w:rFonts w:ascii="Book Antiqua" w:hAnsi="Book Antiqua" w:cs="Arial"/>
          <w:caps/>
          <w:szCs w:val="28"/>
          <w:lang w:val="es-PR"/>
        </w:rPr>
        <w:t>MAYO</w:t>
      </w:r>
      <w:r w:rsidR="0013326C" w:rsidRPr="00E56FC7">
        <w:rPr>
          <w:rFonts w:ascii="Book Antiqua" w:hAnsi="Book Antiqua" w:cs="Arial"/>
          <w:caps/>
          <w:szCs w:val="28"/>
          <w:lang w:val="es-PR"/>
        </w:rPr>
        <w:t xml:space="preserve"> DE 20</w:t>
      </w:r>
      <w:r w:rsidR="0013326C">
        <w:rPr>
          <w:rFonts w:ascii="Book Antiqua" w:hAnsi="Book Antiqua" w:cs="Arial"/>
          <w:caps/>
          <w:szCs w:val="28"/>
          <w:lang w:val="es-PR"/>
        </w:rPr>
        <w:t>25</w:t>
      </w:r>
    </w:p>
    <w:p w14:paraId="267E21D2" w14:textId="77777777" w:rsidR="0013326C" w:rsidRPr="00E56FC7" w:rsidRDefault="0013326C" w:rsidP="0013326C">
      <w:pPr>
        <w:jc w:val="center"/>
        <w:rPr>
          <w:rFonts w:ascii="Book Antiqua" w:hAnsi="Book Antiqua" w:cs="Arial"/>
          <w:szCs w:val="28"/>
          <w:lang w:val="es-PR"/>
        </w:rPr>
      </w:pPr>
    </w:p>
    <w:p w14:paraId="4FE43E7E" w14:textId="77777777" w:rsidR="0013326C" w:rsidRPr="00E56FC7" w:rsidRDefault="0013326C" w:rsidP="0013326C">
      <w:pPr>
        <w:jc w:val="center"/>
        <w:rPr>
          <w:rFonts w:ascii="Book Antiqua" w:hAnsi="Book Antiqua" w:cs="Arial"/>
          <w:szCs w:val="28"/>
          <w:lang w:val="es-PR"/>
        </w:rPr>
      </w:pPr>
      <w:r w:rsidRPr="00E56FC7">
        <w:rPr>
          <w:rFonts w:ascii="Book Antiqua" w:hAnsi="Book Antiqua" w:cs="Arial"/>
          <w:szCs w:val="28"/>
          <w:lang w:val="es-PR"/>
        </w:rPr>
        <w:t xml:space="preserve">Presentado por la representante </w:t>
      </w:r>
      <w:r w:rsidRPr="00E56FC7">
        <w:rPr>
          <w:rFonts w:ascii="Book Antiqua" w:hAnsi="Book Antiqua" w:cs="Arial"/>
          <w:i/>
          <w:szCs w:val="28"/>
          <w:lang w:val="es-PR"/>
        </w:rPr>
        <w:t>Lebrón Rodríguez</w:t>
      </w:r>
    </w:p>
    <w:p w14:paraId="023E5360" w14:textId="77777777" w:rsidR="0013326C" w:rsidRPr="00E56FC7" w:rsidRDefault="0013326C" w:rsidP="0013326C">
      <w:pPr>
        <w:jc w:val="center"/>
        <w:rPr>
          <w:rFonts w:ascii="Book Antiqua" w:hAnsi="Book Antiqua"/>
          <w:szCs w:val="28"/>
          <w:lang w:val="es-PR"/>
        </w:rPr>
      </w:pPr>
    </w:p>
    <w:p w14:paraId="2C11370F" w14:textId="054842D0" w:rsidR="0013326C" w:rsidRPr="0013326C" w:rsidRDefault="0013326C" w:rsidP="0013326C">
      <w:pPr>
        <w:jc w:val="center"/>
        <w:rPr>
          <w:rFonts w:ascii="Book Antiqua" w:hAnsi="Book Antiqua"/>
          <w:b/>
          <w:szCs w:val="28"/>
          <w:lang w:val="es-419"/>
        </w:rPr>
      </w:pPr>
      <w:r w:rsidRPr="0013326C">
        <w:rPr>
          <w:rFonts w:ascii="Book Antiqua" w:hAnsi="Book Antiqua"/>
          <w:szCs w:val="28"/>
          <w:lang w:val="es-419"/>
        </w:rPr>
        <w:t>Referido a</w:t>
      </w:r>
      <w:r w:rsidR="00242AF4">
        <w:rPr>
          <w:rFonts w:ascii="Book Antiqua" w:hAnsi="Book Antiqua"/>
          <w:szCs w:val="28"/>
          <w:lang w:val="es-419"/>
        </w:rPr>
        <w:t xml:space="preserve"> la Comisión de lo Jurídico</w:t>
      </w:r>
    </w:p>
    <w:p w14:paraId="1962AAA9" w14:textId="77777777" w:rsidR="006D1889" w:rsidRPr="0013326C" w:rsidRDefault="006D1889" w:rsidP="006D1889">
      <w:pPr>
        <w:jc w:val="center"/>
        <w:rPr>
          <w:rFonts w:ascii="Book Antiqua" w:hAnsi="Book Antiqua"/>
          <w:b/>
          <w:szCs w:val="24"/>
          <w:lang w:val="es-419"/>
        </w:rPr>
      </w:pPr>
    </w:p>
    <w:p w14:paraId="7939C439" w14:textId="77777777" w:rsidR="006D1889" w:rsidRPr="00EF1C6C" w:rsidRDefault="006D1889" w:rsidP="006D1889">
      <w:pPr>
        <w:jc w:val="center"/>
        <w:rPr>
          <w:rFonts w:ascii="Book Antiqua" w:hAnsi="Book Antiqua"/>
          <w:b/>
          <w:sz w:val="28"/>
          <w:szCs w:val="28"/>
          <w:lang w:val="es-ES"/>
        </w:rPr>
      </w:pPr>
      <w:r w:rsidRPr="00EF1C6C">
        <w:rPr>
          <w:rFonts w:ascii="Book Antiqua" w:hAnsi="Book Antiqua"/>
          <w:b/>
          <w:sz w:val="28"/>
          <w:szCs w:val="28"/>
          <w:lang w:val="es-ES"/>
        </w:rPr>
        <w:t>LEY</w:t>
      </w:r>
    </w:p>
    <w:p w14:paraId="3829ACB4" w14:textId="77777777" w:rsidR="006D1889" w:rsidRPr="00EF1C6C" w:rsidRDefault="006D1889" w:rsidP="006D1889">
      <w:pPr>
        <w:jc w:val="center"/>
        <w:rPr>
          <w:rFonts w:ascii="Book Antiqua" w:hAnsi="Book Antiqua"/>
          <w:b/>
          <w:szCs w:val="24"/>
          <w:lang w:val="es-ES"/>
        </w:rPr>
      </w:pPr>
    </w:p>
    <w:p w14:paraId="2E9810EB" w14:textId="45419024" w:rsidR="00917C28" w:rsidRPr="00F25D69" w:rsidRDefault="00917C28" w:rsidP="00404571">
      <w:pPr>
        <w:ind w:left="720" w:hanging="720"/>
        <w:jc w:val="both"/>
        <w:rPr>
          <w:rFonts w:ascii="Book Antiqua" w:hAnsi="Book Antiqua"/>
          <w:lang w:val="es-PR"/>
        </w:rPr>
      </w:pPr>
      <w:r w:rsidRPr="00AA115A">
        <w:rPr>
          <w:rFonts w:ascii="Book Antiqua" w:hAnsi="Book Antiqua"/>
          <w:lang w:val="es-ES_tradnl"/>
        </w:rPr>
        <w:t xml:space="preserve">Para </w:t>
      </w:r>
      <w:bookmarkStart w:id="0" w:name="FolioHit3"/>
      <w:r w:rsidR="007E4D4A" w:rsidRPr="007E4D4A">
        <w:rPr>
          <w:rFonts w:ascii="Book Antiqua" w:hAnsi="Book Antiqua"/>
          <w:lang w:val="es-ES_tradnl"/>
        </w:rPr>
        <w:t>añadir</w:t>
      </w:r>
      <w:r w:rsidR="005E5A55">
        <w:rPr>
          <w:rFonts w:ascii="Book Antiqua" w:hAnsi="Book Antiqua"/>
          <w:lang w:val="es-ES_tradnl"/>
        </w:rPr>
        <w:t xml:space="preserve"> una nueva Regla 510A</w:t>
      </w:r>
      <w:r w:rsidR="007E4D4A" w:rsidRPr="007E4D4A">
        <w:rPr>
          <w:rFonts w:ascii="Book Antiqua" w:hAnsi="Book Antiqua"/>
          <w:lang w:val="es-ES_tradnl"/>
        </w:rPr>
        <w:t xml:space="preserve"> </w:t>
      </w:r>
      <w:r w:rsidR="005E5A55">
        <w:rPr>
          <w:rFonts w:ascii="Book Antiqua" w:hAnsi="Book Antiqua"/>
          <w:lang w:val="es-ES_tradnl"/>
        </w:rPr>
        <w:t>a</w:t>
      </w:r>
      <w:r w:rsidR="007E4D4A" w:rsidRPr="007E4D4A">
        <w:rPr>
          <w:rFonts w:ascii="Book Antiqua" w:hAnsi="Book Antiqua"/>
          <w:lang w:val="es-ES_tradnl"/>
        </w:rPr>
        <w:t xml:space="preserve"> las de Evidencia de Puerto Rico, adoptadas por el Tribunal Supremo de Puerto Rico el 9 de febrero de 2009 y aprobadas por la Asamblea Legislativa mediante la Ley</w:t>
      </w:r>
      <w:r w:rsidR="00FA758A">
        <w:rPr>
          <w:rFonts w:ascii="Book Antiqua" w:hAnsi="Book Antiqua"/>
          <w:lang w:val="es-ES_tradnl"/>
        </w:rPr>
        <w:t xml:space="preserve"> Núm. </w:t>
      </w:r>
      <w:r w:rsidR="007E4D4A" w:rsidRPr="007E4D4A">
        <w:rPr>
          <w:rFonts w:ascii="Book Antiqua" w:hAnsi="Book Antiqua"/>
          <w:lang w:val="es-ES_tradnl"/>
        </w:rPr>
        <w:t>46-2009, a fin de establecer el privilegio de la confidencialidad en la comunicación entre padre e hijo</w:t>
      </w:r>
      <w:r w:rsidR="005E50DD">
        <w:rPr>
          <w:rFonts w:ascii="Book Antiqua" w:hAnsi="Book Antiqua"/>
          <w:lang w:val="es-PR"/>
        </w:rPr>
        <w:t xml:space="preserve">; </w:t>
      </w:r>
      <w:r w:rsidR="00082F9C" w:rsidRPr="00AA115A">
        <w:rPr>
          <w:rFonts w:ascii="Book Antiqua" w:hAnsi="Book Antiqua"/>
          <w:lang w:val="es-PR"/>
        </w:rPr>
        <w:t>y para otros fines relacionados</w:t>
      </w:r>
      <w:r w:rsidR="006E76CD" w:rsidRPr="00AA115A">
        <w:rPr>
          <w:rFonts w:ascii="Book Antiqua" w:hAnsi="Book Antiqua"/>
          <w:lang w:val="es-ES"/>
        </w:rPr>
        <w:t>.</w:t>
      </w:r>
      <w:bookmarkEnd w:id="0"/>
      <w:r w:rsidRPr="00AA115A">
        <w:rPr>
          <w:rFonts w:ascii="Book Antiqua" w:hAnsi="Book Antiqua"/>
          <w:lang w:val="es-ES_tradnl"/>
        </w:rPr>
        <w:t xml:space="preserve">    </w:t>
      </w:r>
    </w:p>
    <w:p w14:paraId="1ACDDF90" w14:textId="77777777" w:rsidR="00917C28" w:rsidRPr="00AA115A" w:rsidRDefault="00917C28" w:rsidP="00876C40">
      <w:pPr>
        <w:ind w:left="480" w:hanging="480"/>
        <w:jc w:val="both"/>
        <w:rPr>
          <w:rFonts w:ascii="Book Antiqua" w:hAnsi="Book Antiqua"/>
          <w:lang w:val="es-ES_tradnl"/>
        </w:rPr>
      </w:pPr>
    </w:p>
    <w:p w14:paraId="67066922" w14:textId="77777777" w:rsidR="00917C28" w:rsidRPr="006044B4" w:rsidRDefault="00917C28" w:rsidP="00876C40">
      <w:pPr>
        <w:jc w:val="center"/>
        <w:rPr>
          <w:rFonts w:ascii="Book Antiqua" w:hAnsi="Book Antiqua"/>
          <w:szCs w:val="24"/>
          <w:lang w:val="es-ES_tradnl"/>
        </w:rPr>
      </w:pPr>
      <w:r w:rsidRPr="006044B4">
        <w:rPr>
          <w:rFonts w:ascii="Book Antiqua" w:hAnsi="Book Antiqua"/>
          <w:szCs w:val="24"/>
          <w:lang w:val="es-ES_tradnl"/>
        </w:rPr>
        <w:t>EXPOSICI</w:t>
      </w:r>
      <w:r w:rsidR="008D27CF" w:rsidRPr="006044B4">
        <w:rPr>
          <w:rFonts w:ascii="Book Antiqua" w:hAnsi="Book Antiqua"/>
          <w:szCs w:val="24"/>
          <w:lang w:val="es-ES_tradnl"/>
        </w:rPr>
        <w:t>Ó</w:t>
      </w:r>
      <w:r w:rsidRPr="006044B4">
        <w:rPr>
          <w:rFonts w:ascii="Book Antiqua" w:hAnsi="Book Antiqua"/>
          <w:szCs w:val="24"/>
          <w:lang w:val="es-ES_tradnl"/>
        </w:rPr>
        <w:t>N DE MOTIVOS</w:t>
      </w:r>
    </w:p>
    <w:p w14:paraId="7BFC24AD" w14:textId="77777777" w:rsidR="00917C28" w:rsidRPr="00AA115A" w:rsidRDefault="00917C28" w:rsidP="00876C40">
      <w:pPr>
        <w:ind w:firstLine="360"/>
        <w:jc w:val="both"/>
        <w:rPr>
          <w:rFonts w:ascii="Book Antiqua" w:hAnsi="Book Antiqua"/>
          <w:szCs w:val="24"/>
          <w:lang w:val="es-ES_tradnl"/>
        </w:rPr>
      </w:pPr>
    </w:p>
    <w:p w14:paraId="1317ED32" w14:textId="2B0229DE" w:rsidR="001E65EE" w:rsidRPr="001E65EE" w:rsidRDefault="001E65EE" w:rsidP="003870D3">
      <w:pPr>
        <w:suppressAutoHyphens/>
        <w:ind w:firstLine="720"/>
        <w:jc w:val="both"/>
        <w:rPr>
          <w:rFonts w:ascii="Book Antiqua" w:hAnsi="Book Antiqua"/>
          <w:spacing w:val="-3"/>
          <w:lang w:val="es-ES_tradnl"/>
        </w:rPr>
      </w:pPr>
      <w:r w:rsidRPr="001E65EE">
        <w:rPr>
          <w:rFonts w:ascii="Book Antiqua" w:hAnsi="Book Antiqua"/>
          <w:spacing w:val="-3"/>
          <w:lang w:val="es-ES_tradnl"/>
        </w:rPr>
        <w:t>La familia es el núcleo social primario reducido al círculo de padres e hijos, centro de la procreación, de la formación moral de los niños, solidaridad y de asistencia recíproca. En Puerto Rico, la familia siempre se ha considerado como la colectividad humana organizada más importante en el desarrollo social y moral de nuestra sociedad.</w:t>
      </w:r>
    </w:p>
    <w:p w14:paraId="17F363D2" w14:textId="77777777" w:rsidR="001E65EE" w:rsidRPr="001E65EE" w:rsidRDefault="001E65EE" w:rsidP="003870D3">
      <w:pPr>
        <w:suppressAutoHyphens/>
        <w:ind w:firstLine="720"/>
        <w:jc w:val="both"/>
        <w:rPr>
          <w:rFonts w:ascii="Book Antiqua" w:hAnsi="Book Antiqua"/>
          <w:spacing w:val="-3"/>
          <w:lang w:val="es-ES_tradnl"/>
        </w:rPr>
      </w:pPr>
    </w:p>
    <w:p w14:paraId="6F491BCB" w14:textId="475F385D" w:rsidR="001E65EE" w:rsidRPr="001E65EE" w:rsidRDefault="001E65EE" w:rsidP="003870D3">
      <w:pPr>
        <w:suppressAutoHyphens/>
        <w:ind w:firstLine="720"/>
        <w:jc w:val="both"/>
        <w:rPr>
          <w:rFonts w:ascii="Book Antiqua" w:hAnsi="Book Antiqua"/>
          <w:spacing w:val="-3"/>
          <w:lang w:val="es-ES_tradnl"/>
        </w:rPr>
      </w:pPr>
      <w:r w:rsidRPr="001E65EE">
        <w:rPr>
          <w:rFonts w:ascii="Book Antiqua" w:hAnsi="Book Antiqua"/>
          <w:spacing w:val="-3"/>
          <w:lang w:val="es-ES_tradnl"/>
        </w:rPr>
        <w:t>La Asamblea Legislativa de Puerto Rico se ha reiterado en establecer una política pública y ha reconocido un interés apremiante en promover el bienestar familiar. De igual manera, busca proteger a los miembros del círculo familiar de aquellas condiciones y experiencias que puedan resultar nocivas a su desarrollo físico, emocional y moral.</w:t>
      </w:r>
      <w:r w:rsidR="001B2F06">
        <w:rPr>
          <w:rFonts w:ascii="Book Antiqua" w:hAnsi="Book Antiqua"/>
          <w:spacing w:val="-3"/>
          <w:lang w:val="es-ES_tradnl"/>
        </w:rPr>
        <w:t xml:space="preserve"> </w:t>
      </w:r>
      <w:r w:rsidRPr="001E65EE">
        <w:rPr>
          <w:rFonts w:ascii="Book Antiqua" w:hAnsi="Book Antiqua"/>
          <w:spacing w:val="-3"/>
          <w:lang w:val="es-ES_tradnl"/>
        </w:rPr>
        <w:t>La institución de la familia viabiliza el establecimiento de hogares donde se pueda encontrar el amor, la protección y el disfrute de la vida al cual todo ser humano tiene derecho.</w:t>
      </w:r>
    </w:p>
    <w:p w14:paraId="62BC36E7" w14:textId="77777777" w:rsidR="001E65EE" w:rsidRPr="001E65EE" w:rsidRDefault="001E65EE" w:rsidP="003870D3">
      <w:pPr>
        <w:suppressAutoHyphens/>
        <w:ind w:firstLine="720"/>
        <w:jc w:val="both"/>
        <w:rPr>
          <w:rFonts w:ascii="Book Antiqua" w:hAnsi="Book Antiqua"/>
          <w:spacing w:val="-3"/>
          <w:lang w:val="es-ES_tradnl"/>
        </w:rPr>
      </w:pPr>
    </w:p>
    <w:p w14:paraId="69931501" w14:textId="211540AF" w:rsidR="001E65EE" w:rsidRPr="001E65EE" w:rsidRDefault="001E65EE" w:rsidP="003870D3">
      <w:pPr>
        <w:suppressAutoHyphens/>
        <w:ind w:firstLine="720"/>
        <w:jc w:val="both"/>
        <w:rPr>
          <w:rFonts w:ascii="Book Antiqua" w:hAnsi="Book Antiqua"/>
          <w:spacing w:val="-3"/>
          <w:lang w:val="es-ES_tradnl"/>
        </w:rPr>
      </w:pPr>
      <w:r w:rsidRPr="001E65EE">
        <w:rPr>
          <w:rFonts w:ascii="Book Antiqua" w:hAnsi="Book Antiqua"/>
          <w:spacing w:val="-3"/>
          <w:lang w:val="es-ES_tradnl"/>
        </w:rPr>
        <w:t>No obstante, esta institución se puede ver severamente afectada cuando uno de los miembros de la familia es obligado a testificar contra el otro en una sala de un Tribunal de Justicia.</w:t>
      </w:r>
      <w:r w:rsidR="001B2F06">
        <w:rPr>
          <w:rFonts w:ascii="Book Antiqua" w:hAnsi="Book Antiqua"/>
          <w:spacing w:val="-3"/>
          <w:lang w:val="es-ES_tradnl"/>
        </w:rPr>
        <w:t xml:space="preserve"> </w:t>
      </w:r>
      <w:r w:rsidRPr="001E65EE">
        <w:rPr>
          <w:rFonts w:ascii="Book Antiqua" w:hAnsi="Book Antiqua"/>
          <w:spacing w:val="-3"/>
          <w:lang w:val="es-ES_tradnl"/>
        </w:rPr>
        <w:t xml:space="preserve">Ante una situación muy similar y buscando proteger la relación conyugal, las </w:t>
      </w:r>
      <w:r w:rsidRPr="001E65EE">
        <w:rPr>
          <w:rFonts w:ascii="Book Antiqua" w:hAnsi="Book Antiqua"/>
          <w:spacing w:val="-3"/>
          <w:lang w:val="es-ES_tradnl"/>
        </w:rPr>
        <w:lastRenderedPageBreak/>
        <w:t>Reglas de Evidencia proveen para ofrecer un privilegio conyugal que impide a uno de los cónyuges testificar en contra del otro, salvo unas circunstancias particulares muy especiales.</w:t>
      </w:r>
    </w:p>
    <w:p w14:paraId="4A99C671" w14:textId="77777777" w:rsidR="001E65EE" w:rsidRDefault="001E65EE" w:rsidP="003870D3">
      <w:pPr>
        <w:suppressAutoHyphens/>
        <w:ind w:firstLine="720"/>
        <w:jc w:val="both"/>
        <w:rPr>
          <w:rFonts w:ascii="Book Antiqua" w:hAnsi="Book Antiqua"/>
          <w:spacing w:val="-3"/>
          <w:lang w:val="es-ES_tradnl"/>
        </w:rPr>
      </w:pPr>
    </w:p>
    <w:p w14:paraId="085EB94B" w14:textId="5561B979" w:rsidR="00734F6D" w:rsidRPr="001E65EE" w:rsidRDefault="006D3108" w:rsidP="003870D3">
      <w:pPr>
        <w:suppressAutoHyphens/>
        <w:ind w:firstLine="720"/>
        <w:jc w:val="both"/>
        <w:rPr>
          <w:rFonts w:ascii="Book Antiqua" w:hAnsi="Book Antiqua"/>
          <w:spacing w:val="-3"/>
          <w:lang w:val="es-PR"/>
        </w:rPr>
      </w:pPr>
      <w:r w:rsidRPr="006D3108">
        <w:rPr>
          <w:rFonts w:ascii="Book Antiqua" w:hAnsi="Book Antiqua"/>
          <w:spacing w:val="-3"/>
          <w:lang w:val="es-PR"/>
        </w:rPr>
        <w:t>Las reglas de exclusión han sido creadas con el propósito de anteponer el interés de proteger y conservar las relaciones entre determinadas personas, antes de lograr a toda costa los fines de la justicia.</w:t>
      </w:r>
      <w:r w:rsidRPr="006D3108">
        <w:rPr>
          <w:rFonts w:ascii="Book Antiqua" w:hAnsi="Book Antiqua"/>
          <w:spacing w:val="-3"/>
          <w:vertAlign w:val="superscript"/>
          <w:lang w:val="es-PR"/>
        </w:rPr>
        <w:footnoteReference w:id="1"/>
      </w:r>
      <w:r w:rsidRPr="006D3108">
        <w:rPr>
          <w:rFonts w:ascii="Book Antiqua" w:hAnsi="Book Antiqua"/>
          <w:spacing w:val="-3"/>
          <w:lang w:val="es-PR"/>
        </w:rPr>
        <w:t xml:space="preserve"> Estas reglas pueden ser totalmente antagónicas u opuestas a obtener quizás el mayor número de convicciones y adjudicaciones posibles. Sin embargo, existen justificaciones para dar preferencia al reconocimiento de estas reglas de exclusión o privilegios, sobre el interés fundamental de la búsqueda de la verdad. Según John Henry </w:t>
      </w:r>
      <w:proofErr w:type="spellStart"/>
      <w:r w:rsidRPr="006D3108">
        <w:rPr>
          <w:rFonts w:ascii="Book Antiqua" w:hAnsi="Book Antiqua"/>
          <w:spacing w:val="-3"/>
          <w:lang w:val="es-PR"/>
        </w:rPr>
        <w:t>Wigmore</w:t>
      </w:r>
      <w:proofErr w:type="spellEnd"/>
      <w:r w:rsidRPr="006D3108">
        <w:rPr>
          <w:rFonts w:ascii="Book Antiqua" w:hAnsi="Book Antiqua"/>
          <w:spacing w:val="-3"/>
          <w:lang w:val="es-PR"/>
        </w:rPr>
        <w:t>, la existencia de las reglas de exclusión tiene su razón de ser bajo una base utilitaria, donde el beneficio de obtener la prueba para lograr la convicción no supera el gran menoscabo que sufriría la relación protegida por el privilegio.</w:t>
      </w:r>
      <w:r w:rsidRPr="006D3108">
        <w:rPr>
          <w:rFonts w:ascii="Book Antiqua" w:hAnsi="Book Antiqua"/>
          <w:spacing w:val="-3"/>
          <w:vertAlign w:val="superscript"/>
          <w:lang w:val="es-PR"/>
        </w:rPr>
        <w:footnoteReference w:id="2"/>
      </w:r>
      <w:r w:rsidRPr="006D3108">
        <w:rPr>
          <w:rFonts w:ascii="Book Antiqua" w:hAnsi="Book Antiqua"/>
          <w:spacing w:val="-3"/>
          <w:lang w:val="es-PR"/>
        </w:rPr>
        <w:t xml:space="preserve"> La justificación de las reglas de exclusión debe estar basada, según el profesor Ernesto Chiesa, principalmente en una expectativa de confidencialidad, en un enorme interés social y en el fortalecimiento de la relación que se intenta proteger con el privilegio.</w:t>
      </w:r>
      <w:r w:rsidRPr="006D3108">
        <w:rPr>
          <w:rFonts w:ascii="Book Antiqua" w:hAnsi="Book Antiqua"/>
          <w:spacing w:val="-3"/>
          <w:vertAlign w:val="superscript"/>
          <w:lang w:val="es-PR"/>
        </w:rPr>
        <w:footnoteReference w:id="3"/>
      </w:r>
      <w:r w:rsidRPr="006D3108">
        <w:rPr>
          <w:rFonts w:ascii="Book Antiqua" w:hAnsi="Book Antiqua"/>
          <w:spacing w:val="-3"/>
          <w:lang w:val="es-PR"/>
        </w:rPr>
        <w:t xml:space="preserve"> La facultad de abstenerse, que brindan las reglas de exclusión o los llamados privilegios, exime a determinadas personas de su obligación de ofrecer testimonio en circunstancias donde, el interés en su protección, supera el interés del sistema de justicia de obtener la evidencia.</w:t>
      </w:r>
    </w:p>
    <w:p w14:paraId="34F7165D" w14:textId="77777777" w:rsidR="00AD7A68" w:rsidRDefault="00AD7A68" w:rsidP="003870D3">
      <w:pPr>
        <w:suppressAutoHyphens/>
        <w:ind w:firstLine="720"/>
        <w:jc w:val="both"/>
        <w:rPr>
          <w:rFonts w:ascii="Book Antiqua" w:hAnsi="Book Antiqua"/>
          <w:spacing w:val="-3"/>
          <w:lang w:val="es-ES_tradnl"/>
        </w:rPr>
      </w:pPr>
    </w:p>
    <w:p w14:paraId="0621B665" w14:textId="7CEE19D3" w:rsidR="00AD7A68" w:rsidRDefault="00AD7A68" w:rsidP="003870D3">
      <w:pPr>
        <w:suppressAutoHyphens/>
        <w:ind w:firstLine="720"/>
        <w:jc w:val="both"/>
        <w:rPr>
          <w:rFonts w:ascii="Book Antiqua" w:hAnsi="Book Antiqua"/>
          <w:spacing w:val="-3"/>
          <w:lang w:val="es-ES"/>
        </w:rPr>
      </w:pPr>
      <w:r>
        <w:rPr>
          <w:rFonts w:ascii="Book Antiqua" w:hAnsi="Book Antiqua"/>
          <w:spacing w:val="-3"/>
          <w:lang w:val="es-ES_tradnl"/>
        </w:rPr>
        <w:t>E</w:t>
      </w:r>
      <w:r w:rsidRPr="00AD7A68">
        <w:rPr>
          <w:rFonts w:ascii="Book Antiqua" w:hAnsi="Book Antiqua"/>
          <w:spacing w:val="-3"/>
          <w:lang w:val="es-ES"/>
        </w:rPr>
        <w:t>l privilegio padre e hijo existe en otros países, como, por ejemplo, Argentina. En el mismo, se reconoce la existencia de privilegios sobre los secretos de familia, basados en el interés y en el efecto quebrantador en la unión familiar, cuando son forzados los límites de la vida e intimidad familiar. Este privilegio sobre los secretos de familia protege las conversaciones entre cónyuges, padres e hijos incluidos abuelos y hermanos.</w:t>
      </w:r>
    </w:p>
    <w:p w14:paraId="565EF48A" w14:textId="77777777" w:rsidR="00AD7A68" w:rsidRPr="00AD7A68" w:rsidRDefault="00AD7A68" w:rsidP="003870D3">
      <w:pPr>
        <w:suppressAutoHyphens/>
        <w:ind w:firstLine="720"/>
        <w:jc w:val="both"/>
        <w:rPr>
          <w:rFonts w:ascii="Book Antiqua" w:hAnsi="Book Antiqua"/>
          <w:spacing w:val="-3"/>
          <w:lang w:val="es-ES"/>
        </w:rPr>
      </w:pPr>
    </w:p>
    <w:p w14:paraId="13D846A6" w14:textId="2B51D1E5" w:rsidR="00AD7A68" w:rsidRDefault="00AD7A68" w:rsidP="003870D3">
      <w:pPr>
        <w:suppressAutoHyphens/>
        <w:ind w:firstLine="720"/>
        <w:jc w:val="both"/>
        <w:rPr>
          <w:rFonts w:ascii="Book Antiqua" w:hAnsi="Book Antiqua"/>
          <w:spacing w:val="-3"/>
          <w:lang w:val="es-ES"/>
        </w:rPr>
      </w:pPr>
      <w:r w:rsidRPr="00AD7A68">
        <w:rPr>
          <w:rFonts w:ascii="Book Antiqua" w:hAnsi="Book Antiqua"/>
          <w:spacing w:val="-3"/>
          <w:lang w:val="es-ES"/>
        </w:rPr>
        <w:t>En cuanto a España concierne, existe una protección para excluir las conversaciones de padres e hijos como evidencia, pero la norma es aún mucho más extensiva. En el derecho español se excluyen de prestar testimonio a los parientes del procesado en línea recta ascendente y descendente, al cónyuge, a los hermanos y a parientes naturales consanguíneos o afines hasta el segundo grado. En aquellos casos en que las personas protegidas por las regias de exclusión invoquen las mismas, bajo ningún concepto podrán ser obligados a declarar como testigos. Dentro de este ordenamiento, de interés en la protección de las relaciones entre los miembros de la familia es de fundamental y de vital importancia y se antepone al deber de testificar ante cualquier convicción que pueda lograse mediante los testimonios de las personas protegidas por las reglas de exclusión</w:t>
      </w:r>
      <w:r>
        <w:rPr>
          <w:rFonts w:ascii="Book Antiqua" w:hAnsi="Book Antiqua"/>
          <w:spacing w:val="-3"/>
          <w:lang w:val="es-ES"/>
        </w:rPr>
        <w:t>.</w:t>
      </w:r>
    </w:p>
    <w:p w14:paraId="6B1B1316" w14:textId="77777777" w:rsidR="00AD7A68" w:rsidRDefault="00AD7A68" w:rsidP="003870D3">
      <w:pPr>
        <w:suppressAutoHyphens/>
        <w:ind w:firstLine="720"/>
        <w:jc w:val="both"/>
        <w:rPr>
          <w:rFonts w:ascii="Book Antiqua" w:hAnsi="Book Antiqua"/>
          <w:spacing w:val="-3"/>
          <w:lang w:val="es-ES"/>
        </w:rPr>
      </w:pPr>
    </w:p>
    <w:p w14:paraId="08B82975" w14:textId="7EF839B9" w:rsidR="006D3108" w:rsidRPr="006D3108" w:rsidRDefault="00AD7A68" w:rsidP="003870D3">
      <w:pPr>
        <w:suppressAutoHyphens/>
        <w:ind w:firstLine="720"/>
        <w:jc w:val="both"/>
        <w:rPr>
          <w:rFonts w:ascii="Book Antiqua" w:hAnsi="Book Antiqua"/>
          <w:spacing w:val="-3"/>
          <w:lang w:val="es-ES"/>
        </w:rPr>
      </w:pPr>
      <w:r w:rsidRPr="00AD7A68">
        <w:rPr>
          <w:rFonts w:ascii="Book Antiqua" w:hAnsi="Book Antiqua"/>
          <w:spacing w:val="-3"/>
          <w:lang w:val="es-ES"/>
        </w:rPr>
        <w:t>Respecto a Estados Unidos, se ha reconocido la existencia de privilegios basados en el interés de familiar, pero de forma muy limitada. Y, es que las reglas de evidencia federal le</w:t>
      </w:r>
      <w:r>
        <w:rPr>
          <w:rFonts w:ascii="Book Antiqua" w:hAnsi="Book Antiqua"/>
          <w:spacing w:val="-3"/>
          <w:lang w:val="es-ES"/>
        </w:rPr>
        <w:t>s</w:t>
      </w:r>
      <w:r w:rsidRPr="00AD7A68">
        <w:rPr>
          <w:rFonts w:ascii="Book Antiqua" w:hAnsi="Book Antiqua"/>
          <w:spacing w:val="-3"/>
          <w:lang w:val="es-ES"/>
        </w:rPr>
        <w:t xml:space="preserve"> ofrecen la discreción a las cortes para conceder el reconocimiento de privilegios sobre </w:t>
      </w:r>
      <w:r w:rsidRPr="00AD7A68">
        <w:rPr>
          <w:rFonts w:ascii="Book Antiqua" w:hAnsi="Book Antiqua"/>
          <w:spacing w:val="-3"/>
          <w:lang w:val="es-ES"/>
        </w:rPr>
        <w:lastRenderedPageBreak/>
        <w:t>comunicaciones. En ese aspecto, el privilegio padre e hijo está sujeto a ser reconocido sobre el criterio del menoscabo o daño que sufriría la relación paterno filial, en comparación con el beneficio social del testimonio en la consecución de la búsqueda de la verdad, como razón esencial para reconocer la existencia del mismo.</w:t>
      </w:r>
      <w:r w:rsidRPr="00AD7A68">
        <w:rPr>
          <w:rFonts w:ascii="Book Antiqua" w:hAnsi="Book Antiqua"/>
          <w:spacing w:val="-3"/>
          <w:vertAlign w:val="superscript"/>
          <w:lang w:val="es-ES"/>
        </w:rPr>
        <w:footnoteReference w:id="4"/>
      </w:r>
      <w:r w:rsidRPr="00AD7A68">
        <w:rPr>
          <w:rFonts w:ascii="Book Antiqua" w:hAnsi="Book Antiqua"/>
          <w:spacing w:val="-3"/>
          <w:lang w:val="es-ES"/>
        </w:rPr>
        <w:t xml:space="preserve"> Es decir, que cada Juez ejercerá su discreción en la aplicación del privilegio padre e hijo, tomando en consideración el beneficio e impacto en la unidad familiar, así como el fortalecimiento y preservación en la relación padre e hijo que causaría la exclusión del testimonio, lo que evidentemente variarla los resultados caso a caso</w:t>
      </w:r>
      <w:r>
        <w:rPr>
          <w:rFonts w:ascii="Book Antiqua" w:hAnsi="Book Antiqua"/>
          <w:spacing w:val="-3"/>
          <w:lang w:val="es-ES"/>
        </w:rPr>
        <w:t>.</w:t>
      </w:r>
    </w:p>
    <w:p w14:paraId="1C1B27BA" w14:textId="77777777" w:rsidR="00734F6D" w:rsidRPr="006A3FAA" w:rsidRDefault="00734F6D" w:rsidP="003870D3">
      <w:pPr>
        <w:suppressAutoHyphens/>
        <w:ind w:firstLine="720"/>
        <w:jc w:val="both"/>
        <w:rPr>
          <w:rFonts w:ascii="Book Antiqua" w:hAnsi="Book Antiqua"/>
          <w:spacing w:val="-3"/>
          <w:lang w:val="es-ES_tradnl"/>
        </w:rPr>
      </w:pPr>
    </w:p>
    <w:p w14:paraId="58CFC337" w14:textId="77777777" w:rsidR="00734F6D" w:rsidRPr="006A3FAA" w:rsidRDefault="00734F6D" w:rsidP="003870D3">
      <w:pPr>
        <w:suppressAutoHyphens/>
        <w:ind w:firstLine="720"/>
        <w:jc w:val="both"/>
        <w:rPr>
          <w:rFonts w:ascii="Book Antiqua" w:hAnsi="Book Antiqua"/>
          <w:spacing w:val="-3"/>
          <w:lang w:val="es-ES_tradnl"/>
        </w:rPr>
        <w:sectPr w:rsidR="00734F6D" w:rsidRPr="006A3FAA" w:rsidSect="00734F6D">
          <w:headerReference w:type="even" r:id="rId8"/>
          <w:headerReference w:type="default" r:id="rId9"/>
          <w:endnotePr>
            <w:numFmt w:val="decimal"/>
          </w:endnotePr>
          <w:type w:val="continuous"/>
          <w:pgSz w:w="12240" w:h="15840" w:code="1"/>
          <w:pgMar w:top="1440" w:right="1440" w:bottom="1440" w:left="1440" w:header="720" w:footer="720" w:gutter="0"/>
          <w:pgNumType w:start="1"/>
          <w:cols w:space="720"/>
          <w:noEndnote/>
          <w:titlePg/>
        </w:sectPr>
      </w:pPr>
    </w:p>
    <w:p w14:paraId="3580FB1C" w14:textId="77777777" w:rsidR="00B2265F" w:rsidRDefault="00734F6D" w:rsidP="003870D3">
      <w:pPr>
        <w:ind w:firstLine="720"/>
        <w:jc w:val="both"/>
        <w:rPr>
          <w:rFonts w:ascii="Book Antiqua" w:hAnsi="Book Antiqua"/>
          <w:lang w:val="es-ES_tradnl"/>
        </w:rPr>
      </w:pPr>
      <w:r w:rsidRPr="006A3FAA">
        <w:rPr>
          <w:rFonts w:ascii="Book Antiqua" w:hAnsi="Book Antiqua"/>
          <w:spacing w:val="-3"/>
          <w:lang w:val="es-ES_tradnl"/>
        </w:rPr>
        <w:t>En esta ocasión, la Asamblea Legislativa de Puerto Rico entiende que es necesario extender los privilegios creados por las Reglas de Evidencia y establecer uno entre los padres y sus hijos.  De esta manera, se logra conservar la institución familiar lo más unida posible, dentro de un marco legal que promueva la justicia social</w:t>
      </w:r>
      <w:r w:rsidR="009333B1">
        <w:rPr>
          <w:rFonts w:ascii="Book Antiqua" w:hAnsi="Book Antiqua"/>
          <w:lang w:val="es-PR"/>
        </w:rPr>
        <w:t>.</w:t>
      </w:r>
      <w:r w:rsidR="009333B1">
        <w:rPr>
          <w:rFonts w:ascii="Book Antiqua" w:hAnsi="Book Antiqua"/>
          <w:lang w:val="es-ES_tradnl"/>
        </w:rPr>
        <w:t xml:space="preserve"> </w:t>
      </w:r>
    </w:p>
    <w:p w14:paraId="302E2AC1" w14:textId="77777777" w:rsidR="00876C40" w:rsidRPr="00AA115A" w:rsidRDefault="00876C40" w:rsidP="009333B1">
      <w:pPr>
        <w:jc w:val="both"/>
        <w:rPr>
          <w:rFonts w:ascii="Book Antiqua" w:hAnsi="Book Antiqua"/>
          <w:i/>
          <w:lang w:val="es-ES_tradnl"/>
        </w:rPr>
      </w:pPr>
    </w:p>
    <w:p w14:paraId="762AEFD3" w14:textId="77777777" w:rsidR="00917C28" w:rsidRPr="00AA115A" w:rsidRDefault="00917C28" w:rsidP="00876C40">
      <w:pPr>
        <w:spacing w:line="480" w:lineRule="auto"/>
        <w:rPr>
          <w:rFonts w:ascii="Book Antiqua" w:hAnsi="Book Antiqua"/>
          <w:i/>
          <w:lang w:val="es-ES_tradnl"/>
        </w:rPr>
      </w:pPr>
      <w:r w:rsidRPr="00AA115A">
        <w:rPr>
          <w:rFonts w:ascii="Book Antiqua" w:hAnsi="Book Antiqua"/>
          <w:i/>
          <w:lang w:val="es-ES_tradnl"/>
        </w:rPr>
        <w:t>DECR</w:t>
      </w:r>
      <w:r w:rsidR="008D27CF" w:rsidRPr="00AA115A">
        <w:rPr>
          <w:rFonts w:ascii="Book Antiqua" w:hAnsi="Book Antiqua"/>
          <w:i/>
          <w:lang w:val="es-ES_tradnl"/>
        </w:rPr>
        <w:t>É</w:t>
      </w:r>
      <w:r w:rsidRPr="00AA115A">
        <w:rPr>
          <w:rFonts w:ascii="Book Antiqua" w:hAnsi="Book Antiqua"/>
          <w:i/>
          <w:lang w:val="es-ES_tradnl"/>
        </w:rPr>
        <w:t>TASE POR LA ASAMBLEA LEGISLATIVA DE PUERTO RICO:</w:t>
      </w:r>
    </w:p>
    <w:p w14:paraId="683F56F4" w14:textId="77777777" w:rsidR="00917C28" w:rsidRPr="00AA115A" w:rsidRDefault="00917C28" w:rsidP="005C430C">
      <w:pPr>
        <w:spacing w:line="480" w:lineRule="auto"/>
        <w:jc w:val="both"/>
        <w:rPr>
          <w:rFonts w:ascii="Book Antiqua" w:hAnsi="Book Antiqua"/>
          <w:i/>
          <w:lang w:val="es-ES_tradnl"/>
        </w:rPr>
        <w:sectPr w:rsidR="00917C28" w:rsidRPr="00AA115A" w:rsidSect="005C430C">
          <w:headerReference w:type="default" r:id="rId10"/>
          <w:type w:val="continuous"/>
          <w:pgSz w:w="12240" w:h="15840" w:code="1"/>
          <w:pgMar w:top="1440" w:right="1440" w:bottom="1440" w:left="1440" w:header="720" w:footer="720" w:gutter="0"/>
          <w:cols w:space="720"/>
          <w:titlePg/>
        </w:sectPr>
      </w:pPr>
    </w:p>
    <w:p w14:paraId="60F7BEA8" w14:textId="478B163E" w:rsidR="00C92367" w:rsidRPr="00C92367" w:rsidRDefault="00C92367" w:rsidP="00C92367">
      <w:pPr>
        <w:spacing w:line="480" w:lineRule="auto"/>
        <w:ind w:firstLine="720"/>
        <w:jc w:val="both"/>
        <w:rPr>
          <w:rFonts w:ascii="Book Antiqua" w:hAnsi="Book Antiqua"/>
          <w:lang w:val="es-ES_tradnl"/>
        </w:rPr>
      </w:pPr>
      <w:bookmarkStart w:id="1" w:name="{549C0}"/>
      <w:bookmarkStart w:id="2" w:name="{587F5}"/>
      <w:r w:rsidRPr="00C92367">
        <w:rPr>
          <w:rFonts w:ascii="Book Antiqua" w:hAnsi="Book Antiqua"/>
          <w:lang w:val="es-ES_tradnl"/>
        </w:rPr>
        <w:t>Artículo 1.-Se añade la Regla 51</w:t>
      </w:r>
      <w:r w:rsidR="005E5A55">
        <w:rPr>
          <w:rFonts w:ascii="Book Antiqua" w:hAnsi="Book Antiqua"/>
          <w:lang w:val="es-ES_tradnl"/>
        </w:rPr>
        <w:t>0A</w:t>
      </w:r>
      <w:r w:rsidRPr="00C92367">
        <w:rPr>
          <w:rFonts w:ascii="Book Antiqua" w:hAnsi="Book Antiqua"/>
          <w:lang w:val="es-ES_tradnl"/>
        </w:rPr>
        <w:t xml:space="preserve"> a las Reglas de Evidencia de Puerto Rico, adoptadas por el Tribunal Supremo de Puerto Rico el 9 de febrero de 2009, y aprobadas por la Asamblea Legislativa mediante la Ley </w:t>
      </w:r>
      <w:r w:rsidR="00FA758A">
        <w:rPr>
          <w:rFonts w:ascii="Book Antiqua" w:hAnsi="Book Antiqua"/>
          <w:lang w:val="es-ES_tradnl"/>
        </w:rPr>
        <w:t xml:space="preserve">Núm. </w:t>
      </w:r>
      <w:r w:rsidRPr="00C92367">
        <w:rPr>
          <w:rFonts w:ascii="Book Antiqua" w:hAnsi="Book Antiqua"/>
          <w:lang w:val="es-ES_tradnl"/>
        </w:rPr>
        <w:t>46-2009, para que se lea como sigue:</w:t>
      </w:r>
    </w:p>
    <w:p w14:paraId="1B5A2214" w14:textId="77777777" w:rsidR="00C92367" w:rsidRPr="00C92367" w:rsidRDefault="00C92367" w:rsidP="00C92367">
      <w:pPr>
        <w:spacing w:line="480" w:lineRule="auto"/>
        <w:ind w:firstLine="720"/>
        <w:jc w:val="both"/>
        <w:rPr>
          <w:rFonts w:ascii="Book Antiqua" w:hAnsi="Book Antiqua"/>
          <w:lang w:val="es-ES_tradnl"/>
        </w:rPr>
      </w:pPr>
      <w:r w:rsidRPr="00C92367">
        <w:rPr>
          <w:rFonts w:ascii="Book Antiqua" w:hAnsi="Book Antiqua"/>
          <w:lang w:val="es-ES_tradnl"/>
        </w:rPr>
        <w:t>“Regla 51</w:t>
      </w:r>
      <w:r w:rsidR="005E5A55">
        <w:rPr>
          <w:rFonts w:ascii="Book Antiqua" w:hAnsi="Book Antiqua"/>
          <w:lang w:val="es-ES_tradnl"/>
        </w:rPr>
        <w:t>0A</w:t>
      </w:r>
      <w:r w:rsidRPr="00C92367">
        <w:rPr>
          <w:rFonts w:ascii="Book Antiqua" w:hAnsi="Book Antiqua"/>
          <w:lang w:val="es-ES_tradnl"/>
        </w:rPr>
        <w:t>.-Privilegio Entre Padre e Hijo</w:t>
      </w:r>
    </w:p>
    <w:p w14:paraId="6BDA1415" w14:textId="77777777" w:rsidR="00C92367" w:rsidRPr="00C92367" w:rsidRDefault="00C92367" w:rsidP="003A717C">
      <w:pPr>
        <w:spacing w:line="480" w:lineRule="auto"/>
        <w:ind w:left="1440" w:hanging="720"/>
        <w:jc w:val="both"/>
        <w:rPr>
          <w:rFonts w:ascii="Book Antiqua" w:hAnsi="Book Antiqua"/>
          <w:lang w:val="es-ES_tradnl"/>
        </w:rPr>
      </w:pPr>
      <w:r w:rsidRPr="00C92367">
        <w:rPr>
          <w:rFonts w:ascii="Book Antiqua" w:hAnsi="Book Antiqua"/>
          <w:lang w:val="es-ES_tradnl"/>
        </w:rPr>
        <w:t>(A)</w:t>
      </w:r>
      <w:r w:rsidRPr="00C92367">
        <w:rPr>
          <w:rFonts w:ascii="Book Antiqua" w:hAnsi="Book Antiqua"/>
          <w:lang w:val="es-ES_tradnl"/>
        </w:rPr>
        <w:tab/>
        <w:t>Según usadas en esta Regla, las siguientes expresiones tienen el significado que a continuación se indica:</w:t>
      </w:r>
    </w:p>
    <w:p w14:paraId="28415A06"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(1)</w:t>
      </w:r>
      <w:r w:rsidRPr="00C92367">
        <w:rPr>
          <w:rFonts w:ascii="Book Antiqua" w:hAnsi="Book Antiqua"/>
          <w:lang w:val="es-ES_tradnl"/>
        </w:rPr>
        <w:tab/>
        <w:t xml:space="preserve">Comunicación Confidencial - es aquella comunicación habida entre padre </w:t>
      </w:r>
      <w:r w:rsidR="003A717C">
        <w:rPr>
          <w:rFonts w:ascii="Book Antiqua" w:hAnsi="Book Antiqua"/>
          <w:lang w:val="es-ES_tradnl"/>
        </w:rPr>
        <w:t>e</w:t>
      </w:r>
      <w:r w:rsidRPr="00C92367">
        <w:rPr>
          <w:rFonts w:ascii="Book Antiqua" w:hAnsi="Book Antiqua"/>
          <w:lang w:val="es-ES_tradnl"/>
        </w:rPr>
        <w:t xml:space="preserve"> hijo, privadamente, sin intención de transmitirla a un tercero y bajo la creencia de que ésta no sería divulgada.</w:t>
      </w:r>
    </w:p>
    <w:p w14:paraId="6E275D56"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(2)</w:t>
      </w:r>
      <w:r w:rsidRPr="00C92367">
        <w:rPr>
          <w:rFonts w:ascii="Book Antiqua" w:hAnsi="Book Antiqua"/>
          <w:lang w:val="es-ES_tradnl"/>
        </w:rPr>
        <w:tab/>
        <w:t xml:space="preserve">Padre - aquella persona que voluntariamente, al nacer su hijo, lo reconoce y lo inscribe en el Registro Demográfico o que mediante un </w:t>
      </w:r>
      <w:r w:rsidRPr="00C92367">
        <w:rPr>
          <w:rFonts w:ascii="Book Antiqua" w:hAnsi="Book Antiqua"/>
          <w:lang w:val="es-ES_tradnl"/>
        </w:rPr>
        <w:lastRenderedPageBreak/>
        <w:t>proceso de adopción, paternidad, filiación es reconocido como tal.  El término padre también incluye el término madre.</w:t>
      </w:r>
    </w:p>
    <w:p w14:paraId="77349F2E" w14:textId="5967F57B"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(3)</w:t>
      </w:r>
      <w:r w:rsidRPr="00C92367">
        <w:rPr>
          <w:rFonts w:ascii="Book Antiqua" w:hAnsi="Book Antiqua"/>
          <w:lang w:val="es-ES_tradnl"/>
        </w:rPr>
        <w:tab/>
        <w:t>Hijo - aquella persona que voluntariamente fue reconocida e inscrita como hijo en el Registro Demográfico por su</w:t>
      </w:r>
      <w:r w:rsidR="00EB6D30">
        <w:rPr>
          <w:rFonts w:ascii="Book Antiqua" w:hAnsi="Book Antiqua"/>
          <w:lang w:val="es-ES_tradnl"/>
        </w:rPr>
        <w:t>s</w:t>
      </w:r>
      <w:r w:rsidRPr="00C92367">
        <w:rPr>
          <w:rFonts w:ascii="Book Antiqua" w:hAnsi="Book Antiqua"/>
          <w:lang w:val="es-ES_tradnl"/>
        </w:rPr>
        <w:t xml:space="preserve"> padre</w:t>
      </w:r>
      <w:r w:rsidR="00EB6D30">
        <w:rPr>
          <w:rFonts w:ascii="Book Antiqua" w:hAnsi="Book Antiqua"/>
          <w:lang w:val="es-ES_tradnl"/>
        </w:rPr>
        <w:t>s</w:t>
      </w:r>
      <w:r w:rsidRPr="00C92367">
        <w:rPr>
          <w:rFonts w:ascii="Book Antiqua" w:hAnsi="Book Antiqua"/>
          <w:lang w:val="es-ES_tradnl"/>
        </w:rPr>
        <w:t xml:space="preserve"> o fue legalmente reconocido mediante un proceso de adopción, filiación o pate</w:t>
      </w:r>
      <w:r w:rsidR="001E65EE">
        <w:rPr>
          <w:rFonts w:ascii="Book Antiqua" w:hAnsi="Book Antiqua"/>
          <w:lang w:val="es-ES_tradnl"/>
        </w:rPr>
        <w:t>rnidad.  Este</w:t>
      </w:r>
      <w:r w:rsidR="003A717C">
        <w:rPr>
          <w:rFonts w:ascii="Book Antiqua" w:hAnsi="Book Antiqua"/>
          <w:lang w:val="es-ES_tradnl"/>
        </w:rPr>
        <w:t xml:space="preserve"> término incluye a</w:t>
      </w:r>
      <w:r w:rsidRPr="00C92367">
        <w:rPr>
          <w:rFonts w:ascii="Book Antiqua" w:hAnsi="Book Antiqua"/>
          <w:lang w:val="es-ES_tradnl"/>
        </w:rPr>
        <w:t xml:space="preserve"> los hijos legítimos, ilegítimos o legitimados.</w:t>
      </w:r>
    </w:p>
    <w:p w14:paraId="38CB9A21" w14:textId="77777777" w:rsidR="00C92367" w:rsidRPr="00C92367" w:rsidRDefault="00C92367" w:rsidP="003A717C">
      <w:pPr>
        <w:spacing w:line="480" w:lineRule="auto"/>
        <w:ind w:left="1440" w:hanging="720"/>
        <w:jc w:val="both"/>
        <w:rPr>
          <w:rFonts w:ascii="Book Antiqua" w:hAnsi="Book Antiqua"/>
          <w:lang w:val="es-ES_tradnl"/>
        </w:rPr>
      </w:pPr>
      <w:r w:rsidRPr="00C92367">
        <w:rPr>
          <w:rFonts w:ascii="Book Antiqua" w:hAnsi="Book Antiqua"/>
          <w:lang w:val="es-ES_tradnl"/>
        </w:rPr>
        <w:t>(B)</w:t>
      </w:r>
      <w:r w:rsidRPr="00C92367">
        <w:rPr>
          <w:rFonts w:ascii="Book Antiqua" w:hAnsi="Book Antiqua"/>
          <w:lang w:val="es-ES_tradnl"/>
        </w:rPr>
        <w:tab/>
        <w:t>Sujeto a lo dispuesto en esta Regla, todo padre e hijo, sea o no parte en el pleito o acción, tiene el privilegio de rehusar, revelar y de impedir que otro revele una comunicación confidencial entre padre e hijo.  Este privilegio podrá ser igualmente invocado por el hijo o el padre, pero sólo en una relación entre ambos y por una persona autorizada a invocarlo en beneficio de uno de éstos.</w:t>
      </w:r>
    </w:p>
    <w:p w14:paraId="75E4A58C" w14:textId="77777777" w:rsidR="00C92367" w:rsidRPr="00C92367" w:rsidRDefault="00C92367" w:rsidP="00C92367">
      <w:pPr>
        <w:spacing w:line="480" w:lineRule="auto"/>
        <w:ind w:firstLine="720"/>
        <w:jc w:val="both"/>
        <w:rPr>
          <w:rFonts w:ascii="Book Antiqua" w:hAnsi="Book Antiqua"/>
          <w:lang w:val="es-ES_tradnl"/>
        </w:rPr>
      </w:pPr>
      <w:r w:rsidRPr="00C92367">
        <w:rPr>
          <w:rFonts w:ascii="Book Antiqua" w:hAnsi="Book Antiqua"/>
          <w:lang w:val="es-ES_tradnl"/>
        </w:rPr>
        <w:t>(C)</w:t>
      </w:r>
      <w:r w:rsidRPr="00C92367">
        <w:rPr>
          <w:rFonts w:ascii="Book Antiqua" w:hAnsi="Book Antiqua"/>
          <w:lang w:val="es-ES_tradnl"/>
        </w:rPr>
        <w:tab/>
        <w:t>No existe privilegio bajo esta Regla si:</w:t>
      </w:r>
    </w:p>
    <w:p w14:paraId="5FAFE996" w14:textId="77777777" w:rsidR="00C92367" w:rsidRPr="00C92367" w:rsidRDefault="003A717C" w:rsidP="00C92367">
      <w:pPr>
        <w:spacing w:line="480" w:lineRule="auto"/>
        <w:ind w:firstLine="720"/>
        <w:jc w:val="both"/>
        <w:rPr>
          <w:rFonts w:ascii="Book Antiqua" w:hAnsi="Book Antiqua"/>
          <w:lang w:val="es-ES_tradnl"/>
        </w:rPr>
      </w:pPr>
      <w:r>
        <w:rPr>
          <w:rFonts w:ascii="Book Antiqua" w:hAnsi="Book Antiqua"/>
          <w:lang w:val="es-ES_tradnl"/>
        </w:rPr>
        <w:tab/>
      </w:r>
      <w:r w:rsidR="00C92367" w:rsidRPr="00C92367">
        <w:rPr>
          <w:rFonts w:ascii="Book Antiqua" w:hAnsi="Book Antiqua"/>
          <w:lang w:val="es-ES_tradnl"/>
        </w:rPr>
        <w:t>(1)</w:t>
      </w:r>
      <w:r w:rsidR="00C92367" w:rsidRPr="00C92367">
        <w:rPr>
          <w:rFonts w:ascii="Book Antiqua" w:hAnsi="Book Antiqua"/>
          <w:lang w:val="es-ES_tradnl"/>
        </w:rPr>
        <w:tab/>
        <w:t>Se trata de una acción civil del padre contra su hijo o viceversa.</w:t>
      </w:r>
    </w:p>
    <w:p w14:paraId="7AA117E6"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(2)</w:t>
      </w:r>
      <w:r w:rsidRPr="00C92367">
        <w:rPr>
          <w:rFonts w:ascii="Book Antiqua" w:hAnsi="Book Antiqua"/>
          <w:lang w:val="es-ES_tradnl"/>
        </w:rPr>
        <w:tab/>
        <w:t>Se trata de un procedimiento criminal en el cual uno de ellos es acusado de:</w:t>
      </w:r>
    </w:p>
    <w:p w14:paraId="111ECECA" w14:textId="77777777" w:rsidR="00C92367" w:rsidRPr="00C92367" w:rsidRDefault="00C92367" w:rsidP="003A717C">
      <w:pPr>
        <w:spacing w:line="480" w:lineRule="auto"/>
        <w:ind w:left="2880" w:hanging="720"/>
        <w:jc w:val="both"/>
        <w:rPr>
          <w:rFonts w:ascii="Book Antiqua" w:hAnsi="Book Antiqua"/>
          <w:lang w:val="es-ES_tradnl"/>
        </w:rPr>
      </w:pPr>
      <w:r w:rsidRPr="00C92367">
        <w:rPr>
          <w:rFonts w:ascii="Book Antiqua" w:hAnsi="Book Antiqua"/>
          <w:lang w:val="es-ES_tradnl"/>
        </w:rPr>
        <w:t>(i)</w:t>
      </w:r>
      <w:r w:rsidRPr="00C92367">
        <w:rPr>
          <w:rFonts w:ascii="Book Antiqua" w:hAnsi="Book Antiqua"/>
          <w:lang w:val="es-ES_tradnl"/>
        </w:rPr>
        <w:tab/>
        <w:t xml:space="preserve">un delito cometido contra la persona o la propiedad de uno de ellos; </w:t>
      </w:r>
    </w:p>
    <w:p w14:paraId="65EFD527" w14:textId="77777777" w:rsidR="00C92367" w:rsidRPr="00C92367" w:rsidRDefault="00C92367" w:rsidP="003A717C">
      <w:pPr>
        <w:spacing w:line="480" w:lineRule="auto"/>
        <w:ind w:left="2880" w:hanging="720"/>
        <w:jc w:val="both"/>
        <w:rPr>
          <w:rFonts w:ascii="Book Antiqua" w:hAnsi="Book Antiqua"/>
          <w:lang w:val="es-ES_tradnl"/>
        </w:rPr>
      </w:pPr>
      <w:r w:rsidRPr="00C92367">
        <w:rPr>
          <w:rFonts w:ascii="Book Antiqua" w:hAnsi="Book Antiqua"/>
          <w:lang w:val="es-ES_tradnl"/>
        </w:rPr>
        <w:t>(ii)</w:t>
      </w:r>
      <w:r w:rsidRPr="00C92367">
        <w:rPr>
          <w:rFonts w:ascii="Book Antiqua" w:hAnsi="Book Antiqua"/>
          <w:lang w:val="es-ES_tradnl"/>
        </w:rPr>
        <w:tab/>
        <w:t>un delito cometido contra la persona o la propiedad de parientes dentro del tercer grado por consanguinidad de cualquiera de los privilegiados; y</w:t>
      </w:r>
    </w:p>
    <w:p w14:paraId="3CD114BB" w14:textId="77777777" w:rsidR="00C92367" w:rsidRPr="00C92367" w:rsidRDefault="00C92367" w:rsidP="003A717C">
      <w:pPr>
        <w:spacing w:line="480" w:lineRule="auto"/>
        <w:ind w:left="2880" w:hanging="720"/>
        <w:jc w:val="both"/>
        <w:rPr>
          <w:rFonts w:ascii="Book Antiqua" w:hAnsi="Book Antiqua"/>
          <w:lang w:val="es-ES_tradnl"/>
        </w:rPr>
      </w:pPr>
      <w:r w:rsidRPr="00C92367">
        <w:rPr>
          <w:rFonts w:ascii="Book Antiqua" w:hAnsi="Book Antiqua"/>
          <w:lang w:val="es-ES_tradnl"/>
        </w:rPr>
        <w:lastRenderedPageBreak/>
        <w:t>(iii)</w:t>
      </w:r>
      <w:r w:rsidRPr="00C92367">
        <w:rPr>
          <w:rFonts w:ascii="Book Antiqua" w:hAnsi="Book Antiqua"/>
          <w:lang w:val="es-ES_tradnl"/>
        </w:rPr>
        <w:tab/>
        <w:t>un delito cometido contra la persona o propiedad de un tercero mientras cometía un delito contra la persona o propiedad de uno de los privilegiados.</w:t>
      </w:r>
    </w:p>
    <w:p w14:paraId="3C15226D"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(3)</w:t>
      </w:r>
      <w:r w:rsidRPr="00C92367">
        <w:rPr>
          <w:rFonts w:ascii="Book Antiqua" w:hAnsi="Book Antiqua"/>
          <w:lang w:val="es-ES_tradnl"/>
        </w:rPr>
        <w:tab/>
        <w:t>Se trata de un procedimiento judicial bajo la Ley de Menores o de una acción sobre custodia de menores.</w:t>
      </w:r>
    </w:p>
    <w:p w14:paraId="11D676EF"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(4)</w:t>
      </w:r>
      <w:r w:rsidRPr="00C92367">
        <w:rPr>
          <w:rFonts w:ascii="Book Antiqua" w:hAnsi="Book Antiqua"/>
          <w:lang w:val="es-ES_tradnl"/>
        </w:rPr>
        <w:tab/>
        <w:t xml:space="preserve">Se trata de un procedimiento judicial sobre desheredación, abandono, </w:t>
      </w:r>
      <w:r w:rsidRPr="00C92367">
        <w:rPr>
          <w:rFonts w:ascii="Book Antiqua" w:hAnsi="Book Antiqua"/>
          <w:lang w:val="es-ES"/>
        </w:rPr>
        <w:t>relaciones filiales</w:t>
      </w:r>
      <w:r w:rsidRPr="00C92367">
        <w:rPr>
          <w:rFonts w:ascii="Book Antiqua" w:hAnsi="Book Antiqua"/>
          <w:lang w:val="es-ES_tradnl"/>
        </w:rPr>
        <w:t xml:space="preserve"> y pensiones alimentarias.</w:t>
      </w:r>
    </w:p>
    <w:p w14:paraId="6B9D5F4D"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(5)</w:t>
      </w:r>
      <w:r w:rsidRPr="00C92367">
        <w:rPr>
          <w:rFonts w:ascii="Book Antiqua" w:hAnsi="Book Antiqua"/>
          <w:lang w:val="es-ES_tradnl"/>
        </w:rPr>
        <w:tab/>
        <w:t xml:space="preserve">Se trata de un procedimiento judicial sobre </w:t>
      </w:r>
      <w:r w:rsidRPr="00C92367">
        <w:rPr>
          <w:rFonts w:ascii="Book Antiqua" w:hAnsi="Book Antiqua"/>
          <w:lang w:val="es-ES"/>
        </w:rPr>
        <w:t xml:space="preserve">maltrato de menores o violencia doméstica. </w:t>
      </w:r>
    </w:p>
    <w:p w14:paraId="0F5DFAD2"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 xml:space="preserve">(6) </w:t>
      </w:r>
      <w:r w:rsidRPr="00C92367">
        <w:rPr>
          <w:rFonts w:ascii="Book Antiqua" w:hAnsi="Book Antiqua"/>
          <w:lang w:val="es-ES_tradnl"/>
        </w:rPr>
        <w:tab/>
        <w:t>Se trata de un procedimiento criminal y la comunicación se ofrece en evidencia por un acusado que es uno de los privilegiados conforme esta Regla, entre los cuales se hizo la comunicación.</w:t>
      </w:r>
    </w:p>
    <w:p w14:paraId="236C08DB"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(7)</w:t>
      </w:r>
      <w:r w:rsidRPr="00C92367">
        <w:rPr>
          <w:rFonts w:ascii="Book Antiqua" w:hAnsi="Book Antiqua"/>
          <w:lang w:val="es-ES_tradnl"/>
        </w:rPr>
        <w:tab/>
        <w:t>Se trata de un pleito incoado por o a nombre de cualquiera de los privilegiados en esta Regla, con el propósito de establecer su capacidad.</w:t>
      </w:r>
    </w:p>
    <w:p w14:paraId="029C86BD"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(8)</w:t>
      </w:r>
      <w:r w:rsidRPr="00C92367">
        <w:rPr>
          <w:rFonts w:ascii="Book Antiqua" w:hAnsi="Book Antiqua"/>
          <w:lang w:val="es-ES_tradnl"/>
        </w:rPr>
        <w:tab/>
        <w:t>Se trata de un procedimiento para incluir a cualquiera de los privilegiados en esta Regla, o de otra forma, ponerlos a él o a su propiedad, o ambos, bajo el control de otro por motivo de su alegada condición física o mental.</w:t>
      </w:r>
    </w:p>
    <w:p w14:paraId="49E9B795"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(9)</w:t>
      </w:r>
      <w:r w:rsidRPr="00C92367">
        <w:rPr>
          <w:rFonts w:ascii="Book Antiqua" w:hAnsi="Book Antiqua"/>
          <w:lang w:val="es-ES_tradnl"/>
        </w:rPr>
        <w:tab/>
        <w:t>La comunicación fue hecha, total o parcialmente, con el propósito de hacer posible o ayudar a cualquier persona a cometer o planear la comisión de un delito, acto torticero o fraude.</w:t>
      </w:r>
    </w:p>
    <w:p w14:paraId="2634AE71" w14:textId="77777777" w:rsidR="00C92367" w:rsidRPr="00C92367" w:rsidRDefault="00C92367" w:rsidP="00C92367">
      <w:pPr>
        <w:spacing w:line="480" w:lineRule="auto"/>
        <w:ind w:firstLine="720"/>
        <w:jc w:val="both"/>
        <w:rPr>
          <w:rFonts w:ascii="Book Antiqua" w:hAnsi="Book Antiqua"/>
          <w:lang w:val="es-ES_tradnl"/>
        </w:rPr>
      </w:pPr>
      <w:r w:rsidRPr="00C92367">
        <w:rPr>
          <w:rFonts w:ascii="Book Antiqua" w:hAnsi="Book Antiqua"/>
          <w:lang w:val="es-ES_tradnl"/>
        </w:rPr>
        <w:lastRenderedPageBreak/>
        <w:t>(D)</w:t>
      </w:r>
      <w:r w:rsidRPr="00C92367">
        <w:rPr>
          <w:rFonts w:ascii="Book Antiqua" w:hAnsi="Book Antiqua"/>
          <w:lang w:val="es-ES_tradnl"/>
        </w:rPr>
        <w:tab/>
        <w:t>Renuncia del Privilegio</w:t>
      </w:r>
    </w:p>
    <w:p w14:paraId="4E14F154" w14:textId="38600B12"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 xml:space="preserve">(1) </w:t>
      </w:r>
      <w:r w:rsidRPr="00C92367">
        <w:rPr>
          <w:rFonts w:ascii="Book Antiqua" w:hAnsi="Book Antiqua"/>
          <w:lang w:val="es-ES_tradnl"/>
        </w:rPr>
        <w:tab/>
        <w:t>Salvo que hubiera sido erróneamente compelida a hacerlo, un padre o hijo que testifica en un procedimiento en el que es parte uno de ellos, o que testifica contra el otro en cualquier procedimiento, no tiene el privilegio reconocido en esta Regla en el procedimiento en el que presta ese testimonio. Para que se produzca una renuncia válida de acuerdo con este inciso, el padre o hijo debe ser advertido previamente por las autoridades pertinentes de la existencia del privilegio y de su derecho a invocarlo</w:t>
      </w:r>
      <w:r w:rsidR="00066820">
        <w:rPr>
          <w:rFonts w:ascii="Book Antiqua" w:hAnsi="Book Antiqua"/>
          <w:lang w:val="es-ES_tradnl"/>
        </w:rPr>
        <w:t xml:space="preserve"> voluntariamente</w:t>
      </w:r>
      <w:r w:rsidRPr="00C92367">
        <w:rPr>
          <w:rFonts w:ascii="Book Antiqua" w:hAnsi="Book Antiqua"/>
          <w:lang w:val="es-ES_tradnl"/>
        </w:rPr>
        <w:t>.</w:t>
      </w:r>
    </w:p>
    <w:p w14:paraId="147AF9E9" w14:textId="77777777" w:rsidR="00C92367" w:rsidRPr="00C92367" w:rsidRDefault="00C92367" w:rsidP="003A717C">
      <w:pPr>
        <w:spacing w:line="480" w:lineRule="auto"/>
        <w:ind w:left="2160" w:hanging="720"/>
        <w:jc w:val="both"/>
        <w:rPr>
          <w:rFonts w:ascii="Book Antiqua" w:hAnsi="Book Antiqua"/>
          <w:lang w:val="es-ES_tradnl"/>
        </w:rPr>
      </w:pPr>
      <w:r w:rsidRPr="00C92367">
        <w:rPr>
          <w:rFonts w:ascii="Book Antiqua" w:hAnsi="Book Antiqua"/>
          <w:lang w:val="es-ES_tradnl"/>
        </w:rPr>
        <w:t xml:space="preserve">(2) </w:t>
      </w:r>
      <w:r w:rsidRPr="00C92367">
        <w:rPr>
          <w:rFonts w:ascii="Book Antiqua" w:hAnsi="Book Antiqua"/>
          <w:lang w:val="es-ES_tradnl"/>
        </w:rPr>
        <w:tab/>
        <w:t>No existe el privilegio bajo esta Regla en una acción civil instada o defendida por un padre o hijo para el beneficio inmediato de uno de ellos o de ambos."</w:t>
      </w:r>
    </w:p>
    <w:p w14:paraId="4CD223AE" w14:textId="77777777" w:rsidR="00534854" w:rsidRPr="00C92367" w:rsidRDefault="00C92367" w:rsidP="00C92367">
      <w:pPr>
        <w:spacing w:line="480" w:lineRule="auto"/>
        <w:ind w:firstLine="720"/>
        <w:jc w:val="both"/>
        <w:rPr>
          <w:rFonts w:ascii="Book Antiqua" w:hAnsi="Book Antiqua"/>
          <w:lang w:val="es-ES_tradnl"/>
        </w:rPr>
      </w:pPr>
      <w:r w:rsidRPr="00C92367">
        <w:rPr>
          <w:rFonts w:ascii="Book Antiqua" w:hAnsi="Book Antiqua"/>
          <w:lang w:val="es-ES_tradnl"/>
        </w:rPr>
        <w:t xml:space="preserve">Artículo </w:t>
      </w:r>
      <w:r w:rsidR="005E5A55">
        <w:rPr>
          <w:rFonts w:ascii="Book Antiqua" w:hAnsi="Book Antiqua"/>
          <w:lang w:val="es-ES_tradnl"/>
        </w:rPr>
        <w:t>2</w:t>
      </w:r>
      <w:r w:rsidRPr="00C92367">
        <w:rPr>
          <w:rFonts w:ascii="Book Antiqua" w:hAnsi="Book Antiqua"/>
          <w:lang w:val="es-ES_tradnl"/>
        </w:rPr>
        <w:t>.-Esta Ley comenzará a regir inmediatamente después de su aprobación.</w:t>
      </w:r>
      <w:bookmarkEnd w:id="1"/>
      <w:bookmarkEnd w:id="2"/>
    </w:p>
    <w:sectPr w:rsidR="00534854" w:rsidRPr="00C92367" w:rsidSect="005C430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4E3A0" w14:textId="77777777" w:rsidR="00E56CBE" w:rsidRDefault="00E56CBE">
      <w:r>
        <w:separator/>
      </w:r>
    </w:p>
  </w:endnote>
  <w:endnote w:type="continuationSeparator" w:id="0">
    <w:p w14:paraId="58DBB318" w14:textId="77777777" w:rsidR="00E56CBE" w:rsidRDefault="00E5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7A9C5" w14:textId="77777777" w:rsidR="00E56CBE" w:rsidRDefault="00E56CBE">
      <w:r>
        <w:separator/>
      </w:r>
    </w:p>
  </w:footnote>
  <w:footnote w:type="continuationSeparator" w:id="0">
    <w:p w14:paraId="1B15F04B" w14:textId="77777777" w:rsidR="00E56CBE" w:rsidRDefault="00E56CBE">
      <w:r>
        <w:continuationSeparator/>
      </w:r>
    </w:p>
  </w:footnote>
  <w:footnote w:id="1">
    <w:p w14:paraId="3F428F63" w14:textId="77777777" w:rsidR="006D3108" w:rsidRPr="006D3108" w:rsidRDefault="006D3108" w:rsidP="006D3108">
      <w:pPr>
        <w:pStyle w:val="FootnoteText"/>
        <w:jc w:val="both"/>
        <w:rPr>
          <w:lang w:val="es-PR"/>
        </w:rPr>
      </w:pPr>
      <w:r>
        <w:rPr>
          <w:rStyle w:val="FootnoteReference"/>
        </w:rPr>
        <w:footnoteRef/>
      </w:r>
      <w:r w:rsidRPr="006D3108">
        <w:rPr>
          <w:lang w:val="es-PR"/>
        </w:rPr>
        <w:t xml:space="preserve"> Ernesto Chiesa, </w:t>
      </w:r>
      <w:r w:rsidRPr="006D3108">
        <w:rPr>
          <w:i/>
          <w:lang w:val="es-PR"/>
        </w:rPr>
        <w:t>Tratado De Derecho Probatorio</w:t>
      </w:r>
      <w:r w:rsidRPr="006D3108">
        <w:rPr>
          <w:lang w:val="es-PR"/>
        </w:rPr>
        <w:t xml:space="preserve"> (Editora Corripio, C. Por A., 1998) (discutiendo la necesidad de las reglas de exclusión de evidencia).</w:t>
      </w:r>
    </w:p>
  </w:footnote>
  <w:footnote w:id="2">
    <w:p w14:paraId="77839F5B" w14:textId="77777777" w:rsidR="006D3108" w:rsidRPr="006D3108" w:rsidRDefault="006D3108" w:rsidP="006D3108">
      <w:pPr>
        <w:pStyle w:val="FootnoteText"/>
        <w:jc w:val="both"/>
      </w:pPr>
      <w:r>
        <w:rPr>
          <w:rStyle w:val="FootnoteReference"/>
        </w:rPr>
        <w:footnoteRef/>
      </w:r>
      <w:r>
        <w:t xml:space="preserve"> </w:t>
      </w:r>
      <w:r w:rsidRPr="006D3108">
        <w:t xml:space="preserve">John Henry Wigmore, </w:t>
      </w:r>
      <w:r w:rsidRPr="006D3108">
        <w:rPr>
          <w:i/>
        </w:rPr>
        <w:t>Evid</w:t>
      </w:r>
      <w:r>
        <w:rPr>
          <w:i/>
        </w:rPr>
        <w:t xml:space="preserve">ence </w:t>
      </w:r>
      <w:proofErr w:type="gramStart"/>
      <w:r>
        <w:rPr>
          <w:i/>
        </w:rPr>
        <w:t>In</w:t>
      </w:r>
      <w:proofErr w:type="gramEnd"/>
      <w:r>
        <w:rPr>
          <w:i/>
        </w:rPr>
        <w:t xml:space="preserve"> Trials </w:t>
      </w:r>
      <w:proofErr w:type="gramStart"/>
      <w:r>
        <w:rPr>
          <w:i/>
        </w:rPr>
        <w:t>At</w:t>
      </w:r>
      <w:proofErr w:type="gramEnd"/>
      <w:r>
        <w:rPr>
          <w:i/>
        </w:rPr>
        <w:t xml:space="preserve"> Common Law</w:t>
      </w:r>
      <w:r w:rsidRPr="006D3108">
        <w:t xml:space="preserve"> (Supp. 1999, 1961)</w:t>
      </w:r>
      <w:r>
        <w:t>.</w:t>
      </w:r>
    </w:p>
  </w:footnote>
  <w:footnote w:id="3">
    <w:p w14:paraId="0F855076" w14:textId="77777777" w:rsidR="006D3108" w:rsidRPr="00242AF4" w:rsidRDefault="006D3108" w:rsidP="006D3108">
      <w:pPr>
        <w:pStyle w:val="FootnoteText"/>
        <w:jc w:val="both"/>
      </w:pPr>
      <w:r>
        <w:rPr>
          <w:rStyle w:val="FootnoteReference"/>
        </w:rPr>
        <w:footnoteRef/>
      </w:r>
      <w:r w:rsidRPr="00242AF4">
        <w:t xml:space="preserve"> Ernesto Chiesa, </w:t>
      </w:r>
      <w:r w:rsidRPr="00242AF4">
        <w:rPr>
          <w:i/>
        </w:rPr>
        <w:t xml:space="preserve">Tratado De Derecho Probatorio </w:t>
      </w:r>
      <w:r w:rsidRPr="00242AF4">
        <w:t xml:space="preserve">(Editora Corripio, C. Por A., 1998). </w:t>
      </w:r>
    </w:p>
  </w:footnote>
  <w:footnote w:id="4">
    <w:p w14:paraId="086C6FA6" w14:textId="77777777" w:rsidR="00AD7A68" w:rsidRPr="00B425F1" w:rsidRDefault="00AD7A68" w:rsidP="00AD7A68">
      <w:pPr>
        <w:autoSpaceDE w:val="0"/>
        <w:autoSpaceDN w:val="0"/>
        <w:adjustRightInd w:val="0"/>
        <w:ind w:left="180" w:hanging="180"/>
        <w:jc w:val="both"/>
        <w:rPr>
          <w:sz w:val="20"/>
        </w:rPr>
      </w:pPr>
      <w:r w:rsidRPr="00A81162">
        <w:rPr>
          <w:rStyle w:val="FootnoteReference"/>
          <w:sz w:val="20"/>
        </w:rPr>
        <w:footnoteRef/>
      </w:r>
      <w:r w:rsidRPr="00A81162">
        <w:rPr>
          <w:sz w:val="20"/>
        </w:rPr>
        <w:t xml:space="preserve">  1028 USCA Sec 659 Federal Rules of Evidence 501 (The privilege of a witness... shall be governed by the principles of the common law as they may be interpreted by the courts of the United States in the light of reason and experience.)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CE814" w14:textId="77777777" w:rsidR="00734F6D" w:rsidRDefault="00734F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8503D48" w14:textId="77777777" w:rsidR="00734F6D" w:rsidRDefault="00734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E0D5" w14:textId="77777777" w:rsidR="00734F6D" w:rsidRPr="00AE14D7" w:rsidRDefault="00734F6D">
    <w:pPr>
      <w:pStyle w:val="Header"/>
      <w:framePr w:wrap="around" w:vAnchor="text" w:hAnchor="margin" w:xAlign="center" w:y="1"/>
      <w:rPr>
        <w:rStyle w:val="PageNumber"/>
        <w:rFonts w:ascii="Book Antiqua" w:hAnsi="Book Antiqua"/>
        <w:szCs w:val="24"/>
      </w:rPr>
    </w:pPr>
    <w:r w:rsidRPr="00AE14D7">
      <w:rPr>
        <w:rStyle w:val="PageNumber"/>
        <w:rFonts w:ascii="Book Antiqua" w:hAnsi="Book Antiqua"/>
        <w:szCs w:val="24"/>
      </w:rPr>
      <w:fldChar w:fldCharType="begin"/>
    </w:r>
    <w:r w:rsidRPr="00AE14D7">
      <w:rPr>
        <w:rStyle w:val="PageNumber"/>
        <w:rFonts w:ascii="Book Antiqua" w:hAnsi="Book Antiqua"/>
        <w:szCs w:val="24"/>
      </w:rPr>
      <w:instrText xml:space="preserve">PAGE  </w:instrText>
    </w:r>
    <w:r w:rsidRPr="00AE14D7">
      <w:rPr>
        <w:rStyle w:val="PageNumber"/>
        <w:rFonts w:ascii="Book Antiqua" w:hAnsi="Book Antiqua"/>
        <w:szCs w:val="24"/>
      </w:rPr>
      <w:fldChar w:fldCharType="separate"/>
    </w:r>
    <w:r w:rsidR="00404571">
      <w:rPr>
        <w:rStyle w:val="PageNumber"/>
        <w:rFonts w:ascii="Book Antiqua" w:hAnsi="Book Antiqua"/>
        <w:noProof/>
        <w:szCs w:val="24"/>
      </w:rPr>
      <w:t>3</w:t>
    </w:r>
    <w:r w:rsidRPr="00AE14D7">
      <w:rPr>
        <w:rStyle w:val="PageNumber"/>
        <w:rFonts w:ascii="Book Antiqua" w:hAnsi="Book Antiqua"/>
        <w:szCs w:val="24"/>
      </w:rPr>
      <w:fldChar w:fldCharType="end"/>
    </w:r>
  </w:p>
  <w:p w14:paraId="0D382F43" w14:textId="77777777" w:rsidR="00734F6D" w:rsidRDefault="00734F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8B31" w14:textId="77777777" w:rsidR="009334B2" w:rsidRDefault="009334B2">
    <w:pPr>
      <w:pStyle w:val="Header"/>
      <w:jc w:val="center"/>
    </w:pPr>
    <w:r>
      <w:rPr>
        <w:rStyle w:val="PageNumber"/>
      </w:rPr>
      <w:fldChar w:fldCharType="begin"/>
    </w:r>
    <w:r>
      <w:rPr>
        <w:rStyle w:val="PageNumber"/>
      </w:rPr>
      <w:instrText xml:space="preserve"> PAGE </w:instrText>
    </w:r>
    <w:r>
      <w:rPr>
        <w:rStyle w:val="PageNumber"/>
      </w:rPr>
      <w:fldChar w:fldCharType="separate"/>
    </w:r>
    <w:r w:rsidR="0040457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0D48D2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943AB"/>
    <w:multiLevelType w:val="multilevel"/>
    <w:tmpl w:val="BC84884C"/>
    <w:lvl w:ilvl="0">
      <w:start w:val="1"/>
      <w:numFmt w:val="decimal"/>
      <w:lvlText w:val="%1."/>
      <w:lvlJc w:val="left"/>
      <w:pPr>
        <w:tabs>
          <w:tab w:val="num" w:pos="1800"/>
        </w:tabs>
        <w:ind w:left="1800" w:hanging="360"/>
      </w:pPr>
      <w:rPr>
        <w:rFonts w:hint="default"/>
      </w:rPr>
    </w:lvl>
    <w:lvl w:ilvl="1" w:tentative="1">
      <w:start w:val="1"/>
      <w:numFmt w:val="lowerLetter"/>
      <w:lvlText w:val="%2."/>
      <w:lvlJc w:val="left"/>
      <w:pPr>
        <w:tabs>
          <w:tab w:val="num" w:pos="6480"/>
        </w:tabs>
        <w:ind w:left="6480" w:hanging="360"/>
      </w:pPr>
    </w:lvl>
    <w:lvl w:ilvl="2" w:tentative="1">
      <w:start w:val="1"/>
      <w:numFmt w:val="lowerRoman"/>
      <w:lvlText w:val="%3."/>
      <w:lvlJc w:val="right"/>
      <w:pPr>
        <w:tabs>
          <w:tab w:val="num" w:pos="7200"/>
        </w:tabs>
        <w:ind w:left="7200" w:hanging="180"/>
      </w:pPr>
    </w:lvl>
    <w:lvl w:ilvl="3" w:tentative="1">
      <w:start w:val="1"/>
      <w:numFmt w:val="decimal"/>
      <w:lvlText w:val="%4."/>
      <w:lvlJc w:val="left"/>
      <w:pPr>
        <w:tabs>
          <w:tab w:val="num" w:pos="7920"/>
        </w:tabs>
        <w:ind w:left="7920" w:hanging="360"/>
      </w:pPr>
    </w:lvl>
    <w:lvl w:ilvl="4" w:tentative="1">
      <w:start w:val="1"/>
      <w:numFmt w:val="lowerLetter"/>
      <w:lvlText w:val="%5."/>
      <w:lvlJc w:val="left"/>
      <w:pPr>
        <w:tabs>
          <w:tab w:val="num" w:pos="8640"/>
        </w:tabs>
        <w:ind w:left="8640" w:hanging="360"/>
      </w:pPr>
    </w:lvl>
    <w:lvl w:ilvl="5" w:tentative="1">
      <w:start w:val="1"/>
      <w:numFmt w:val="lowerRoman"/>
      <w:lvlText w:val="%6."/>
      <w:lvlJc w:val="right"/>
      <w:pPr>
        <w:tabs>
          <w:tab w:val="num" w:pos="9360"/>
        </w:tabs>
        <w:ind w:left="9360" w:hanging="180"/>
      </w:pPr>
    </w:lvl>
    <w:lvl w:ilvl="6" w:tentative="1">
      <w:start w:val="1"/>
      <w:numFmt w:val="decimal"/>
      <w:lvlText w:val="%7."/>
      <w:lvlJc w:val="left"/>
      <w:pPr>
        <w:tabs>
          <w:tab w:val="num" w:pos="10080"/>
        </w:tabs>
        <w:ind w:left="10080" w:hanging="360"/>
      </w:pPr>
    </w:lvl>
    <w:lvl w:ilvl="7" w:tentative="1">
      <w:start w:val="1"/>
      <w:numFmt w:val="lowerLetter"/>
      <w:lvlText w:val="%8."/>
      <w:lvlJc w:val="left"/>
      <w:pPr>
        <w:tabs>
          <w:tab w:val="num" w:pos="10800"/>
        </w:tabs>
        <w:ind w:left="10800" w:hanging="360"/>
      </w:pPr>
    </w:lvl>
    <w:lvl w:ilvl="8" w:tentative="1">
      <w:start w:val="1"/>
      <w:numFmt w:val="lowerRoman"/>
      <w:lvlText w:val="%9."/>
      <w:lvlJc w:val="right"/>
      <w:pPr>
        <w:tabs>
          <w:tab w:val="num" w:pos="11520"/>
        </w:tabs>
        <w:ind w:left="11520" w:hanging="180"/>
      </w:pPr>
    </w:lvl>
  </w:abstractNum>
  <w:abstractNum w:abstractNumId="2" w15:restartNumberingAfterBreak="0">
    <w:nsid w:val="08A30D47"/>
    <w:multiLevelType w:val="hybridMultilevel"/>
    <w:tmpl w:val="C60AEA20"/>
    <w:lvl w:ilvl="0" w:tplc="719600BE">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C540702"/>
    <w:multiLevelType w:val="multilevel"/>
    <w:tmpl w:val="0E3C6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4F2337"/>
    <w:multiLevelType w:val="hybridMultilevel"/>
    <w:tmpl w:val="013256CC"/>
    <w:lvl w:ilvl="0" w:tplc="121E6D20">
      <w:start w:val="1"/>
      <w:numFmt w:val="lowerLetter"/>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C345B1B"/>
    <w:multiLevelType w:val="hybridMultilevel"/>
    <w:tmpl w:val="AEAEE3B0"/>
    <w:lvl w:ilvl="0" w:tplc="FFFFFFFF">
      <w:start w:val="1"/>
      <w:numFmt w:val="decimal"/>
      <w:lvlText w:val="%1."/>
      <w:lvlJc w:val="left"/>
      <w:pPr>
        <w:tabs>
          <w:tab w:val="num" w:pos="5760"/>
        </w:tabs>
        <w:ind w:left="5760" w:hanging="360"/>
      </w:pPr>
      <w:rPr>
        <w:rFonts w:hint="default"/>
      </w:rPr>
    </w:lvl>
    <w:lvl w:ilvl="1" w:tplc="FFFFFFFF" w:tentative="1">
      <w:start w:val="1"/>
      <w:numFmt w:val="lowerLetter"/>
      <w:lvlText w:val="%2."/>
      <w:lvlJc w:val="left"/>
      <w:pPr>
        <w:tabs>
          <w:tab w:val="num" w:pos="6480"/>
        </w:tabs>
        <w:ind w:left="6480" w:hanging="360"/>
      </w:pPr>
    </w:lvl>
    <w:lvl w:ilvl="2" w:tplc="FFFFFFFF" w:tentative="1">
      <w:start w:val="1"/>
      <w:numFmt w:val="lowerRoman"/>
      <w:lvlText w:val="%3."/>
      <w:lvlJc w:val="right"/>
      <w:pPr>
        <w:tabs>
          <w:tab w:val="num" w:pos="7200"/>
        </w:tabs>
        <w:ind w:left="7200" w:hanging="180"/>
      </w:pPr>
    </w:lvl>
    <w:lvl w:ilvl="3" w:tplc="FFFFFFFF" w:tentative="1">
      <w:start w:val="1"/>
      <w:numFmt w:val="decimal"/>
      <w:lvlText w:val="%4."/>
      <w:lvlJc w:val="left"/>
      <w:pPr>
        <w:tabs>
          <w:tab w:val="num" w:pos="7920"/>
        </w:tabs>
        <w:ind w:left="7920" w:hanging="360"/>
      </w:pPr>
    </w:lvl>
    <w:lvl w:ilvl="4" w:tplc="FFFFFFFF" w:tentative="1">
      <w:start w:val="1"/>
      <w:numFmt w:val="lowerLetter"/>
      <w:lvlText w:val="%5."/>
      <w:lvlJc w:val="left"/>
      <w:pPr>
        <w:tabs>
          <w:tab w:val="num" w:pos="8640"/>
        </w:tabs>
        <w:ind w:left="8640" w:hanging="360"/>
      </w:pPr>
    </w:lvl>
    <w:lvl w:ilvl="5" w:tplc="FFFFFFFF" w:tentative="1">
      <w:start w:val="1"/>
      <w:numFmt w:val="lowerRoman"/>
      <w:lvlText w:val="%6."/>
      <w:lvlJc w:val="right"/>
      <w:pPr>
        <w:tabs>
          <w:tab w:val="num" w:pos="9360"/>
        </w:tabs>
        <w:ind w:left="9360" w:hanging="180"/>
      </w:pPr>
    </w:lvl>
    <w:lvl w:ilvl="6" w:tplc="FFFFFFFF" w:tentative="1">
      <w:start w:val="1"/>
      <w:numFmt w:val="decimal"/>
      <w:lvlText w:val="%7."/>
      <w:lvlJc w:val="left"/>
      <w:pPr>
        <w:tabs>
          <w:tab w:val="num" w:pos="10080"/>
        </w:tabs>
        <w:ind w:left="10080" w:hanging="360"/>
      </w:pPr>
    </w:lvl>
    <w:lvl w:ilvl="7" w:tplc="FFFFFFFF" w:tentative="1">
      <w:start w:val="1"/>
      <w:numFmt w:val="lowerLetter"/>
      <w:lvlText w:val="%8."/>
      <w:lvlJc w:val="left"/>
      <w:pPr>
        <w:tabs>
          <w:tab w:val="num" w:pos="10800"/>
        </w:tabs>
        <w:ind w:left="10800" w:hanging="360"/>
      </w:pPr>
    </w:lvl>
    <w:lvl w:ilvl="8" w:tplc="FFFFFFFF" w:tentative="1">
      <w:start w:val="1"/>
      <w:numFmt w:val="lowerRoman"/>
      <w:lvlText w:val="%9."/>
      <w:lvlJc w:val="right"/>
      <w:pPr>
        <w:tabs>
          <w:tab w:val="num" w:pos="11520"/>
        </w:tabs>
        <w:ind w:left="11520" w:hanging="180"/>
      </w:pPr>
    </w:lvl>
  </w:abstractNum>
  <w:abstractNum w:abstractNumId="6" w15:restartNumberingAfterBreak="0">
    <w:nsid w:val="4A8D590B"/>
    <w:multiLevelType w:val="multilevel"/>
    <w:tmpl w:val="9BBAC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91A7FB8"/>
    <w:multiLevelType w:val="hybridMultilevel"/>
    <w:tmpl w:val="404C0114"/>
    <w:lvl w:ilvl="0" w:tplc="B0EE4A28">
      <w:start w:val="1"/>
      <w:numFmt w:val="lowerLetter"/>
      <w:lvlText w:val="(%1)"/>
      <w:lvlJc w:val="left"/>
      <w:pPr>
        <w:ind w:left="1545" w:hanging="765"/>
      </w:pPr>
      <w:rPr>
        <w:rFonts w:hint="default"/>
      </w:rPr>
    </w:lvl>
    <w:lvl w:ilvl="1" w:tplc="6A0E2170">
      <w:start w:val="1"/>
      <w:numFmt w:val="decimal"/>
      <w:lvlText w:val="(%2)"/>
      <w:lvlJc w:val="left"/>
      <w:pPr>
        <w:ind w:left="1860" w:hanging="360"/>
      </w:pPr>
      <w:rPr>
        <w:rFonts w:hint="default"/>
      </w:r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8" w15:restartNumberingAfterBreak="0">
    <w:nsid w:val="68892A16"/>
    <w:multiLevelType w:val="multilevel"/>
    <w:tmpl w:val="5C2C79BC"/>
    <w:lvl w:ilvl="0">
      <w:start w:val="1"/>
      <w:numFmt w:val="decimal"/>
      <w:lvlText w:val="%1."/>
      <w:lvlJc w:val="left"/>
      <w:pPr>
        <w:tabs>
          <w:tab w:val="num" w:pos="720"/>
        </w:tabs>
        <w:ind w:left="720" w:hanging="360"/>
      </w:pPr>
      <w:rPr>
        <w:lang w:val="es-E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9922248">
    <w:abstractNumId w:val="4"/>
  </w:num>
  <w:num w:numId="2" w16cid:durableId="974140597">
    <w:abstractNumId w:val="6"/>
  </w:num>
  <w:num w:numId="3" w16cid:durableId="1732342256">
    <w:abstractNumId w:val="8"/>
  </w:num>
  <w:num w:numId="4" w16cid:durableId="1484157326">
    <w:abstractNumId w:val="3"/>
  </w:num>
  <w:num w:numId="5" w16cid:durableId="1444962114">
    <w:abstractNumId w:val="1"/>
  </w:num>
  <w:num w:numId="6" w16cid:durableId="2090733870">
    <w:abstractNumId w:val="5"/>
  </w:num>
  <w:num w:numId="7" w16cid:durableId="2018263726">
    <w:abstractNumId w:val="0"/>
  </w:num>
  <w:num w:numId="8" w16cid:durableId="721832854">
    <w:abstractNumId w:val="7"/>
  </w:num>
  <w:num w:numId="9" w16cid:durableId="423457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54B95"/>
    <w:rsid w:val="0001389B"/>
    <w:rsid w:val="000157D6"/>
    <w:rsid w:val="000236D7"/>
    <w:rsid w:val="00052118"/>
    <w:rsid w:val="00057960"/>
    <w:rsid w:val="00061815"/>
    <w:rsid w:val="00066820"/>
    <w:rsid w:val="00082F9C"/>
    <w:rsid w:val="000837AF"/>
    <w:rsid w:val="000A7930"/>
    <w:rsid w:val="000B3342"/>
    <w:rsid w:val="000C1E43"/>
    <w:rsid w:val="001173A6"/>
    <w:rsid w:val="0012434A"/>
    <w:rsid w:val="0013326C"/>
    <w:rsid w:val="00133F31"/>
    <w:rsid w:val="00143C3F"/>
    <w:rsid w:val="00144549"/>
    <w:rsid w:val="00145A8B"/>
    <w:rsid w:val="001618DD"/>
    <w:rsid w:val="00165DBA"/>
    <w:rsid w:val="00167227"/>
    <w:rsid w:val="0016765A"/>
    <w:rsid w:val="001A15BF"/>
    <w:rsid w:val="001B2F06"/>
    <w:rsid w:val="001D1F52"/>
    <w:rsid w:val="001D6ABF"/>
    <w:rsid w:val="001E48B4"/>
    <w:rsid w:val="001E523A"/>
    <w:rsid w:val="001E65EE"/>
    <w:rsid w:val="001F7421"/>
    <w:rsid w:val="00242AF4"/>
    <w:rsid w:val="00247F8C"/>
    <w:rsid w:val="00251EA9"/>
    <w:rsid w:val="002534CE"/>
    <w:rsid w:val="00261054"/>
    <w:rsid w:val="002806DB"/>
    <w:rsid w:val="0029098C"/>
    <w:rsid w:val="002A4945"/>
    <w:rsid w:val="002D325D"/>
    <w:rsid w:val="002D4AA5"/>
    <w:rsid w:val="002D66FB"/>
    <w:rsid w:val="002E0A49"/>
    <w:rsid w:val="002E4034"/>
    <w:rsid w:val="00300EE5"/>
    <w:rsid w:val="003303F9"/>
    <w:rsid w:val="0033299A"/>
    <w:rsid w:val="00335502"/>
    <w:rsid w:val="0034521F"/>
    <w:rsid w:val="00350B14"/>
    <w:rsid w:val="00363077"/>
    <w:rsid w:val="0036428F"/>
    <w:rsid w:val="003727C2"/>
    <w:rsid w:val="00372BC8"/>
    <w:rsid w:val="00376660"/>
    <w:rsid w:val="003870D3"/>
    <w:rsid w:val="00390C0D"/>
    <w:rsid w:val="00391E8A"/>
    <w:rsid w:val="003943C5"/>
    <w:rsid w:val="00394EB8"/>
    <w:rsid w:val="003A717C"/>
    <w:rsid w:val="003B412D"/>
    <w:rsid w:val="003C1180"/>
    <w:rsid w:val="003D3946"/>
    <w:rsid w:val="003E6891"/>
    <w:rsid w:val="00404571"/>
    <w:rsid w:val="00404F04"/>
    <w:rsid w:val="00427E2C"/>
    <w:rsid w:val="00454673"/>
    <w:rsid w:val="00483413"/>
    <w:rsid w:val="004856E1"/>
    <w:rsid w:val="004947FD"/>
    <w:rsid w:val="004A0412"/>
    <w:rsid w:val="004A2458"/>
    <w:rsid w:val="004A4DD4"/>
    <w:rsid w:val="004A6AAB"/>
    <w:rsid w:val="004C2F88"/>
    <w:rsid w:val="004D7358"/>
    <w:rsid w:val="00534854"/>
    <w:rsid w:val="00537D06"/>
    <w:rsid w:val="0054076F"/>
    <w:rsid w:val="00546E4D"/>
    <w:rsid w:val="005516B0"/>
    <w:rsid w:val="005541D5"/>
    <w:rsid w:val="005555F5"/>
    <w:rsid w:val="0059105D"/>
    <w:rsid w:val="00593B6E"/>
    <w:rsid w:val="005C430C"/>
    <w:rsid w:val="005C6EFB"/>
    <w:rsid w:val="005D597B"/>
    <w:rsid w:val="005E27E9"/>
    <w:rsid w:val="005E50DD"/>
    <w:rsid w:val="005E5A55"/>
    <w:rsid w:val="005F1549"/>
    <w:rsid w:val="005F5268"/>
    <w:rsid w:val="006007ED"/>
    <w:rsid w:val="006044B4"/>
    <w:rsid w:val="00611C94"/>
    <w:rsid w:val="00612056"/>
    <w:rsid w:val="0062633B"/>
    <w:rsid w:val="0063756C"/>
    <w:rsid w:val="00650A6D"/>
    <w:rsid w:val="006735C0"/>
    <w:rsid w:val="00687C0A"/>
    <w:rsid w:val="006905C0"/>
    <w:rsid w:val="006B2E36"/>
    <w:rsid w:val="006C1A45"/>
    <w:rsid w:val="006D1889"/>
    <w:rsid w:val="006D3108"/>
    <w:rsid w:val="006E76CD"/>
    <w:rsid w:val="00706731"/>
    <w:rsid w:val="00724F8A"/>
    <w:rsid w:val="00734F6D"/>
    <w:rsid w:val="007A05E0"/>
    <w:rsid w:val="007B6C5D"/>
    <w:rsid w:val="007C7958"/>
    <w:rsid w:val="007E4D4A"/>
    <w:rsid w:val="007F465B"/>
    <w:rsid w:val="00803EC9"/>
    <w:rsid w:val="008067F4"/>
    <w:rsid w:val="00826044"/>
    <w:rsid w:val="00830F93"/>
    <w:rsid w:val="00854D40"/>
    <w:rsid w:val="00866DF1"/>
    <w:rsid w:val="00876C40"/>
    <w:rsid w:val="008807EA"/>
    <w:rsid w:val="00884319"/>
    <w:rsid w:val="008A09FC"/>
    <w:rsid w:val="008A2202"/>
    <w:rsid w:val="008A75ED"/>
    <w:rsid w:val="008B5257"/>
    <w:rsid w:val="008D27CF"/>
    <w:rsid w:val="009045F0"/>
    <w:rsid w:val="00905896"/>
    <w:rsid w:val="00910C59"/>
    <w:rsid w:val="00911778"/>
    <w:rsid w:val="0091260B"/>
    <w:rsid w:val="00917C28"/>
    <w:rsid w:val="009333B1"/>
    <w:rsid w:val="009334B2"/>
    <w:rsid w:val="009443DC"/>
    <w:rsid w:val="009538DE"/>
    <w:rsid w:val="00957841"/>
    <w:rsid w:val="00971954"/>
    <w:rsid w:val="00981FF1"/>
    <w:rsid w:val="009C4EB1"/>
    <w:rsid w:val="009F1BE5"/>
    <w:rsid w:val="009F7B0C"/>
    <w:rsid w:val="00A17317"/>
    <w:rsid w:val="00A241E0"/>
    <w:rsid w:val="00A24F4C"/>
    <w:rsid w:val="00A339CD"/>
    <w:rsid w:val="00A35585"/>
    <w:rsid w:val="00A465A7"/>
    <w:rsid w:val="00A53A51"/>
    <w:rsid w:val="00A54B95"/>
    <w:rsid w:val="00A8056C"/>
    <w:rsid w:val="00A8354A"/>
    <w:rsid w:val="00A83C0B"/>
    <w:rsid w:val="00AA115A"/>
    <w:rsid w:val="00AB6909"/>
    <w:rsid w:val="00AD1AD6"/>
    <w:rsid w:val="00AD7A68"/>
    <w:rsid w:val="00AF3BB3"/>
    <w:rsid w:val="00B13D50"/>
    <w:rsid w:val="00B2265F"/>
    <w:rsid w:val="00B25295"/>
    <w:rsid w:val="00B41EE5"/>
    <w:rsid w:val="00B82D40"/>
    <w:rsid w:val="00B82F40"/>
    <w:rsid w:val="00B94A61"/>
    <w:rsid w:val="00BB04B0"/>
    <w:rsid w:val="00BB2ABD"/>
    <w:rsid w:val="00BC148E"/>
    <w:rsid w:val="00BD24BC"/>
    <w:rsid w:val="00BE7388"/>
    <w:rsid w:val="00BF1BED"/>
    <w:rsid w:val="00C11CDC"/>
    <w:rsid w:val="00C326CB"/>
    <w:rsid w:val="00C61D81"/>
    <w:rsid w:val="00C92367"/>
    <w:rsid w:val="00CA43D9"/>
    <w:rsid w:val="00CA6574"/>
    <w:rsid w:val="00CA7836"/>
    <w:rsid w:val="00CC1C31"/>
    <w:rsid w:val="00CC54A5"/>
    <w:rsid w:val="00CC56F3"/>
    <w:rsid w:val="00CD04E2"/>
    <w:rsid w:val="00CD10E0"/>
    <w:rsid w:val="00D11007"/>
    <w:rsid w:val="00D1302F"/>
    <w:rsid w:val="00D14CAD"/>
    <w:rsid w:val="00D3070C"/>
    <w:rsid w:val="00D345AA"/>
    <w:rsid w:val="00D426FB"/>
    <w:rsid w:val="00D55C75"/>
    <w:rsid w:val="00D632BA"/>
    <w:rsid w:val="00D97942"/>
    <w:rsid w:val="00DA004F"/>
    <w:rsid w:val="00DB5E5E"/>
    <w:rsid w:val="00DF7734"/>
    <w:rsid w:val="00E07979"/>
    <w:rsid w:val="00E23DE5"/>
    <w:rsid w:val="00E30A22"/>
    <w:rsid w:val="00E344DE"/>
    <w:rsid w:val="00E50F4F"/>
    <w:rsid w:val="00E56CBE"/>
    <w:rsid w:val="00E757B3"/>
    <w:rsid w:val="00E7793F"/>
    <w:rsid w:val="00E878E3"/>
    <w:rsid w:val="00E900EA"/>
    <w:rsid w:val="00EB6D30"/>
    <w:rsid w:val="00ED3590"/>
    <w:rsid w:val="00EE4389"/>
    <w:rsid w:val="00F06E9C"/>
    <w:rsid w:val="00F12CC6"/>
    <w:rsid w:val="00F17AE3"/>
    <w:rsid w:val="00F20DF6"/>
    <w:rsid w:val="00F25D69"/>
    <w:rsid w:val="00F34BDE"/>
    <w:rsid w:val="00F41C72"/>
    <w:rsid w:val="00F51401"/>
    <w:rsid w:val="00F54A5F"/>
    <w:rsid w:val="00F651A4"/>
    <w:rsid w:val="00F855EF"/>
    <w:rsid w:val="00F856F7"/>
    <w:rsid w:val="00FA758A"/>
    <w:rsid w:val="00FB5031"/>
    <w:rsid w:val="00FC1D84"/>
    <w:rsid w:val="00FC4B59"/>
    <w:rsid w:val="00FD070B"/>
    <w:rsid w:val="00FF610E"/>
    <w:rsid w:val="00FF7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6CF006"/>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customStyle="1" w:styleId="foliohitie4">
    <w:name w:val="foliohitie4"/>
    <w:rsid w:val="00D97942"/>
    <w:rPr>
      <w:b/>
      <w:bCs/>
      <w:color w:val="FFFFFF"/>
      <w:shd w:val="clear" w:color="auto" w:fill="000066"/>
    </w:rPr>
  </w:style>
  <w:style w:type="paragraph" w:customStyle="1" w:styleId="texto">
    <w:name w:val="texto"/>
    <w:basedOn w:val="Normal"/>
    <w:rsid w:val="008067F4"/>
    <w:rPr>
      <w:rFonts w:ascii="Century Gothic" w:hAnsi="Century Gothic"/>
      <w:sz w:val="21"/>
      <w:szCs w:val="21"/>
    </w:rPr>
  </w:style>
  <w:style w:type="paragraph" w:styleId="NormalWeb">
    <w:name w:val="Normal (Web)"/>
    <w:basedOn w:val="Normal"/>
    <w:rsid w:val="00CA43D9"/>
    <w:rPr>
      <w:szCs w:val="24"/>
    </w:rPr>
  </w:style>
  <w:style w:type="character" w:customStyle="1" w:styleId="grame">
    <w:name w:val="grame"/>
    <w:basedOn w:val="DefaultParagraphFont"/>
    <w:rsid w:val="003C1180"/>
  </w:style>
  <w:style w:type="character" w:styleId="Strong">
    <w:name w:val="Strong"/>
    <w:qFormat/>
    <w:rsid w:val="00F12CC6"/>
    <w:rPr>
      <w:b/>
      <w:bCs/>
    </w:rPr>
  </w:style>
  <w:style w:type="character" w:styleId="Hyperlink">
    <w:name w:val="Hyperlink"/>
    <w:rsid w:val="00F12CC6"/>
    <w:rPr>
      <w:strike w:val="0"/>
      <w:dstrike w:val="0"/>
      <w:color w:val="0000FF"/>
      <w:u w:val="none"/>
      <w:effect w:val="none"/>
    </w:rPr>
  </w:style>
  <w:style w:type="paragraph" w:styleId="BodyText3">
    <w:name w:val="Body Text 3"/>
    <w:basedOn w:val="Normal"/>
    <w:rsid w:val="000236D7"/>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paragraph" w:customStyle="1" w:styleId="Default">
    <w:name w:val="Default"/>
    <w:rsid w:val="0062633B"/>
    <w:pPr>
      <w:autoSpaceDE w:val="0"/>
      <w:autoSpaceDN w:val="0"/>
      <w:adjustRightInd w:val="0"/>
    </w:pPr>
    <w:rPr>
      <w:color w:val="000000"/>
      <w:sz w:val="24"/>
      <w:szCs w:val="24"/>
      <w:lang w:val="es-PR" w:eastAsia="es-PR"/>
    </w:rPr>
  </w:style>
  <w:style w:type="paragraph" w:styleId="BodyTextIndent">
    <w:name w:val="Body Text Indent"/>
    <w:basedOn w:val="Normal"/>
    <w:link w:val="BodyTextIndentChar"/>
    <w:rsid w:val="00082F9C"/>
    <w:pPr>
      <w:spacing w:after="120"/>
      <w:ind w:left="283"/>
    </w:pPr>
  </w:style>
  <w:style w:type="character" w:customStyle="1" w:styleId="BodyTextIndentChar">
    <w:name w:val="Body Text Indent Char"/>
    <w:link w:val="BodyTextIndent"/>
    <w:rsid w:val="00082F9C"/>
    <w:rPr>
      <w:sz w:val="24"/>
      <w:lang w:val="en-US" w:eastAsia="en-US"/>
    </w:rPr>
  </w:style>
  <w:style w:type="character" w:customStyle="1" w:styleId="Mention1">
    <w:name w:val="Mention1"/>
    <w:uiPriority w:val="99"/>
    <w:semiHidden/>
    <w:unhideWhenUsed/>
    <w:rsid w:val="004A6AAB"/>
    <w:rPr>
      <w:color w:val="2B579A"/>
      <w:shd w:val="clear" w:color="auto" w:fill="E6E6E6"/>
    </w:rPr>
  </w:style>
  <w:style w:type="paragraph" w:styleId="FootnoteText">
    <w:name w:val="footnote text"/>
    <w:basedOn w:val="Normal"/>
    <w:link w:val="FootnoteTextChar"/>
    <w:rsid w:val="00AD7A68"/>
    <w:rPr>
      <w:sz w:val="20"/>
    </w:rPr>
  </w:style>
  <w:style w:type="character" w:customStyle="1" w:styleId="FootnoteTextChar">
    <w:name w:val="Footnote Text Char"/>
    <w:basedOn w:val="DefaultParagraphFont"/>
    <w:link w:val="FootnoteText"/>
    <w:rsid w:val="00AD7A68"/>
  </w:style>
  <w:style w:type="character" w:styleId="FootnoteReference">
    <w:name w:val="footnote reference"/>
    <w:uiPriority w:val="99"/>
    <w:unhideWhenUsed/>
    <w:rsid w:val="00AD7A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218189">
      <w:bodyDiv w:val="1"/>
      <w:marLeft w:val="0"/>
      <w:marRight w:val="0"/>
      <w:marTop w:val="0"/>
      <w:marBottom w:val="0"/>
      <w:divBdr>
        <w:top w:val="none" w:sz="0" w:space="0" w:color="auto"/>
        <w:left w:val="none" w:sz="0" w:space="0" w:color="auto"/>
        <w:bottom w:val="none" w:sz="0" w:space="0" w:color="auto"/>
        <w:right w:val="none" w:sz="0" w:space="0" w:color="auto"/>
      </w:divBdr>
      <w:divsChild>
        <w:div w:id="1901943904">
          <w:marLeft w:val="0"/>
          <w:marRight w:val="0"/>
          <w:marTop w:val="0"/>
          <w:marBottom w:val="0"/>
          <w:divBdr>
            <w:top w:val="none" w:sz="0" w:space="0" w:color="auto"/>
            <w:left w:val="none" w:sz="0" w:space="0" w:color="auto"/>
            <w:bottom w:val="none" w:sz="0" w:space="0" w:color="auto"/>
            <w:right w:val="none" w:sz="0" w:space="0" w:color="auto"/>
          </w:divBdr>
          <w:divsChild>
            <w:div w:id="746196095">
              <w:marLeft w:val="0"/>
              <w:marRight w:val="0"/>
              <w:marTop w:val="0"/>
              <w:marBottom w:val="0"/>
              <w:divBdr>
                <w:top w:val="none" w:sz="0" w:space="0" w:color="auto"/>
                <w:left w:val="none" w:sz="0" w:space="0" w:color="auto"/>
                <w:bottom w:val="none" w:sz="0" w:space="0" w:color="auto"/>
                <w:right w:val="none" w:sz="0" w:space="0" w:color="auto"/>
              </w:divBdr>
              <w:divsChild>
                <w:div w:id="34760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921466">
      <w:bodyDiv w:val="1"/>
      <w:marLeft w:val="0"/>
      <w:marRight w:val="0"/>
      <w:marTop w:val="0"/>
      <w:marBottom w:val="0"/>
      <w:divBdr>
        <w:top w:val="none" w:sz="0" w:space="0" w:color="auto"/>
        <w:left w:val="none" w:sz="0" w:space="0" w:color="auto"/>
        <w:bottom w:val="none" w:sz="0" w:space="0" w:color="auto"/>
        <w:right w:val="none" w:sz="0" w:space="0" w:color="auto"/>
      </w:divBdr>
      <w:divsChild>
        <w:div w:id="1044522574">
          <w:marLeft w:val="0"/>
          <w:marRight w:val="0"/>
          <w:marTop w:val="0"/>
          <w:marBottom w:val="0"/>
          <w:divBdr>
            <w:top w:val="none" w:sz="0" w:space="0" w:color="auto"/>
            <w:left w:val="none" w:sz="0" w:space="0" w:color="auto"/>
            <w:bottom w:val="none" w:sz="0" w:space="0" w:color="auto"/>
            <w:right w:val="none" w:sz="0" w:space="0" w:color="auto"/>
          </w:divBdr>
          <w:divsChild>
            <w:div w:id="1142310952">
              <w:marLeft w:val="0"/>
              <w:marRight w:val="0"/>
              <w:marTop w:val="0"/>
              <w:marBottom w:val="0"/>
              <w:divBdr>
                <w:top w:val="none" w:sz="0" w:space="0" w:color="auto"/>
                <w:left w:val="none" w:sz="0" w:space="0" w:color="auto"/>
                <w:bottom w:val="none" w:sz="0" w:space="0" w:color="auto"/>
                <w:right w:val="none" w:sz="0" w:space="0" w:color="auto"/>
              </w:divBdr>
              <w:divsChild>
                <w:div w:id="207862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533204">
      <w:bodyDiv w:val="1"/>
      <w:marLeft w:val="0"/>
      <w:marRight w:val="0"/>
      <w:marTop w:val="0"/>
      <w:marBottom w:val="0"/>
      <w:divBdr>
        <w:top w:val="none" w:sz="0" w:space="0" w:color="auto"/>
        <w:left w:val="none" w:sz="0" w:space="0" w:color="auto"/>
        <w:bottom w:val="none" w:sz="0" w:space="0" w:color="auto"/>
        <w:right w:val="none" w:sz="0" w:space="0" w:color="auto"/>
      </w:divBdr>
      <w:divsChild>
        <w:div w:id="306515969">
          <w:marLeft w:val="0"/>
          <w:marRight w:val="0"/>
          <w:marTop w:val="0"/>
          <w:marBottom w:val="0"/>
          <w:divBdr>
            <w:top w:val="none" w:sz="0" w:space="0" w:color="auto"/>
            <w:left w:val="none" w:sz="0" w:space="0" w:color="auto"/>
            <w:bottom w:val="none" w:sz="0" w:space="0" w:color="auto"/>
            <w:right w:val="none" w:sz="0" w:space="0" w:color="auto"/>
          </w:divBdr>
          <w:divsChild>
            <w:div w:id="656038782">
              <w:marLeft w:val="0"/>
              <w:marRight w:val="0"/>
              <w:marTop w:val="0"/>
              <w:marBottom w:val="0"/>
              <w:divBdr>
                <w:top w:val="none" w:sz="0" w:space="0" w:color="auto"/>
                <w:left w:val="none" w:sz="0" w:space="0" w:color="auto"/>
                <w:bottom w:val="none" w:sz="0" w:space="0" w:color="auto"/>
                <w:right w:val="none" w:sz="0" w:space="0" w:color="auto"/>
              </w:divBdr>
              <w:divsChild>
                <w:div w:id="10284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3385">
      <w:bodyDiv w:val="1"/>
      <w:marLeft w:val="0"/>
      <w:marRight w:val="0"/>
      <w:marTop w:val="0"/>
      <w:marBottom w:val="0"/>
      <w:divBdr>
        <w:top w:val="none" w:sz="0" w:space="0" w:color="auto"/>
        <w:left w:val="none" w:sz="0" w:space="0" w:color="auto"/>
        <w:bottom w:val="none" w:sz="0" w:space="0" w:color="auto"/>
        <w:right w:val="none" w:sz="0" w:space="0" w:color="auto"/>
      </w:divBdr>
    </w:div>
    <w:div w:id="489567800">
      <w:bodyDiv w:val="1"/>
      <w:marLeft w:val="0"/>
      <w:marRight w:val="0"/>
      <w:marTop w:val="0"/>
      <w:marBottom w:val="0"/>
      <w:divBdr>
        <w:top w:val="none" w:sz="0" w:space="0" w:color="auto"/>
        <w:left w:val="none" w:sz="0" w:space="0" w:color="auto"/>
        <w:bottom w:val="none" w:sz="0" w:space="0" w:color="auto"/>
        <w:right w:val="none" w:sz="0" w:space="0" w:color="auto"/>
      </w:divBdr>
      <w:divsChild>
        <w:div w:id="1334068913">
          <w:marLeft w:val="0"/>
          <w:marRight w:val="0"/>
          <w:marTop w:val="0"/>
          <w:marBottom w:val="0"/>
          <w:divBdr>
            <w:top w:val="none" w:sz="0" w:space="0" w:color="auto"/>
            <w:left w:val="none" w:sz="0" w:space="0" w:color="auto"/>
            <w:bottom w:val="none" w:sz="0" w:space="0" w:color="auto"/>
            <w:right w:val="none" w:sz="0" w:space="0" w:color="auto"/>
          </w:divBdr>
          <w:divsChild>
            <w:div w:id="271085504">
              <w:marLeft w:val="0"/>
              <w:marRight w:val="0"/>
              <w:marTop w:val="0"/>
              <w:marBottom w:val="0"/>
              <w:divBdr>
                <w:top w:val="none" w:sz="0" w:space="0" w:color="auto"/>
                <w:left w:val="none" w:sz="0" w:space="0" w:color="auto"/>
                <w:bottom w:val="none" w:sz="0" w:space="0" w:color="auto"/>
                <w:right w:val="none" w:sz="0" w:space="0" w:color="auto"/>
              </w:divBdr>
              <w:divsChild>
                <w:div w:id="72190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56456">
      <w:bodyDiv w:val="1"/>
      <w:marLeft w:val="0"/>
      <w:marRight w:val="0"/>
      <w:marTop w:val="0"/>
      <w:marBottom w:val="0"/>
      <w:divBdr>
        <w:top w:val="none" w:sz="0" w:space="0" w:color="auto"/>
        <w:left w:val="none" w:sz="0" w:space="0" w:color="auto"/>
        <w:bottom w:val="none" w:sz="0" w:space="0" w:color="auto"/>
        <w:right w:val="none" w:sz="0" w:space="0" w:color="auto"/>
      </w:divBdr>
      <w:divsChild>
        <w:div w:id="1257248751">
          <w:marLeft w:val="0"/>
          <w:marRight w:val="0"/>
          <w:marTop w:val="0"/>
          <w:marBottom w:val="0"/>
          <w:divBdr>
            <w:top w:val="none" w:sz="0" w:space="0" w:color="auto"/>
            <w:left w:val="none" w:sz="0" w:space="0" w:color="auto"/>
            <w:bottom w:val="none" w:sz="0" w:space="0" w:color="auto"/>
            <w:right w:val="none" w:sz="0" w:space="0" w:color="auto"/>
          </w:divBdr>
        </w:div>
      </w:divsChild>
    </w:div>
    <w:div w:id="982545031">
      <w:bodyDiv w:val="1"/>
      <w:marLeft w:val="0"/>
      <w:marRight w:val="0"/>
      <w:marTop w:val="0"/>
      <w:marBottom w:val="0"/>
      <w:divBdr>
        <w:top w:val="none" w:sz="0" w:space="0" w:color="auto"/>
        <w:left w:val="none" w:sz="0" w:space="0" w:color="auto"/>
        <w:bottom w:val="none" w:sz="0" w:space="0" w:color="auto"/>
        <w:right w:val="none" w:sz="0" w:space="0" w:color="auto"/>
      </w:divBdr>
      <w:divsChild>
        <w:div w:id="949777127">
          <w:marLeft w:val="0"/>
          <w:marRight w:val="0"/>
          <w:marTop w:val="0"/>
          <w:marBottom w:val="0"/>
          <w:divBdr>
            <w:top w:val="none" w:sz="0" w:space="0" w:color="auto"/>
            <w:left w:val="none" w:sz="0" w:space="0" w:color="auto"/>
            <w:bottom w:val="none" w:sz="0" w:space="0" w:color="auto"/>
            <w:right w:val="none" w:sz="0" w:space="0" w:color="auto"/>
          </w:divBdr>
          <w:divsChild>
            <w:div w:id="1778139479">
              <w:marLeft w:val="0"/>
              <w:marRight w:val="0"/>
              <w:marTop w:val="0"/>
              <w:marBottom w:val="0"/>
              <w:divBdr>
                <w:top w:val="none" w:sz="0" w:space="0" w:color="auto"/>
                <w:left w:val="none" w:sz="0" w:space="0" w:color="auto"/>
                <w:bottom w:val="none" w:sz="0" w:space="0" w:color="auto"/>
                <w:right w:val="none" w:sz="0" w:space="0" w:color="auto"/>
              </w:divBdr>
              <w:divsChild>
                <w:div w:id="6659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5681">
      <w:bodyDiv w:val="1"/>
      <w:marLeft w:val="0"/>
      <w:marRight w:val="0"/>
      <w:marTop w:val="0"/>
      <w:marBottom w:val="0"/>
      <w:divBdr>
        <w:top w:val="none" w:sz="0" w:space="0" w:color="auto"/>
        <w:left w:val="none" w:sz="0" w:space="0" w:color="auto"/>
        <w:bottom w:val="none" w:sz="0" w:space="0" w:color="auto"/>
        <w:right w:val="none" w:sz="0" w:space="0" w:color="auto"/>
      </w:divBdr>
      <w:divsChild>
        <w:div w:id="837501174">
          <w:marLeft w:val="0"/>
          <w:marRight w:val="0"/>
          <w:marTop w:val="0"/>
          <w:marBottom w:val="0"/>
          <w:divBdr>
            <w:top w:val="none" w:sz="0" w:space="0" w:color="auto"/>
            <w:left w:val="none" w:sz="0" w:space="0" w:color="auto"/>
            <w:bottom w:val="none" w:sz="0" w:space="0" w:color="auto"/>
            <w:right w:val="none" w:sz="0" w:space="0" w:color="auto"/>
          </w:divBdr>
          <w:divsChild>
            <w:div w:id="1373119789">
              <w:marLeft w:val="0"/>
              <w:marRight w:val="0"/>
              <w:marTop w:val="0"/>
              <w:marBottom w:val="0"/>
              <w:divBdr>
                <w:top w:val="none" w:sz="0" w:space="0" w:color="auto"/>
                <w:left w:val="none" w:sz="0" w:space="0" w:color="auto"/>
                <w:bottom w:val="none" w:sz="0" w:space="0" w:color="auto"/>
                <w:right w:val="none" w:sz="0" w:space="0" w:color="auto"/>
              </w:divBdr>
              <w:divsChild>
                <w:div w:id="1999917074">
                  <w:marLeft w:val="2928"/>
                  <w:marRight w:val="0"/>
                  <w:marTop w:val="720"/>
                  <w:marBottom w:val="0"/>
                  <w:divBdr>
                    <w:top w:val="none" w:sz="0" w:space="0" w:color="auto"/>
                    <w:left w:val="none" w:sz="0" w:space="0" w:color="auto"/>
                    <w:bottom w:val="none" w:sz="0" w:space="0" w:color="auto"/>
                    <w:right w:val="none" w:sz="0" w:space="0" w:color="auto"/>
                  </w:divBdr>
                  <w:divsChild>
                    <w:div w:id="36945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161084">
      <w:bodyDiv w:val="1"/>
      <w:marLeft w:val="0"/>
      <w:marRight w:val="0"/>
      <w:marTop w:val="0"/>
      <w:marBottom w:val="0"/>
      <w:divBdr>
        <w:top w:val="none" w:sz="0" w:space="0" w:color="auto"/>
        <w:left w:val="none" w:sz="0" w:space="0" w:color="auto"/>
        <w:bottom w:val="none" w:sz="0" w:space="0" w:color="auto"/>
        <w:right w:val="none" w:sz="0" w:space="0" w:color="auto"/>
      </w:divBdr>
      <w:divsChild>
        <w:div w:id="1943226361">
          <w:marLeft w:val="0"/>
          <w:marRight w:val="0"/>
          <w:marTop w:val="0"/>
          <w:marBottom w:val="0"/>
          <w:divBdr>
            <w:top w:val="none" w:sz="0" w:space="0" w:color="auto"/>
            <w:left w:val="none" w:sz="0" w:space="0" w:color="auto"/>
            <w:bottom w:val="none" w:sz="0" w:space="0" w:color="auto"/>
            <w:right w:val="none" w:sz="0" w:space="0" w:color="auto"/>
          </w:divBdr>
        </w:div>
      </w:divsChild>
    </w:div>
    <w:div w:id="1144270998">
      <w:bodyDiv w:val="1"/>
      <w:marLeft w:val="0"/>
      <w:marRight w:val="0"/>
      <w:marTop w:val="0"/>
      <w:marBottom w:val="0"/>
      <w:divBdr>
        <w:top w:val="none" w:sz="0" w:space="0" w:color="auto"/>
        <w:left w:val="none" w:sz="0" w:space="0" w:color="auto"/>
        <w:bottom w:val="none" w:sz="0" w:space="0" w:color="auto"/>
        <w:right w:val="none" w:sz="0" w:space="0" w:color="auto"/>
      </w:divBdr>
      <w:divsChild>
        <w:div w:id="605621474">
          <w:marLeft w:val="0"/>
          <w:marRight w:val="0"/>
          <w:marTop w:val="0"/>
          <w:marBottom w:val="0"/>
          <w:divBdr>
            <w:top w:val="none" w:sz="0" w:space="0" w:color="auto"/>
            <w:left w:val="none" w:sz="0" w:space="0" w:color="auto"/>
            <w:bottom w:val="none" w:sz="0" w:space="0" w:color="auto"/>
            <w:right w:val="none" w:sz="0" w:space="0" w:color="auto"/>
          </w:divBdr>
          <w:divsChild>
            <w:div w:id="1503858129">
              <w:marLeft w:val="0"/>
              <w:marRight w:val="0"/>
              <w:marTop w:val="0"/>
              <w:marBottom w:val="0"/>
              <w:divBdr>
                <w:top w:val="none" w:sz="0" w:space="0" w:color="auto"/>
                <w:left w:val="none" w:sz="0" w:space="0" w:color="auto"/>
                <w:bottom w:val="none" w:sz="0" w:space="0" w:color="auto"/>
                <w:right w:val="none" w:sz="0" w:space="0" w:color="auto"/>
              </w:divBdr>
              <w:divsChild>
                <w:div w:id="36336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647199">
      <w:bodyDiv w:val="1"/>
      <w:marLeft w:val="0"/>
      <w:marRight w:val="0"/>
      <w:marTop w:val="0"/>
      <w:marBottom w:val="0"/>
      <w:divBdr>
        <w:top w:val="none" w:sz="0" w:space="0" w:color="auto"/>
        <w:left w:val="none" w:sz="0" w:space="0" w:color="auto"/>
        <w:bottom w:val="none" w:sz="0" w:space="0" w:color="auto"/>
        <w:right w:val="none" w:sz="0" w:space="0" w:color="auto"/>
      </w:divBdr>
      <w:divsChild>
        <w:div w:id="843325177">
          <w:marLeft w:val="0"/>
          <w:marRight w:val="0"/>
          <w:marTop w:val="0"/>
          <w:marBottom w:val="0"/>
          <w:divBdr>
            <w:top w:val="none" w:sz="0" w:space="0" w:color="auto"/>
            <w:left w:val="none" w:sz="0" w:space="0" w:color="auto"/>
            <w:bottom w:val="none" w:sz="0" w:space="0" w:color="auto"/>
            <w:right w:val="none" w:sz="0" w:space="0" w:color="auto"/>
          </w:divBdr>
        </w:div>
      </w:divsChild>
    </w:div>
    <w:div w:id="1486896993">
      <w:bodyDiv w:val="1"/>
      <w:marLeft w:val="0"/>
      <w:marRight w:val="0"/>
      <w:marTop w:val="0"/>
      <w:marBottom w:val="0"/>
      <w:divBdr>
        <w:top w:val="none" w:sz="0" w:space="0" w:color="auto"/>
        <w:left w:val="none" w:sz="0" w:space="0" w:color="auto"/>
        <w:bottom w:val="none" w:sz="0" w:space="0" w:color="auto"/>
        <w:right w:val="none" w:sz="0" w:space="0" w:color="auto"/>
      </w:divBdr>
      <w:divsChild>
        <w:div w:id="585726320">
          <w:marLeft w:val="0"/>
          <w:marRight w:val="0"/>
          <w:marTop w:val="0"/>
          <w:marBottom w:val="0"/>
          <w:divBdr>
            <w:top w:val="none" w:sz="0" w:space="0" w:color="auto"/>
            <w:left w:val="none" w:sz="0" w:space="0" w:color="auto"/>
            <w:bottom w:val="none" w:sz="0" w:space="0" w:color="auto"/>
            <w:right w:val="none" w:sz="0" w:space="0" w:color="auto"/>
          </w:divBdr>
        </w:div>
      </w:divsChild>
    </w:div>
    <w:div w:id="1499538693">
      <w:bodyDiv w:val="1"/>
      <w:marLeft w:val="0"/>
      <w:marRight w:val="0"/>
      <w:marTop w:val="0"/>
      <w:marBottom w:val="0"/>
      <w:divBdr>
        <w:top w:val="none" w:sz="0" w:space="0" w:color="auto"/>
        <w:left w:val="none" w:sz="0" w:space="0" w:color="auto"/>
        <w:bottom w:val="none" w:sz="0" w:space="0" w:color="auto"/>
        <w:right w:val="none" w:sz="0" w:space="0" w:color="auto"/>
      </w:divBdr>
    </w:div>
    <w:div w:id="1516529677">
      <w:bodyDiv w:val="1"/>
      <w:marLeft w:val="0"/>
      <w:marRight w:val="0"/>
      <w:marTop w:val="0"/>
      <w:marBottom w:val="0"/>
      <w:divBdr>
        <w:top w:val="none" w:sz="0" w:space="0" w:color="auto"/>
        <w:left w:val="none" w:sz="0" w:space="0" w:color="auto"/>
        <w:bottom w:val="none" w:sz="0" w:space="0" w:color="auto"/>
        <w:right w:val="none" w:sz="0" w:space="0" w:color="auto"/>
      </w:divBdr>
    </w:div>
    <w:div w:id="1624188400">
      <w:bodyDiv w:val="1"/>
      <w:marLeft w:val="0"/>
      <w:marRight w:val="0"/>
      <w:marTop w:val="0"/>
      <w:marBottom w:val="0"/>
      <w:divBdr>
        <w:top w:val="none" w:sz="0" w:space="0" w:color="auto"/>
        <w:left w:val="none" w:sz="0" w:space="0" w:color="auto"/>
        <w:bottom w:val="none" w:sz="0" w:space="0" w:color="auto"/>
        <w:right w:val="none" w:sz="0" w:space="0" w:color="auto"/>
      </w:divBdr>
      <w:divsChild>
        <w:div w:id="1869100265">
          <w:marLeft w:val="0"/>
          <w:marRight w:val="0"/>
          <w:marTop w:val="0"/>
          <w:marBottom w:val="0"/>
          <w:divBdr>
            <w:top w:val="none" w:sz="0" w:space="0" w:color="auto"/>
            <w:left w:val="none" w:sz="0" w:space="0" w:color="auto"/>
            <w:bottom w:val="none" w:sz="0" w:space="0" w:color="auto"/>
            <w:right w:val="none" w:sz="0" w:space="0" w:color="auto"/>
          </w:divBdr>
          <w:divsChild>
            <w:div w:id="940139410">
              <w:marLeft w:val="0"/>
              <w:marRight w:val="0"/>
              <w:marTop w:val="0"/>
              <w:marBottom w:val="0"/>
              <w:divBdr>
                <w:top w:val="none" w:sz="0" w:space="0" w:color="auto"/>
                <w:left w:val="none" w:sz="0" w:space="0" w:color="auto"/>
                <w:bottom w:val="none" w:sz="0" w:space="0" w:color="auto"/>
                <w:right w:val="none" w:sz="0" w:space="0" w:color="auto"/>
              </w:divBdr>
              <w:divsChild>
                <w:div w:id="204324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29665">
      <w:bodyDiv w:val="1"/>
      <w:marLeft w:val="0"/>
      <w:marRight w:val="0"/>
      <w:marTop w:val="0"/>
      <w:marBottom w:val="0"/>
      <w:divBdr>
        <w:top w:val="none" w:sz="0" w:space="0" w:color="auto"/>
        <w:left w:val="none" w:sz="0" w:space="0" w:color="auto"/>
        <w:bottom w:val="none" w:sz="0" w:space="0" w:color="auto"/>
        <w:right w:val="none" w:sz="0" w:space="0" w:color="auto"/>
      </w:divBdr>
    </w:div>
    <w:div w:id="1720934273">
      <w:bodyDiv w:val="1"/>
      <w:marLeft w:val="0"/>
      <w:marRight w:val="0"/>
      <w:marTop w:val="0"/>
      <w:marBottom w:val="0"/>
      <w:divBdr>
        <w:top w:val="none" w:sz="0" w:space="0" w:color="auto"/>
        <w:left w:val="none" w:sz="0" w:space="0" w:color="auto"/>
        <w:bottom w:val="none" w:sz="0" w:space="0" w:color="auto"/>
        <w:right w:val="none" w:sz="0" w:space="0" w:color="auto"/>
      </w:divBdr>
    </w:div>
    <w:div w:id="1982609371">
      <w:bodyDiv w:val="1"/>
      <w:marLeft w:val="0"/>
      <w:marRight w:val="0"/>
      <w:marTop w:val="0"/>
      <w:marBottom w:val="0"/>
      <w:divBdr>
        <w:top w:val="none" w:sz="0" w:space="0" w:color="auto"/>
        <w:left w:val="none" w:sz="0" w:space="0" w:color="auto"/>
        <w:bottom w:val="none" w:sz="0" w:space="0" w:color="auto"/>
        <w:right w:val="none" w:sz="0" w:space="0" w:color="auto"/>
      </w:divBdr>
      <w:divsChild>
        <w:div w:id="793908408">
          <w:marLeft w:val="0"/>
          <w:marRight w:val="0"/>
          <w:marTop w:val="0"/>
          <w:marBottom w:val="0"/>
          <w:divBdr>
            <w:top w:val="none" w:sz="0" w:space="0" w:color="auto"/>
            <w:left w:val="none" w:sz="0" w:space="0" w:color="auto"/>
            <w:bottom w:val="none" w:sz="0" w:space="0" w:color="auto"/>
            <w:right w:val="none" w:sz="0" w:space="0" w:color="auto"/>
          </w:divBdr>
          <w:divsChild>
            <w:div w:id="1977683610">
              <w:marLeft w:val="0"/>
              <w:marRight w:val="0"/>
              <w:marTop w:val="0"/>
              <w:marBottom w:val="0"/>
              <w:divBdr>
                <w:top w:val="none" w:sz="0" w:space="0" w:color="auto"/>
                <w:left w:val="none" w:sz="0" w:space="0" w:color="auto"/>
                <w:bottom w:val="none" w:sz="0" w:space="0" w:color="auto"/>
                <w:right w:val="none" w:sz="0" w:space="0" w:color="auto"/>
              </w:divBdr>
              <w:divsChild>
                <w:div w:id="11490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89070">
      <w:bodyDiv w:val="1"/>
      <w:marLeft w:val="0"/>
      <w:marRight w:val="0"/>
      <w:marTop w:val="0"/>
      <w:marBottom w:val="0"/>
      <w:divBdr>
        <w:top w:val="none" w:sz="0" w:space="0" w:color="auto"/>
        <w:left w:val="none" w:sz="0" w:space="0" w:color="auto"/>
        <w:bottom w:val="none" w:sz="0" w:space="0" w:color="auto"/>
        <w:right w:val="none" w:sz="0" w:space="0" w:color="auto"/>
      </w:divBdr>
      <w:divsChild>
        <w:div w:id="1925262112">
          <w:marLeft w:val="0"/>
          <w:marRight w:val="0"/>
          <w:marTop w:val="0"/>
          <w:marBottom w:val="0"/>
          <w:divBdr>
            <w:top w:val="none" w:sz="0" w:space="0" w:color="auto"/>
            <w:left w:val="none" w:sz="0" w:space="0" w:color="auto"/>
            <w:bottom w:val="none" w:sz="0" w:space="0" w:color="auto"/>
            <w:right w:val="none" w:sz="0" w:space="0" w:color="auto"/>
          </w:divBdr>
        </w:div>
      </w:divsChild>
    </w:div>
    <w:div w:id="2050370755">
      <w:bodyDiv w:val="1"/>
      <w:marLeft w:val="0"/>
      <w:marRight w:val="0"/>
      <w:marTop w:val="0"/>
      <w:marBottom w:val="0"/>
      <w:divBdr>
        <w:top w:val="none" w:sz="0" w:space="0" w:color="auto"/>
        <w:left w:val="none" w:sz="0" w:space="0" w:color="auto"/>
        <w:bottom w:val="none" w:sz="0" w:space="0" w:color="auto"/>
        <w:right w:val="none" w:sz="0" w:space="0" w:color="auto"/>
      </w:divBdr>
      <w:divsChild>
        <w:div w:id="391775576">
          <w:marLeft w:val="0"/>
          <w:marRight w:val="0"/>
          <w:marTop w:val="0"/>
          <w:marBottom w:val="0"/>
          <w:divBdr>
            <w:top w:val="none" w:sz="0" w:space="0" w:color="auto"/>
            <w:left w:val="none" w:sz="0" w:space="0" w:color="auto"/>
            <w:bottom w:val="none" w:sz="0" w:space="0" w:color="auto"/>
            <w:right w:val="none" w:sz="0" w:space="0" w:color="auto"/>
          </w:divBdr>
        </w:div>
      </w:divsChild>
    </w:div>
    <w:div w:id="2121534673">
      <w:bodyDiv w:val="1"/>
      <w:marLeft w:val="0"/>
      <w:marRight w:val="0"/>
      <w:marTop w:val="0"/>
      <w:marBottom w:val="0"/>
      <w:divBdr>
        <w:top w:val="none" w:sz="0" w:space="0" w:color="auto"/>
        <w:left w:val="none" w:sz="0" w:space="0" w:color="auto"/>
        <w:bottom w:val="none" w:sz="0" w:space="0" w:color="auto"/>
        <w:right w:val="none" w:sz="0" w:space="0" w:color="auto"/>
      </w:divBdr>
      <w:divsChild>
        <w:div w:id="1943612005">
          <w:marLeft w:val="0"/>
          <w:marRight w:val="0"/>
          <w:marTop w:val="0"/>
          <w:marBottom w:val="0"/>
          <w:divBdr>
            <w:top w:val="none" w:sz="0" w:space="0" w:color="auto"/>
            <w:left w:val="none" w:sz="0" w:space="0" w:color="auto"/>
            <w:bottom w:val="none" w:sz="0" w:space="0" w:color="auto"/>
            <w:right w:val="none" w:sz="0" w:space="0" w:color="auto"/>
          </w:divBdr>
          <w:divsChild>
            <w:div w:id="1756704864">
              <w:marLeft w:val="0"/>
              <w:marRight w:val="0"/>
              <w:marTop w:val="0"/>
              <w:marBottom w:val="0"/>
              <w:divBdr>
                <w:top w:val="none" w:sz="0" w:space="0" w:color="auto"/>
                <w:left w:val="none" w:sz="0" w:space="0" w:color="auto"/>
                <w:bottom w:val="none" w:sz="0" w:space="0" w:color="auto"/>
                <w:right w:val="none" w:sz="0" w:space="0" w:color="auto"/>
              </w:divBdr>
              <w:divsChild>
                <w:div w:id="2220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22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ofigueroa\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41FAB-C4B1-44EC-AD9D-21F027765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4</TotalTime>
  <Pages>6</Pages>
  <Words>1607</Words>
  <Characters>8367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4</cp:revision>
  <cp:lastPrinted>2025-05-13T17:15:00Z</cp:lastPrinted>
  <dcterms:created xsi:type="dcterms:W3CDTF">2025-05-12T21:51:00Z</dcterms:created>
  <dcterms:modified xsi:type="dcterms:W3CDTF">2025-05-13T17:15:00Z</dcterms:modified>
</cp:coreProperties>
</file>