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74771050"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773612">
        <w:rPr>
          <w:rFonts w:ascii="Book Antiqua" w:hAnsi="Book Antiqua"/>
          <w:lang w:val="es-ES_tradnl"/>
        </w:rPr>
        <w:t>3</w:t>
      </w:r>
      <w:r w:rsidR="00773612">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43B46E79"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68631D">
        <w:rPr>
          <w:rFonts w:ascii="Book Antiqua" w:hAnsi="Book Antiqua"/>
          <w:b/>
          <w:sz w:val="52"/>
          <w:szCs w:val="52"/>
          <w:lang w:val="es-ES_tradnl"/>
        </w:rPr>
        <w:t xml:space="preserve"> 630</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FB309C1" w:rsidR="006705DD" w:rsidRPr="00B95434" w:rsidRDefault="005665D9" w:rsidP="006705DD">
      <w:pPr>
        <w:jc w:val="center"/>
        <w:rPr>
          <w:rFonts w:ascii="Book Antiqua" w:hAnsi="Book Antiqua"/>
          <w:szCs w:val="24"/>
          <w:lang w:val="es-ES_tradnl"/>
        </w:rPr>
      </w:pPr>
      <w:r>
        <w:rPr>
          <w:rFonts w:ascii="Book Antiqua" w:hAnsi="Book Antiqua"/>
          <w:szCs w:val="24"/>
          <w:lang w:val="es-ES_tradnl"/>
        </w:rPr>
        <w:t xml:space="preserve"> </w:t>
      </w:r>
      <w:r w:rsidR="00FE1B47">
        <w:rPr>
          <w:rFonts w:ascii="Book Antiqua" w:hAnsi="Book Antiqua"/>
          <w:szCs w:val="24"/>
          <w:lang w:val="es-ES_tradnl"/>
        </w:rPr>
        <w:t xml:space="preserve"> </w:t>
      </w:r>
      <w:r w:rsidR="00091BF8">
        <w:rPr>
          <w:rFonts w:ascii="Book Antiqua" w:hAnsi="Book Antiqua"/>
          <w:szCs w:val="24"/>
          <w:lang w:val="es-ES_tradnl"/>
        </w:rPr>
        <w:t xml:space="preserve">12 </w:t>
      </w:r>
      <w:r w:rsidR="00FE1B47">
        <w:rPr>
          <w:rFonts w:ascii="Book Antiqua" w:hAnsi="Book Antiqua"/>
          <w:szCs w:val="24"/>
          <w:lang w:val="es-ES_tradnl"/>
        </w:rPr>
        <w:t xml:space="preserve">de </w:t>
      </w:r>
      <w:r w:rsidR="0068631D">
        <w:rPr>
          <w:rFonts w:ascii="Book Antiqua" w:hAnsi="Book Antiqua"/>
          <w:szCs w:val="24"/>
          <w:lang w:val="es-ES_tradnl"/>
        </w:rPr>
        <w:t xml:space="preserve">marzo </w:t>
      </w:r>
      <w:r w:rsidR="005E345A">
        <w:rPr>
          <w:rFonts w:ascii="Book Antiqua" w:hAnsi="Book Antiqua"/>
          <w:szCs w:val="24"/>
          <w:lang w:val="es-ES_tradnl"/>
        </w:rPr>
        <w:t>de 202</w:t>
      </w:r>
      <w:r w:rsidR="0077361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2660A161"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 xml:space="preserve">La </w:t>
      </w:r>
      <w:r w:rsidR="00885C39"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68631D">
        <w:rPr>
          <w:rFonts w:ascii="Book Antiqua" w:hAnsi="Book Antiqua" w:cs="Arial"/>
          <w:lang w:val="es-ES"/>
        </w:rPr>
        <w:t>630</w:t>
      </w:r>
      <w:r w:rsidR="0087700A">
        <w:rPr>
          <w:rFonts w:ascii="Book Antiqua" w:hAnsi="Book Antiqua" w:cs="Arial"/>
          <w:lang w:val="es-ES"/>
        </w:rPr>
        <w:t>, tiene el honor de recomendar a este Alto Cuerpo su aprobación</w:t>
      </w:r>
      <w:bookmarkEnd w:id="2"/>
      <w:r w:rsidR="00611F58">
        <w:rPr>
          <w:rFonts w:ascii="Book Antiqua" w:hAnsi="Book Antiqua" w:cs="Arial"/>
          <w:lang w:val="es-ES"/>
        </w:rPr>
        <w:t xml:space="preserve">, sin enmiendas. </w:t>
      </w:r>
      <w:r w:rsidR="004756CA" w:rsidRPr="004756CA">
        <w:rPr>
          <w:rFonts w:ascii="Book Antiqua" w:hAnsi="Book Antiqua" w:cs="Arial"/>
          <w:lang w:val="es-ES"/>
        </w:rPr>
        <w:t xml:space="preserve"> </w:t>
      </w:r>
    </w:p>
    <w:p w14:paraId="7228C599" w14:textId="77777777" w:rsidR="00E24F6A" w:rsidRPr="002B40AA" w:rsidRDefault="00E24F6A" w:rsidP="0087700A">
      <w:pPr>
        <w:jc w:val="center"/>
        <w:rPr>
          <w:rFonts w:ascii="Book Antiqua" w:hAnsi="Book Antiqua"/>
          <w:b/>
          <w:i/>
          <w:smallCaps/>
          <w:szCs w:val="24"/>
          <w:lang w:val="es-ES"/>
        </w:rPr>
      </w:pPr>
      <w:bookmarkStart w:id="3"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1C77194B" w14:textId="2F529259" w:rsidR="00097977" w:rsidRDefault="0017674B" w:rsidP="0068631D">
      <w:pPr>
        <w:jc w:val="both"/>
        <w:rPr>
          <w:rFonts w:ascii="Book Antiqua" w:eastAsia="Book Antiqua" w:hAnsi="Book Antiqua" w:cs="Book Antiqua"/>
          <w:lang w:val="es-ES"/>
        </w:rPr>
      </w:pPr>
      <w:r>
        <w:rPr>
          <w:rFonts w:ascii="Book Antiqua" w:hAnsi="Book Antiqua"/>
          <w:lang w:val="es-ES"/>
        </w:rPr>
        <w:t xml:space="preserve"> </w:t>
      </w:r>
      <w:r w:rsidR="005665D9">
        <w:rPr>
          <w:rFonts w:ascii="Book Antiqua" w:hAnsi="Book Antiqua"/>
          <w:lang w:val="es-ES"/>
        </w:rPr>
        <w:t>El P</w:t>
      </w:r>
      <w:bookmarkStart w:id="4" w:name="_Hlk203112873"/>
      <w:r w:rsidR="005665D9">
        <w:rPr>
          <w:rFonts w:ascii="Book Antiqua" w:hAnsi="Book Antiqua"/>
          <w:lang w:val="es-ES"/>
        </w:rPr>
        <w:t xml:space="preserve">. del S. </w:t>
      </w:r>
      <w:r w:rsidR="0068631D">
        <w:rPr>
          <w:rFonts w:ascii="Book Antiqua" w:hAnsi="Book Antiqua"/>
          <w:lang w:val="es-ES"/>
        </w:rPr>
        <w:t>630</w:t>
      </w:r>
      <w:r w:rsidR="005665D9">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r w:rsidR="0068631D" w:rsidRPr="0068631D">
        <w:rPr>
          <w:rFonts w:ascii="Book Antiqua" w:hAnsi="Book Antiqua"/>
          <w:lang w:val="es-ES"/>
        </w:rPr>
        <w:t xml:space="preserve">enmendar el Artículo 2.004 de la Ley 107-2020, según enmendada, conocida como “Código Municipal de Puerto Rico”, a los fines de extender el término de los nombramientos interinos de </w:t>
      </w:r>
      <w:proofErr w:type="gramStart"/>
      <w:r w:rsidR="0068631D" w:rsidRPr="0068631D">
        <w:rPr>
          <w:rFonts w:ascii="Book Antiqua" w:hAnsi="Book Antiqua"/>
          <w:lang w:val="es-ES"/>
        </w:rPr>
        <w:t>Directores</w:t>
      </w:r>
      <w:proofErr w:type="gramEnd"/>
      <w:r w:rsidR="0068631D" w:rsidRPr="0068631D">
        <w:rPr>
          <w:rFonts w:ascii="Book Antiqua" w:hAnsi="Book Antiqua"/>
          <w:lang w:val="es-ES"/>
        </w:rPr>
        <w:t xml:space="preserve"> de Unidades Administrativas hasta un máximo de ciento ochenta (180) días; y para otros fines relacionados. </w:t>
      </w:r>
    </w:p>
    <w:bookmarkEnd w:id="3"/>
    <w:p w14:paraId="31A74E76" w14:textId="77777777" w:rsidR="0068631D" w:rsidRDefault="0068631D" w:rsidP="0068631D">
      <w:pPr>
        <w:contextualSpacing/>
        <w:jc w:val="both"/>
        <w:rPr>
          <w:rFonts w:ascii="Book Antiqua" w:hAnsi="Book Antiqua"/>
          <w:lang w:val="es-ES"/>
        </w:rPr>
      </w:pPr>
    </w:p>
    <w:p w14:paraId="60A7BDDE" w14:textId="3141CD57" w:rsidR="0068631D" w:rsidRPr="00FF0C5C" w:rsidRDefault="00A6622D" w:rsidP="0068631D">
      <w:pPr>
        <w:contextualSpacing/>
        <w:jc w:val="both"/>
        <w:rPr>
          <w:rFonts w:ascii="Book Antiqua" w:hAnsi="Book Antiqua"/>
          <w:lang w:val="es-ES"/>
        </w:rPr>
      </w:pPr>
      <w:r w:rsidRPr="0068631D">
        <w:rPr>
          <w:rFonts w:ascii="Book Antiqua" w:hAnsi="Book Antiqua"/>
          <w:lang w:val="es-ES"/>
        </w:rPr>
        <w:t xml:space="preserve">De la Exposición de Motivos del proyecto se desprende que </w:t>
      </w:r>
      <w:r w:rsidR="0068631D" w:rsidRPr="0068631D">
        <w:rPr>
          <w:rFonts w:ascii="Book Antiqua" w:hAnsi="Book Antiqua"/>
          <w:lang w:val="es-ES"/>
        </w:rPr>
        <w:t>e</w:t>
      </w:r>
      <w:r w:rsidR="0068631D" w:rsidRPr="00FF0C5C">
        <w:rPr>
          <w:rFonts w:ascii="Book Antiqua" w:hAnsi="Book Antiqua"/>
          <w:lang w:val="es-ES"/>
        </w:rPr>
        <w:t xml:space="preserve">l Código Municipal de Puerto Rico constituye el marco jurídico esencial que rige la organización, funcionamiento y administración de los municipios, asegurando una gestión pública ordenada, eficiente y transparente. Dentro de las facultades inherentes al cargo de </w:t>
      </w:r>
      <w:proofErr w:type="gramStart"/>
      <w:r w:rsidR="0068631D" w:rsidRPr="008C32E1">
        <w:rPr>
          <w:rFonts w:ascii="Book Antiqua" w:hAnsi="Book Antiqua"/>
          <w:lang w:val="es-PR"/>
        </w:rPr>
        <w:t>A</w:t>
      </w:r>
      <w:proofErr w:type="spellStart"/>
      <w:r w:rsidR="0068631D" w:rsidRPr="00FF0C5C">
        <w:rPr>
          <w:rFonts w:ascii="Book Antiqua" w:hAnsi="Book Antiqua"/>
          <w:lang w:val="es-ES"/>
        </w:rPr>
        <w:t>lcalde</w:t>
      </w:r>
      <w:proofErr w:type="spellEnd"/>
      <w:proofErr w:type="gramEnd"/>
      <w:r w:rsidR="0068631D" w:rsidRPr="00FF0C5C">
        <w:rPr>
          <w:rFonts w:ascii="Book Antiqua" w:hAnsi="Book Antiqua"/>
          <w:lang w:val="es-ES"/>
        </w:rPr>
        <w:t xml:space="preserve">, se destaca la autoridad para nombrar a los funcionarios que conforman el equipo de dirección municipal, particularmente aquellos que ejercen funciones clave como </w:t>
      </w:r>
      <w:proofErr w:type="gramStart"/>
      <w:r w:rsidR="0068631D" w:rsidRPr="00FF0C5C">
        <w:rPr>
          <w:rFonts w:ascii="Book Antiqua" w:hAnsi="Book Antiqua"/>
          <w:lang w:val="es-ES"/>
        </w:rPr>
        <w:t>Directores</w:t>
      </w:r>
      <w:proofErr w:type="gramEnd"/>
      <w:r w:rsidR="0068631D" w:rsidRPr="00FF0C5C">
        <w:rPr>
          <w:rFonts w:ascii="Book Antiqua" w:hAnsi="Book Antiqua"/>
          <w:lang w:val="es-ES"/>
        </w:rPr>
        <w:t xml:space="preserve"> de Unidades Administrativas. Estos directores son responsables de ejecutar las políticas públicas, implementar programas y supervisar la operación cotidiana de áreas fundamentales del municipio.</w:t>
      </w:r>
    </w:p>
    <w:p w14:paraId="6033543A" w14:textId="77777777" w:rsidR="002B40AA" w:rsidRDefault="002B40AA" w:rsidP="0068631D">
      <w:pPr>
        <w:contextualSpacing/>
        <w:jc w:val="both"/>
        <w:rPr>
          <w:rFonts w:ascii="Book Antiqua" w:hAnsi="Book Antiqua"/>
          <w:lang w:val="es-ES"/>
        </w:rPr>
      </w:pPr>
    </w:p>
    <w:p w14:paraId="08F21D9F" w14:textId="77777777" w:rsidR="005E14D7" w:rsidRDefault="005E14D7" w:rsidP="0068631D">
      <w:pPr>
        <w:contextualSpacing/>
        <w:jc w:val="both"/>
        <w:rPr>
          <w:rFonts w:ascii="Book Antiqua" w:hAnsi="Book Antiqua"/>
          <w:lang w:val="es-ES"/>
        </w:rPr>
      </w:pPr>
    </w:p>
    <w:p w14:paraId="4B70EB22" w14:textId="77777777" w:rsidR="005E14D7" w:rsidRDefault="005E14D7" w:rsidP="0068631D">
      <w:pPr>
        <w:contextualSpacing/>
        <w:jc w:val="both"/>
        <w:rPr>
          <w:rFonts w:ascii="Book Antiqua" w:hAnsi="Book Antiqua"/>
          <w:lang w:val="es-ES"/>
        </w:rPr>
      </w:pPr>
    </w:p>
    <w:p w14:paraId="1E2BD640" w14:textId="4B670D2A" w:rsidR="0068631D" w:rsidRPr="00FF0C5C" w:rsidRDefault="0068631D" w:rsidP="0068631D">
      <w:pPr>
        <w:contextualSpacing/>
        <w:jc w:val="both"/>
        <w:rPr>
          <w:rFonts w:ascii="Book Antiqua" w:hAnsi="Book Antiqua"/>
          <w:lang w:val="es-ES"/>
        </w:rPr>
      </w:pPr>
      <w:r w:rsidRPr="00FF0C5C">
        <w:rPr>
          <w:rFonts w:ascii="Book Antiqua" w:hAnsi="Book Antiqua"/>
          <w:lang w:val="es-ES"/>
        </w:rPr>
        <w:t xml:space="preserve">Sin embargo, </w:t>
      </w:r>
      <w:r w:rsidR="00726664">
        <w:rPr>
          <w:rFonts w:ascii="Book Antiqua" w:hAnsi="Book Antiqua"/>
          <w:lang w:val="es-ES"/>
        </w:rPr>
        <w:t xml:space="preserve">menciona el autor de la medida, que </w:t>
      </w:r>
      <w:r w:rsidRPr="00FF0C5C">
        <w:rPr>
          <w:rFonts w:ascii="Book Antiqua" w:hAnsi="Book Antiqua"/>
          <w:lang w:val="es-ES"/>
        </w:rPr>
        <w:t>el término</w:t>
      </w:r>
      <w:r w:rsidR="00726664">
        <w:rPr>
          <w:rFonts w:ascii="Book Antiqua" w:hAnsi="Book Antiqua"/>
          <w:lang w:val="es-ES"/>
        </w:rPr>
        <w:t>,</w:t>
      </w:r>
      <w:r w:rsidRPr="00FF0C5C">
        <w:rPr>
          <w:rFonts w:ascii="Book Antiqua" w:hAnsi="Book Antiqua"/>
          <w:lang w:val="es-ES"/>
        </w:rPr>
        <w:t xml:space="preserve"> actualmente permitido por ley para designaciones interinas puede resultar excesivamente restrictivo y no responde con realismo a los desafíos administrativos y estratégicos que conlleva identificar un candidato verdaderamente idóneo. El proceso de evaluación rigurosa, verificación de credenciales, entrevistas y ponderación de criterios de mérito y confianza institucional requiere tiempo razonable para poder asegurar que el funcionario designado posea las competencias técnicas y la alineación programática necesaria. Limitar dicho proceso a un término breve podría comprometer la calidad de la selección y afectar adversamente la continuidad de los servicios municipales.</w:t>
      </w:r>
    </w:p>
    <w:p w14:paraId="7CFB6CF3" w14:textId="77777777" w:rsidR="0068631D" w:rsidRPr="00FF0C5C" w:rsidRDefault="0068631D" w:rsidP="0068631D">
      <w:pPr>
        <w:contextualSpacing/>
        <w:jc w:val="both"/>
        <w:rPr>
          <w:rFonts w:ascii="Book Antiqua" w:hAnsi="Book Antiqua"/>
          <w:lang w:val="es-ES"/>
        </w:rPr>
      </w:pPr>
    </w:p>
    <w:p w14:paraId="12C71E9C" w14:textId="17A1CE64" w:rsidR="0068631D" w:rsidRPr="00FF0C5C" w:rsidRDefault="00726664" w:rsidP="0068631D">
      <w:pPr>
        <w:contextualSpacing/>
        <w:jc w:val="both"/>
        <w:rPr>
          <w:rFonts w:ascii="Book Antiqua" w:hAnsi="Book Antiqua"/>
          <w:lang w:val="es-ES"/>
        </w:rPr>
      </w:pPr>
      <w:r>
        <w:rPr>
          <w:rFonts w:ascii="Book Antiqua" w:hAnsi="Book Antiqua"/>
          <w:lang w:val="es-ES"/>
        </w:rPr>
        <w:t>La medida busca</w:t>
      </w:r>
      <w:r w:rsidR="0068631D" w:rsidRPr="00FF0C5C">
        <w:rPr>
          <w:rFonts w:ascii="Book Antiqua" w:hAnsi="Book Antiqua"/>
          <w:lang w:val="es-ES"/>
        </w:rPr>
        <w:t xml:space="preserve"> enmendar el término actualmente dispuesto para los nombramientos interinos de </w:t>
      </w:r>
      <w:proofErr w:type="gramStart"/>
      <w:r w:rsidR="0068631D" w:rsidRPr="00FF0C5C">
        <w:rPr>
          <w:rFonts w:ascii="Book Antiqua" w:hAnsi="Book Antiqua"/>
          <w:lang w:val="es-ES"/>
        </w:rPr>
        <w:t>Directores</w:t>
      </w:r>
      <w:proofErr w:type="gramEnd"/>
      <w:r w:rsidR="0068631D" w:rsidRPr="00FF0C5C">
        <w:rPr>
          <w:rFonts w:ascii="Book Antiqua" w:hAnsi="Book Antiqua"/>
          <w:lang w:val="es-ES"/>
        </w:rPr>
        <w:t xml:space="preserve"> de Unidades Administrativas en el ámbito municipal, extendiéndolo hasta un máximo de ciento ochenta (180) días calendario. Dicha ampliación responde a la necesidad práctica y administrativa de otorgar al alcalde un plazo razonable que le permita identificar, entrevistar, evaluar y seleccionar, con el debido rigor, a candidatos que no solo cumplan con los requisitos técnicos del cargo, sino que también cuenten con su confianza y se alineen con la visión estratégica y programática de su administración.</w:t>
      </w:r>
    </w:p>
    <w:p w14:paraId="22EA715A" w14:textId="77777777" w:rsidR="0068631D" w:rsidRPr="00FF0C5C" w:rsidRDefault="0068631D" w:rsidP="0068631D">
      <w:pPr>
        <w:contextualSpacing/>
        <w:jc w:val="both"/>
        <w:rPr>
          <w:rFonts w:ascii="Book Antiqua" w:hAnsi="Book Antiqua"/>
          <w:lang w:val="es-ES"/>
        </w:rPr>
      </w:pPr>
    </w:p>
    <w:p w14:paraId="7BEDF37A" w14:textId="548F9240" w:rsidR="0068631D" w:rsidRPr="00FF0C5C" w:rsidRDefault="0068631D" w:rsidP="0068631D">
      <w:pPr>
        <w:contextualSpacing/>
        <w:jc w:val="both"/>
        <w:rPr>
          <w:rFonts w:ascii="Book Antiqua" w:hAnsi="Book Antiqua"/>
          <w:lang w:val="es-ES"/>
        </w:rPr>
      </w:pPr>
      <w:r w:rsidRPr="00FF0C5C">
        <w:rPr>
          <w:rFonts w:ascii="Book Antiqua" w:hAnsi="Book Antiqua"/>
          <w:lang w:val="es-ES"/>
        </w:rPr>
        <w:t>El periodo adicional propuesto reconoce la complejidad de los procesos de reclutamiento en el sector público, particularmente cuando se requiere encontrar talento capacitado, éticamente comprometido y conocedor de la realidad operativa</w:t>
      </w:r>
      <w:r w:rsidRPr="00755B0A">
        <w:rPr>
          <w:rFonts w:ascii="Book Antiqua" w:hAnsi="Book Antiqua"/>
          <w:lang w:val="es-PR"/>
        </w:rPr>
        <w:t xml:space="preserve"> </w:t>
      </w:r>
      <w:r w:rsidRPr="00FF0C5C">
        <w:rPr>
          <w:rFonts w:ascii="Book Antiqua" w:hAnsi="Book Antiqua"/>
          <w:lang w:val="es-ES"/>
        </w:rPr>
        <w:t>del gobierno municipal. La ampliación del término interino no altera ni debilita el balance institucional dispuesto por ley entre el poder ejecutivo municipal y la</w:t>
      </w:r>
      <w:r w:rsidRPr="00755B0A">
        <w:rPr>
          <w:rFonts w:ascii="Book Antiqua" w:hAnsi="Book Antiqua"/>
          <w:lang w:val="es-PR"/>
        </w:rPr>
        <w:t xml:space="preserve"> legislatura municipal</w:t>
      </w:r>
      <w:r w:rsidRPr="00FF0C5C">
        <w:rPr>
          <w:rFonts w:ascii="Book Antiqua" w:hAnsi="Book Antiqua"/>
          <w:lang w:val="es-ES"/>
        </w:rPr>
        <w:t>, ya que se mantiene intacta la exigencia de someter los nombramientos en propiedad para la debida confirmación legislativa, conforme al ordenamiento vigente.</w:t>
      </w:r>
    </w:p>
    <w:p w14:paraId="26366726" w14:textId="77777777" w:rsidR="0068631D" w:rsidRPr="00FF0C5C" w:rsidRDefault="0068631D" w:rsidP="0068631D">
      <w:pPr>
        <w:contextualSpacing/>
        <w:jc w:val="both"/>
        <w:rPr>
          <w:rFonts w:ascii="Book Antiqua" w:hAnsi="Book Antiqua"/>
          <w:lang w:val="es-ES"/>
        </w:rPr>
      </w:pPr>
    </w:p>
    <w:p w14:paraId="72A280FC" w14:textId="5206B529" w:rsidR="0068631D" w:rsidRPr="00FF0C5C" w:rsidRDefault="0068631D" w:rsidP="0068631D">
      <w:pPr>
        <w:contextualSpacing/>
        <w:jc w:val="both"/>
        <w:rPr>
          <w:rFonts w:ascii="Book Antiqua" w:hAnsi="Book Antiqua"/>
          <w:lang w:val="es-ES"/>
        </w:rPr>
      </w:pPr>
      <w:r w:rsidRPr="00FF0C5C">
        <w:rPr>
          <w:rFonts w:ascii="Book Antiqua" w:hAnsi="Book Antiqua"/>
          <w:lang w:val="es-ES"/>
        </w:rPr>
        <w:t>Asimismo, esta</w:t>
      </w:r>
      <w:r w:rsidRPr="00755B0A">
        <w:rPr>
          <w:rFonts w:ascii="Book Antiqua" w:hAnsi="Book Antiqua"/>
          <w:lang w:val="es-PR"/>
        </w:rPr>
        <w:t xml:space="preserve"> </w:t>
      </w:r>
      <w:r w:rsidRPr="00FF0C5C">
        <w:rPr>
          <w:rFonts w:ascii="Book Antiqua" w:hAnsi="Book Antiqua"/>
          <w:lang w:val="es-ES"/>
        </w:rPr>
        <w:t>pretende garantizar la estabilidad y continuidad en la prestación de los servicios esenciales del municipio, evitando interrupciones innecesarias causadas por vacantes prolongadas o por la imposibilidad de completar procesos de selección en plazos irrazonablemente cortos. En contextos de transición, retiros, renuncias o cesantías imprevistas, resulta imperativo contar con la flexibilidad adecuada para responder con agilidad, sin comprometer la calidad de la gestión pública.</w:t>
      </w:r>
    </w:p>
    <w:p w14:paraId="31FBAF82" w14:textId="77777777" w:rsidR="0068631D" w:rsidRPr="00FF0C5C" w:rsidRDefault="0068631D" w:rsidP="0068631D">
      <w:pPr>
        <w:contextualSpacing/>
        <w:jc w:val="both"/>
        <w:rPr>
          <w:rFonts w:ascii="Book Antiqua" w:hAnsi="Book Antiqua"/>
          <w:lang w:val="es-ES"/>
        </w:rPr>
      </w:pPr>
    </w:p>
    <w:p w14:paraId="5F3B3284" w14:textId="3C222950" w:rsidR="0068631D" w:rsidRPr="00FF0C5C" w:rsidRDefault="0068631D" w:rsidP="0068631D">
      <w:pPr>
        <w:contextualSpacing/>
        <w:jc w:val="both"/>
        <w:rPr>
          <w:rFonts w:ascii="Book Antiqua" w:hAnsi="Book Antiqua"/>
          <w:lang w:val="es-ES"/>
        </w:rPr>
      </w:pPr>
      <w:r w:rsidRPr="00FF0C5C">
        <w:rPr>
          <w:rFonts w:ascii="Book Antiqua" w:hAnsi="Book Antiqua"/>
          <w:lang w:val="es-ES"/>
        </w:rPr>
        <w:t xml:space="preserve">En última instancia, </w:t>
      </w:r>
      <w:r w:rsidR="00726664">
        <w:rPr>
          <w:rFonts w:ascii="Book Antiqua" w:hAnsi="Book Antiqua"/>
          <w:lang w:val="es-ES"/>
        </w:rPr>
        <w:t>la medida expresa que,</w:t>
      </w:r>
      <w:r w:rsidRPr="00755B0A">
        <w:rPr>
          <w:rFonts w:ascii="Book Antiqua" w:hAnsi="Book Antiqua"/>
          <w:lang w:val="es-PR"/>
        </w:rPr>
        <w:t xml:space="preserve"> </w:t>
      </w:r>
      <w:r w:rsidR="00726664">
        <w:rPr>
          <w:rFonts w:ascii="Book Antiqua" w:hAnsi="Book Antiqua"/>
          <w:lang w:val="es-PR"/>
        </w:rPr>
        <w:t>su</w:t>
      </w:r>
      <w:r w:rsidRPr="00FF0C5C">
        <w:rPr>
          <w:rFonts w:ascii="Book Antiqua" w:hAnsi="Book Antiqua"/>
          <w:lang w:val="es-ES"/>
        </w:rPr>
        <w:t xml:space="preserve"> fundament</w:t>
      </w:r>
      <w:r w:rsidR="00726664">
        <w:rPr>
          <w:rFonts w:ascii="Book Antiqua" w:hAnsi="Book Antiqua"/>
          <w:lang w:val="es-ES"/>
        </w:rPr>
        <w:t>o es</w:t>
      </w:r>
      <w:r w:rsidRPr="00FF0C5C">
        <w:rPr>
          <w:rFonts w:ascii="Book Antiqua" w:hAnsi="Book Antiqua"/>
          <w:lang w:val="es-ES"/>
        </w:rPr>
        <w:t xml:space="preserve"> el compromiso con una administración pública moderna, transparente, profesional y eficiente. Su propósito es facilitar los procesos administrativos, promover el reclutamiento de personal competente y robustecer la institucionalidad municipal mediante prácticas que armonicen la confianza política con los principios de mérito, responsabilidad y servicio al interés público.</w:t>
      </w:r>
    </w:p>
    <w:p w14:paraId="49C81250" w14:textId="77777777" w:rsidR="005E14D7" w:rsidRDefault="005E14D7" w:rsidP="005E14D7">
      <w:pPr>
        <w:spacing w:after="100" w:afterAutospacing="1"/>
        <w:outlineLvl w:val="1"/>
        <w:rPr>
          <w:rFonts w:ascii="Book Antiqua" w:eastAsia="Times New Roman" w:hAnsi="Book Antiqua"/>
          <w:b/>
          <w:bCs/>
          <w:i/>
          <w:iCs/>
          <w:szCs w:val="24"/>
          <w:lang w:val="es-DO"/>
        </w:rPr>
      </w:pPr>
      <w:bookmarkStart w:id="5" w:name="_Hlk193349736"/>
    </w:p>
    <w:p w14:paraId="5E77721C" w14:textId="77777777" w:rsidR="005E14D7" w:rsidRDefault="005E14D7" w:rsidP="005E14D7">
      <w:pPr>
        <w:jc w:val="center"/>
        <w:outlineLvl w:val="1"/>
        <w:rPr>
          <w:rFonts w:ascii="Book Antiqua" w:eastAsia="Times New Roman" w:hAnsi="Book Antiqua"/>
          <w:b/>
          <w:bCs/>
          <w:i/>
          <w:iCs/>
          <w:szCs w:val="24"/>
          <w:lang w:val="es-DO"/>
        </w:rPr>
      </w:pPr>
    </w:p>
    <w:p w14:paraId="4736C1DA" w14:textId="4E77A165" w:rsidR="001269D9" w:rsidRPr="001269D9" w:rsidRDefault="001269D9" w:rsidP="005E14D7">
      <w:pPr>
        <w:jc w:val="center"/>
        <w:outlineLvl w:val="1"/>
        <w:rPr>
          <w:rFonts w:ascii="Book Antiqua" w:eastAsia="Times New Roman" w:hAnsi="Book Antiqua"/>
          <w:b/>
          <w:bCs/>
          <w:i/>
          <w:iCs/>
          <w:szCs w:val="24"/>
          <w:lang w:val="es-DO"/>
        </w:rPr>
      </w:pPr>
      <w:r w:rsidRPr="001269D9">
        <w:rPr>
          <w:rFonts w:ascii="Book Antiqua" w:eastAsia="Times New Roman" w:hAnsi="Book Antiqua"/>
          <w:b/>
          <w:bCs/>
          <w:i/>
          <w:iCs/>
          <w:szCs w:val="24"/>
          <w:lang w:val="es-DO"/>
        </w:rPr>
        <w:t xml:space="preserve">Citaciones </w:t>
      </w:r>
      <w:r w:rsidR="00082DE6" w:rsidRPr="001269D9">
        <w:rPr>
          <w:rFonts w:ascii="Book Antiqua" w:eastAsia="Times New Roman" w:hAnsi="Book Antiqua"/>
          <w:b/>
          <w:bCs/>
          <w:i/>
          <w:iCs/>
          <w:szCs w:val="24"/>
          <w:lang w:val="es-DO"/>
        </w:rPr>
        <w:t xml:space="preserve">y </w:t>
      </w:r>
      <w:r w:rsidR="00082DE6">
        <w:rPr>
          <w:rFonts w:ascii="Book Antiqua" w:eastAsia="Times New Roman" w:hAnsi="Book Antiqua"/>
          <w:b/>
          <w:bCs/>
          <w:i/>
          <w:iCs/>
          <w:szCs w:val="24"/>
          <w:lang w:val="es-DO"/>
        </w:rPr>
        <w:t>Trámite</w:t>
      </w:r>
      <w:r w:rsidR="00063B34">
        <w:rPr>
          <w:rFonts w:ascii="Book Antiqua" w:eastAsia="Times New Roman" w:hAnsi="Book Antiqua"/>
          <w:b/>
          <w:bCs/>
          <w:i/>
          <w:iCs/>
          <w:szCs w:val="24"/>
          <w:lang w:val="es-DO"/>
        </w:rPr>
        <w:t xml:space="preserve"> Legislativo </w:t>
      </w:r>
    </w:p>
    <w:p w14:paraId="1AB7B478" w14:textId="53C2B350" w:rsidR="001269D9" w:rsidRPr="001269D9" w:rsidRDefault="001269D9" w:rsidP="001269D9">
      <w:pPr>
        <w:spacing w:before="100" w:beforeAutospacing="1" w:after="100" w:afterAutospacing="1"/>
        <w:jc w:val="both"/>
        <w:rPr>
          <w:rFonts w:ascii="Book Antiqua" w:eastAsia="Times New Roman" w:hAnsi="Book Antiqua"/>
          <w:szCs w:val="24"/>
          <w:lang w:val="es-DO"/>
        </w:rPr>
      </w:pPr>
      <w:r w:rsidRPr="001269D9">
        <w:rPr>
          <w:rFonts w:ascii="Book Antiqua" w:eastAsia="Times New Roman" w:hAnsi="Book Antiqua"/>
          <w:szCs w:val="24"/>
          <w:lang w:val="es-DO"/>
        </w:rPr>
        <w:t>Como parte del proceso de evaluación legislativa del Proyecto del Senado 630, la Comisión de Asuntos Municipales cursó diversas comunicaciones dirigidas</w:t>
      </w:r>
      <w:r w:rsidR="00726664">
        <w:rPr>
          <w:rFonts w:ascii="Book Antiqua" w:eastAsia="Times New Roman" w:hAnsi="Book Antiqua"/>
          <w:szCs w:val="24"/>
          <w:lang w:val="es-DO"/>
        </w:rPr>
        <w:t xml:space="preserve"> a varias, agencias y entidades</w:t>
      </w:r>
      <w:r w:rsidRPr="001269D9">
        <w:rPr>
          <w:rFonts w:ascii="Book Antiqua" w:eastAsia="Times New Roman" w:hAnsi="Book Antiqua"/>
          <w:szCs w:val="24"/>
          <w:lang w:val="es-DO"/>
        </w:rPr>
        <w:t>, con el propósito de solicitar memoriales explicativos y requerir su comparecencia a vistas públicas, a fin de obtener insumo especializado sobre el alcance y los efectos de la medida.</w:t>
      </w:r>
    </w:p>
    <w:p w14:paraId="14932521" w14:textId="0F6E4876" w:rsidR="001269D9" w:rsidRPr="001269D9" w:rsidRDefault="001269D9" w:rsidP="001269D9">
      <w:pPr>
        <w:spacing w:before="100" w:beforeAutospacing="1" w:after="100" w:afterAutospacing="1"/>
        <w:jc w:val="both"/>
        <w:rPr>
          <w:rFonts w:ascii="Book Antiqua" w:eastAsia="Times New Roman" w:hAnsi="Book Antiqua"/>
          <w:szCs w:val="24"/>
          <w:lang w:val="es-DO"/>
        </w:rPr>
      </w:pPr>
      <w:r w:rsidRPr="000E63A1">
        <w:rPr>
          <w:rFonts w:ascii="Book Antiqua" w:eastAsia="Times New Roman" w:hAnsi="Book Antiqua"/>
          <w:szCs w:val="24"/>
          <w:lang w:val="es-DO"/>
        </w:rPr>
        <w:t xml:space="preserve">En primer lugar, mediante comunicaciones fechadas </w:t>
      </w:r>
      <w:r w:rsidR="00AC6864" w:rsidRPr="000E63A1">
        <w:rPr>
          <w:rFonts w:ascii="Book Antiqua" w:eastAsia="Times New Roman" w:hAnsi="Book Antiqua"/>
          <w:szCs w:val="24"/>
          <w:lang w:val="es-DO"/>
        </w:rPr>
        <w:t xml:space="preserve">el </w:t>
      </w:r>
      <w:r w:rsidRPr="000E63A1">
        <w:rPr>
          <w:rFonts w:ascii="Book Antiqua" w:eastAsia="Times New Roman" w:hAnsi="Book Antiqua"/>
          <w:b/>
          <w:bCs/>
          <w:szCs w:val="24"/>
          <w:lang w:val="es-DO"/>
        </w:rPr>
        <w:t>30 de junio de 2025</w:t>
      </w:r>
      <w:r w:rsidRPr="000E63A1">
        <w:rPr>
          <w:rFonts w:ascii="Book Antiqua" w:eastAsia="Times New Roman" w:hAnsi="Book Antiqua"/>
          <w:szCs w:val="24"/>
          <w:lang w:val="es-DO"/>
        </w:rPr>
        <w:t xml:space="preserve">, la Comisión solicitó memoriales explicativos a varias entidades y organismos relacionados con la administración municipal. Entre las entidades contactadas se encuentran la </w:t>
      </w:r>
      <w:r w:rsidRPr="000E63A1">
        <w:rPr>
          <w:rFonts w:ascii="Book Antiqua" w:eastAsia="Times New Roman" w:hAnsi="Book Antiqua"/>
          <w:b/>
          <w:bCs/>
          <w:szCs w:val="24"/>
          <w:lang w:val="es-DO"/>
        </w:rPr>
        <w:t xml:space="preserve">Asociación de </w:t>
      </w:r>
      <w:proofErr w:type="gramStart"/>
      <w:r w:rsidRPr="000E63A1">
        <w:rPr>
          <w:rFonts w:ascii="Book Antiqua" w:eastAsia="Times New Roman" w:hAnsi="Book Antiqua"/>
          <w:b/>
          <w:bCs/>
          <w:szCs w:val="24"/>
          <w:lang w:val="es-DO"/>
        </w:rPr>
        <w:t>Alcaldes</w:t>
      </w:r>
      <w:proofErr w:type="gramEnd"/>
      <w:r w:rsidRPr="000E63A1">
        <w:rPr>
          <w:rFonts w:ascii="Book Antiqua" w:eastAsia="Times New Roman" w:hAnsi="Book Antiqua"/>
          <w:b/>
          <w:bCs/>
          <w:szCs w:val="24"/>
          <w:lang w:val="es-DO"/>
        </w:rPr>
        <w:t xml:space="preserve"> de Puerto Rico</w:t>
      </w:r>
      <w:r w:rsidR="000E63A1">
        <w:rPr>
          <w:rFonts w:ascii="Book Antiqua" w:eastAsia="Times New Roman" w:hAnsi="Book Antiqua"/>
          <w:b/>
          <w:bCs/>
          <w:szCs w:val="24"/>
          <w:lang w:val="es-DO"/>
        </w:rPr>
        <w:t xml:space="preserve"> (AAPR)</w:t>
      </w:r>
      <w:r w:rsidRPr="000E63A1">
        <w:rPr>
          <w:rFonts w:ascii="Book Antiqua" w:eastAsia="Times New Roman" w:hAnsi="Book Antiqua"/>
          <w:szCs w:val="24"/>
          <w:lang w:val="es-DO"/>
        </w:rPr>
        <w:t xml:space="preserve">, la </w:t>
      </w:r>
      <w:r w:rsidRPr="000E63A1">
        <w:rPr>
          <w:rFonts w:ascii="Book Antiqua" w:eastAsia="Times New Roman" w:hAnsi="Book Antiqua"/>
          <w:b/>
          <w:bCs/>
          <w:szCs w:val="24"/>
          <w:lang w:val="es-DO"/>
        </w:rPr>
        <w:t xml:space="preserve">Federación de </w:t>
      </w:r>
      <w:proofErr w:type="gramStart"/>
      <w:r w:rsidRPr="000E63A1">
        <w:rPr>
          <w:rFonts w:ascii="Book Antiqua" w:eastAsia="Times New Roman" w:hAnsi="Book Antiqua"/>
          <w:b/>
          <w:bCs/>
          <w:szCs w:val="24"/>
          <w:lang w:val="es-DO"/>
        </w:rPr>
        <w:t>Alcaldes</w:t>
      </w:r>
      <w:proofErr w:type="gramEnd"/>
      <w:r w:rsidRPr="000E63A1">
        <w:rPr>
          <w:rFonts w:ascii="Book Antiqua" w:eastAsia="Times New Roman" w:hAnsi="Book Antiqua"/>
          <w:b/>
          <w:bCs/>
          <w:szCs w:val="24"/>
          <w:lang w:val="es-DO"/>
        </w:rPr>
        <w:t xml:space="preserve"> de Puerto Rico</w:t>
      </w:r>
      <w:r w:rsidR="000E63A1">
        <w:rPr>
          <w:rFonts w:ascii="Book Antiqua" w:eastAsia="Times New Roman" w:hAnsi="Book Antiqua"/>
          <w:b/>
          <w:bCs/>
          <w:szCs w:val="24"/>
          <w:lang w:val="es-DO"/>
        </w:rPr>
        <w:t xml:space="preserve"> (FAPR)</w:t>
      </w:r>
      <w:r w:rsidR="00F50F50">
        <w:rPr>
          <w:rFonts w:ascii="Book Antiqua" w:eastAsia="Times New Roman" w:hAnsi="Book Antiqua"/>
          <w:szCs w:val="24"/>
          <w:lang w:val="es-DO"/>
        </w:rPr>
        <w:t xml:space="preserve"> y </w:t>
      </w:r>
      <w:r w:rsidRPr="000E63A1">
        <w:rPr>
          <w:rFonts w:ascii="Book Antiqua" w:eastAsia="Times New Roman" w:hAnsi="Book Antiqua"/>
          <w:szCs w:val="24"/>
          <w:lang w:val="es-DO"/>
        </w:rPr>
        <w:t xml:space="preserve">el </w:t>
      </w:r>
      <w:r w:rsidRPr="000E63A1">
        <w:rPr>
          <w:rFonts w:ascii="Book Antiqua" w:eastAsia="Times New Roman" w:hAnsi="Book Antiqua"/>
          <w:b/>
          <w:bCs/>
          <w:szCs w:val="24"/>
          <w:lang w:val="es-DO"/>
        </w:rPr>
        <w:t>Departamento del Trabajo y Recursos Humanos</w:t>
      </w:r>
      <w:r w:rsidR="000E63A1">
        <w:rPr>
          <w:rFonts w:ascii="Book Antiqua" w:eastAsia="Times New Roman" w:hAnsi="Book Antiqua"/>
          <w:b/>
          <w:bCs/>
          <w:szCs w:val="24"/>
          <w:lang w:val="es-DO"/>
        </w:rPr>
        <w:t xml:space="preserve"> (DTRH</w:t>
      </w:r>
      <w:r w:rsidR="00F50F50">
        <w:rPr>
          <w:rFonts w:ascii="Book Antiqua" w:eastAsia="Times New Roman" w:hAnsi="Book Antiqua"/>
          <w:b/>
          <w:bCs/>
          <w:szCs w:val="24"/>
          <w:lang w:val="es-DO"/>
        </w:rPr>
        <w:t>)</w:t>
      </w:r>
      <w:r w:rsidRPr="000E63A1">
        <w:rPr>
          <w:rFonts w:ascii="Book Antiqua" w:eastAsia="Times New Roman" w:hAnsi="Book Antiqua"/>
          <w:szCs w:val="24"/>
          <w:lang w:val="es-DO"/>
        </w:rPr>
        <w:t xml:space="preserve"> solicitándoles someter sus comentarios en o antes del </w:t>
      </w:r>
      <w:r w:rsidRPr="000E63A1">
        <w:rPr>
          <w:rFonts w:ascii="Book Antiqua" w:eastAsia="Times New Roman" w:hAnsi="Book Antiqua"/>
          <w:b/>
          <w:bCs/>
          <w:szCs w:val="24"/>
          <w:lang w:val="es-DO"/>
        </w:rPr>
        <w:t>14 de julio de 2025</w:t>
      </w:r>
      <w:r w:rsidRPr="000E63A1">
        <w:rPr>
          <w:rFonts w:ascii="Book Antiqua" w:eastAsia="Times New Roman" w:hAnsi="Book Antiqua"/>
          <w:szCs w:val="24"/>
          <w:lang w:val="es-DO"/>
        </w:rPr>
        <w:t>.</w:t>
      </w:r>
      <w:r w:rsidR="00F50F50">
        <w:rPr>
          <w:rFonts w:ascii="Book Antiqua" w:eastAsia="Times New Roman" w:hAnsi="Book Antiqua"/>
          <w:szCs w:val="24"/>
          <w:lang w:val="es-DO"/>
        </w:rPr>
        <w:t xml:space="preserve"> Además, se le solicitó a la </w:t>
      </w:r>
      <w:r w:rsidR="00F50F50">
        <w:rPr>
          <w:rFonts w:ascii="Book Antiqua" w:eastAsia="Times New Roman" w:hAnsi="Book Antiqua"/>
          <w:b/>
          <w:bCs/>
          <w:szCs w:val="24"/>
          <w:lang w:val="es-DO"/>
        </w:rPr>
        <w:t>Oficina de Presupuesto de la Asamblea Legislativa (OPAL)</w:t>
      </w:r>
      <w:r w:rsidR="00315EDE">
        <w:rPr>
          <w:rFonts w:ascii="Book Antiqua" w:eastAsia="Times New Roman" w:hAnsi="Book Antiqua"/>
          <w:b/>
          <w:bCs/>
          <w:szCs w:val="24"/>
          <w:lang w:val="es-DO"/>
        </w:rPr>
        <w:t xml:space="preserve">, </w:t>
      </w:r>
      <w:r w:rsidR="00315EDE" w:rsidRPr="00315EDE">
        <w:rPr>
          <w:rFonts w:ascii="Book Antiqua" w:eastAsia="Times New Roman" w:hAnsi="Book Antiqua"/>
          <w:szCs w:val="24"/>
          <w:lang w:val="es-DO"/>
        </w:rPr>
        <w:t>el análisis sobre esta medida.</w:t>
      </w:r>
      <w:r w:rsidR="00315EDE">
        <w:rPr>
          <w:rFonts w:ascii="Book Antiqua" w:eastAsia="Times New Roman" w:hAnsi="Book Antiqua"/>
          <w:b/>
          <w:bCs/>
          <w:szCs w:val="24"/>
          <w:lang w:val="es-DO"/>
        </w:rPr>
        <w:t xml:space="preserve"> </w:t>
      </w:r>
    </w:p>
    <w:p w14:paraId="63A61296" w14:textId="5B4B8866" w:rsidR="001269D9" w:rsidRDefault="001269D9" w:rsidP="001269D9">
      <w:pPr>
        <w:spacing w:before="100" w:beforeAutospacing="1" w:after="100" w:afterAutospacing="1"/>
        <w:jc w:val="both"/>
        <w:rPr>
          <w:rFonts w:ascii="Book Antiqua" w:eastAsia="Times New Roman" w:hAnsi="Book Antiqua"/>
          <w:szCs w:val="24"/>
          <w:lang w:val="es-DO"/>
        </w:rPr>
      </w:pPr>
      <w:r w:rsidRPr="001269D9">
        <w:rPr>
          <w:rFonts w:ascii="Book Antiqua" w:eastAsia="Times New Roman" w:hAnsi="Book Antiqua"/>
          <w:szCs w:val="24"/>
          <w:lang w:val="es-DO"/>
        </w:rPr>
        <w:t xml:space="preserve">Posteriormente, mediante comunicaciones fechadas </w:t>
      </w:r>
      <w:r w:rsidRPr="001269D9">
        <w:rPr>
          <w:rFonts w:ascii="Book Antiqua" w:eastAsia="Times New Roman" w:hAnsi="Book Antiqua"/>
          <w:b/>
          <w:bCs/>
          <w:szCs w:val="24"/>
          <w:lang w:val="es-DO"/>
        </w:rPr>
        <w:t>29 de septiembre de 2025</w:t>
      </w:r>
      <w:r w:rsidRPr="001269D9">
        <w:rPr>
          <w:rFonts w:ascii="Book Antiqua" w:eastAsia="Times New Roman" w:hAnsi="Book Antiqua"/>
          <w:szCs w:val="24"/>
          <w:lang w:val="es-DO"/>
        </w:rPr>
        <w:t xml:space="preserve">, la Comisión cursó citaciones formales para comparecer a la </w:t>
      </w:r>
      <w:r w:rsidRPr="001269D9">
        <w:rPr>
          <w:rFonts w:ascii="Book Antiqua" w:eastAsia="Times New Roman" w:hAnsi="Book Antiqua"/>
          <w:b/>
          <w:bCs/>
          <w:szCs w:val="24"/>
          <w:lang w:val="es-DO"/>
        </w:rPr>
        <w:t>vista pública celebrada el viernes, 10 de octubre de 2025, a las 10:00 a.m., en el Salón de Audiencias 1</w:t>
      </w:r>
      <w:r w:rsidRPr="001269D9">
        <w:rPr>
          <w:rFonts w:ascii="Book Antiqua" w:eastAsia="Times New Roman" w:hAnsi="Book Antiqua"/>
          <w:szCs w:val="24"/>
          <w:lang w:val="es-DO"/>
        </w:rPr>
        <w:t xml:space="preserve">. A tales efectos, fueron </w:t>
      </w:r>
      <w:r w:rsidR="00AC6864">
        <w:rPr>
          <w:rFonts w:ascii="Book Antiqua" w:eastAsia="Times New Roman" w:hAnsi="Book Antiqua"/>
          <w:szCs w:val="24"/>
          <w:lang w:val="es-DO"/>
        </w:rPr>
        <w:t>citadas</w:t>
      </w:r>
      <w:r w:rsidRPr="001269D9">
        <w:rPr>
          <w:rFonts w:ascii="Book Antiqua" w:eastAsia="Times New Roman" w:hAnsi="Book Antiqua"/>
          <w:szCs w:val="24"/>
          <w:lang w:val="es-DO"/>
        </w:rPr>
        <w:t xml:space="preserve"> la </w:t>
      </w:r>
      <w:r w:rsidRPr="001269D9">
        <w:rPr>
          <w:rFonts w:ascii="Book Antiqua" w:eastAsia="Times New Roman" w:hAnsi="Book Antiqua"/>
          <w:b/>
          <w:bCs/>
          <w:szCs w:val="24"/>
          <w:lang w:val="es-DO"/>
        </w:rPr>
        <w:t xml:space="preserve">Asociación de </w:t>
      </w:r>
      <w:proofErr w:type="gramStart"/>
      <w:r w:rsidRPr="001269D9">
        <w:rPr>
          <w:rFonts w:ascii="Book Antiqua" w:eastAsia="Times New Roman" w:hAnsi="Book Antiqua"/>
          <w:b/>
          <w:bCs/>
          <w:szCs w:val="24"/>
          <w:lang w:val="es-DO"/>
        </w:rPr>
        <w:t>Alcaldes</w:t>
      </w:r>
      <w:proofErr w:type="gramEnd"/>
      <w:r w:rsidRPr="001269D9">
        <w:rPr>
          <w:rFonts w:ascii="Book Antiqua" w:eastAsia="Times New Roman" w:hAnsi="Book Antiqua"/>
          <w:b/>
          <w:bCs/>
          <w:szCs w:val="24"/>
          <w:lang w:val="es-DO"/>
        </w:rPr>
        <w:t xml:space="preserve"> de Puerto Rico</w:t>
      </w:r>
      <w:r w:rsidRPr="001269D9">
        <w:rPr>
          <w:rFonts w:ascii="Book Antiqua" w:eastAsia="Times New Roman" w:hAnsi="Book Antiqua"/>
          <w:szCs w:val="24"/>
          <w:lang w:val="es-DO"/>
        </w:rPr>
        <w:t xml:space="preserve">, la </w:t>
      </w:r>
      <w:r w:rsidRPr="001269D9">
        <w:rPr>
          <w:rFonts w:ascii="Book Antiqua" w:eastAsia="Times New Roman" w:hAnsi="Book Antiqua"/>
          <w:b/>
          <w:bCs/>
          <w:szCs w:val="24"/>
          <w:lang w:val="es-DO"/>
        </w:rPr>
        <w:t xml:space="preserve">Federación de </w:t>
      </w:r>
      <w:proofErr w:type="gramStart"/>
      <w:r w:rsidRPr="001269D9">
        <w:rPr>
          <w:rFonts w:ascii="Book Antiqua" w:eastAsia="Times New Roman" w:hAnsi="Book Antiqua"/>
          <w:b/>
          <w:bCs/>
          <w:szCs w:val="24"/>
          <w:lang w:val="es-DO"/>
        </w:rPr>
        <w:t>Alcaldes</w:t>
      </w:r>
      <w:proofErr w:type="gramEnd"/>
      <w:r w:rsidRPr="001269D9">
        <w:rPr>
          <w:rFonts w:ascii="Book Antiqua" w:eastAsia="Times New Roman" w:hAnsi="Book Antiqua"/>
          <w:b/>
          <w:bCs/>
          <w:szCs w:val="24"/>
          <w:lang w:val="es-DO"/>
        </w:rPr>
        <w:t xml:space="preserve"> de Puerto Rico</w:t>
      </w:r>
      <w:r w:rsidRPr="001269D9">
        <w:rPr>
          <w:rFonts w:ascii="Book Antiqua" w:eastAsia="Times New Roman" w:hAnsi="Book Antiqua"/>
          <w:szCs w:val="24"/>
          <w:lang w:val="es-DO"/>
        </w:rPr>
        <w:t xml:space="preserve"> y la </w:t>
      </w:r>
      <w:r w:rsidRPr="001269D9">
        <w:rPr>
          <w:rFonts w:ascii="Book Antiqua" w:eastAsia="Times New Roman" w:hAnsi="Book Antiqua"/>
          <w:b/>
          <w:bCs/>
          <w:szCs w:val="24"/>
          <w:lang w:val="es-DO"/>
        </w:rPr>
        <w:t>Oficina de Administración y Transformación de los Recursos Humanos (OATRH)</w:t>
      </w:r>
      <w:r w:rsidRPr="001269D9">
        <w:rPr>
          <w:rFonts w:ascii="Book Antiqua" w:eastAsia="Times New Roman" w:hAnsi="Book Antiqua"/>
          <w:szCs w:val="24"/>
          <w:lang w:val="es-DO"/>
        </w:rPr>
        <w:t xml:space="preserve">. </w:t>
      </w:r>
    </w:p>
    <w:p w14:paraId="22935308" w14:textId="311705F0" w:rsidR="001269D9" w:rsidRDefault="001269D9" w:rsidP="001269D9">
      <w:pPr>
        <w:spacing w:before="100" w:beforeAutospacing="1" w:after="100" w:afterAutospacing="1"/>
        <w:jc w:val="both"/>
        <w:rPr>
          <w:rFonts w:ascii="Book Antiqua" w:eastAsia="Times New Roman" w:hAnsi="Book Antiqua"/>
          <w:szCs w:val="24"/>
          <w:lang w:val="es-DO"/>
        </w:rPr>
      </w:pPr>
      <w:r w:rsidRPr="001269D9">
        <w:rPr>
          <w:rFonts w:ascii="Book Antiqua" w:eastAsia="Times New Roman" w:hAnsi="Book Antiqua"/>
          <w:szCs w:val="24"/>
          <w:lang w:val="es-DO"/>
        </w:rPr>
        <w:t xml:space="preserve">De igual forma, mediante comunicaciones fechadas </w:t>
      </w:r>
      <w:r w:rsidRPr="001269D9">
        <w:rPr>
          <w:rFonts w:ascii="Book Antiqua" w:eastAsia="Times New Roman" w:hAnsi="Book Antiqua"/>
          <w:b/>
          <w:bCs/>
          <w:szCs w:val="24"/>
          <w:lang w:val="es-DO"/>
        </w:rPr>
        <w:t>30 de septiembre de 2025</w:t>
      </w:r>
      <w:r w:rsidRPr="001269D9">
        <w:rPr>
          <w:rFonts w:ascii="Book Antiqua" w:eastAsia="Times New Roman" w:hAnsi="Book Antiqua"/>
          <w:szCs w:val="24"/>
          <w:lang w:val="es-DO"/>
        </w:rPr>
        <w:t xml:space="preserve">, la Comisión extendió citaciones para comparecer a la </w:t>
      </w:r>
      <w:r w:rsidRPr="001269D9">
        <w:rPr>
          <w:rFonts w:ascii="Book Antiqua" w:eastAsia="Times New Roman" w:hAnsi="Book Antiqua"/>
          <w:b/>
          <w:bCs/>
          <w:szCs w:val="24"/>
          <w:lang w:val="es-DO"/>
        </w:rPr>
        <w:t xml:space="preserve">segunda vista pública celebrada el miércoles, 29 de octubre de 2025, a las 10:00 a.m., en el Salón de Audiencias </w:t>
      </w:r>
      <w:r w:rsidR="00082DE6">
        <w:rPr>
          <w:rFonts w:ascii="Book Antiqua" w:eastAsia="Times New Roman" w:hAnsi="Book Antiqua"/>
          <w:b/>
          <w:bCs/>
          <w:szCs w:val="24"/>
          <w:lang w:val="es-DO"/>
        </w:rPr>
        <w:t>1</w:t>
      </w:r>
      <w:r w:rsidRPr="001269D9">
        <w:rPr>
          <w:rFonts w:ascii="Book Antiqua" w:eastAsia="Times New Roman" w:hAnsi="Book Antiqua"/>
          <w:szCs w:val="24"/>
          <w:lang w:val="es-DO"/>
        </w:rPr>
        <w:t xml:space="preserve">. En esta ocasión se solicitó la comparecencia de la </w:t>
      </w:r>
      <w:r w:rsidRPr="001269D9">
        <w:rPr>
          <w:rFonts w:ascii="Book Antiqua" w:eastAsia="Times New Roman" w:hAnsi="Book Antiqua"/>
          <w:b/>
          <w:bCs/>
          <w:szCs w:val="24"/>
          <w:lang w:val="es-DO"/>
        </w:rPr>
        <w:t>Asociación de Legisladores Municipales de Puerto Rico</w:t>
      </w:r>
      <w:r w:rsidRPr="001269D9">
        <w:rPr>
          <w:rFonts w:ascii="Book Antiqua" w:eastAsia="Times New Roman" w:hAnsi="Book Antiqua"/>
          <w:szCs w:val="24"/>
          <w:lang w:val="es-DO"/>
        </w:rPr>
        <w:t xml:space="preserve">, la </w:t>
      </w:r>
      <w:r w:rsidRPr="001269D9">
        <w:rPr>
          <w:rFonts w:ascii="Book Antiqua" w:eastAsia="Times New Roman" w:hAnsi="Book Antiqua"/>
          <w:b/>
          <w:bCs/>
          <w:szCs w:val="24"/>
          <w:lang w:val="es-DO"/>
        </w:rPr>
        <w:t>Federación de Legisladores Municipales de Puerto Rico</w:t>
      </w:r>
      <w:r w:rsidRPr="001269D9">
        <w:rPr>
          <w:rFonts w:ascii="Book Antiqua" w:eastAsia="Times New Roman" w:hAnsi="Book Antiqua"/>
          <w:szCs w:val="24"/>
          <w:lang w:val="es-DO"/>
        </w:rPr>
        <w:t xml:space="preserve">, el </w:t>
      </w:r>
      <w:r w:rsidRPr="001269D9">
        <w:rPr>
          <w:rFonts w:ascii="Book Antiqua" w:eastAsia="Times New Roman" w:hAnsi="Book Antiqua"/>
          <w:b/>
          <w:bCs/>
          <w:szCs w:val="24"/>
          <w:lang w:val="es-DO"/>
        </w:rPr>
        <w:t>Departamento del Trabajo y Recursos Humanos</w:t>
      </w:r>
      <w:r w:rsidRPr="001269D9">
        <w:rPr>
          <w:rFonts w:ascii="Book Antiqua" w:eastAsia="Times New Roman" w:hAnsi="Book Antiqua"/>
          <w:szCs w:val="24"/>
          <w:lang w:val="es-DO"/>
        </w:rPr>
        <w:t xml:space="preserve"> y la </w:t>
      </w:r>
      <w:r w:rsidRPr="001269D9">
        <w:rPr>
          <w:rFonts w:ascii="Book Antiqua" w:eastAsia="Times New Roman" w:hAnsi="Book Antiqua"/>
          <w:b/>
          <w:bCs/>
          <w:szCs w:val="24"/>
          <w:lang w:val="es-DO"/>
        </w:rPr>
        <w:t>Oficina de Gerencia y Presupuesto (OGP)</w:t>
      </w:r>
      <w:r w:rsidRPr="001269D9">
        <w:rPr>
          <w:rFonts w:ascii="Book Antiqua" w:eastAsia="Times New Roman" w:hAnsi="Book Antiqua"/>
          <w:szCs w:val="24"/>
          <w:lang w:val="es-DO"/>
        </w:rPr>
        <w:t xml:space="preserve">. </w:t>
      </w:r>
    </w:p>
    <w:p w14:paraId="6BD008CA" w14:textId="15F81654" w:rsidR="001269D9" w:rsidRPr="000E63A1" w:rsidRDefault="001269D9" w:rsidP="00E443A3">
      <w:pPr>
        <w:spacing w:before="100" w:beforeAutospacing="1" w:after="100" w:afterAutospacing="1"/>
        <w:jc w:val="both"/>
        <w:rPr>
          <w:rFonts w:ascii="Book Antiqua" w:eastAsia="Times New Roman" w:hAnsi="Book Antiqua"/>
          <w:szCs w:val="24"/>
          <w:lang w:val="es-DO"/>
        </w:rPr>
      </w:pPr>
      <w:r w:rsidRPr="001269D9">
        <w:rPr>
          <w:rFonts w:ascii="Book Antiqua" w:eastAsia="Times New Roman" w:hAnsi="Book Antiqua"/>
          <w:szCs w:val="24"/>
          <w:lang w:val="es-DO"/>
        </w:rPr>
        <w:t xml:space="preserve">Finalmente, mediante comunicaciones fechadas </w:t>
      </w:r>
      <w:r w:rsidR="00AC6864">
        <w:rPr>
          <w:rFonts w:ascii="Book Antiqua" w:eastAsia="Times New Roman" w:hAnsi="Book Antiqua"/>
          <w:szCs w:val="24"/>
          <w:lang w:val="es-DO"/>
        </w:rPr>
        <w:t xml:space="preserve">el </w:t>
      </w:r>
      <w:r w:rsidRPr="001269D9">
        <w:rPr>
          <w:rFonts w:ascii="Book Antiqua" w:eastAsia="Times New Roman" w:hAnsi="Book Antiqua"/>
          <w:b/>
          <w:bCs/>
          <w:szCs w:val="24"/>
          <w:lang w:val="es-DO"/>
        </w:rPr>
        <w:t>14 de octubre de 2025</w:t>
      </w:r>
      <w:r w:rsidRPr="001269D9">
        <w:rPr>
          <w:rFonts w:ascii="Book Antiqua" w:eastAsia="Times New Roman" w:hAnsi="Book Antiqua"/>
          <w:szCs w:val="24"/>
          <w:lang w:val="es-DO"/>
        </w:rPr>
        <w:t xml:space="preserve">, la Comisión solicitó memoriales explicativos adicionales a varios funcionarios municipales, incluyendo al </w:t>
      </w:r>
      <w:r w:rsidRPr="001269D9">
        <w:rPr>
          <w:rFonts w:ascii="Book Antiqua" w:eastAsia="Times New Roman" w:hAnsi="Book Antiqua"/>
          <w:b/>
          <w:bCs/>
          <w:szCs w:val="24"/>
          <w:lang w:val="es-DO"/>
        </w:rPr>
        <w:t xml:space="preserve">Hon. Irvin Rivera González, </w:t>
      </w:r>
      <w:proofErr w:type="gramStart"/>
      <w:r w:rsidRPr="001269D9">
        <w:rPr>
          <w:rFonts w:ascii="Book Antiqua" w:eastAsia="Times New Roman" w:hAnsi="Book Antiqua"/>
          <w:b/>
          <w:bCs/>
          <w:szCs w:val="24"/>
          <w:lang w:val="es-DO"/>
        </w:rPr>
        <w:t>Alcalde</w:t>
      </w:r>
      <w:proofErr w:type="gramEnd"/>
      <w:r w:rsidRPr="001269D9">
        <w:rPr>
          <w:rFonts w:ascii="Book Antiqua" w:eastAsia="Times New Roman" w:hAnsi="Book Antiqua"/>
          <w:b/>
          <w:bCs/>
          <w:szCs w:val="24"/>
          <w:lang w:val="es-DO"/>
        </w:rPr>
        <w:t xml:space="preserve"> del Municipio de Comerío</w:t>
      </w:r>
      <w:r w:rsidRPr="001269D9">
        <w:rPr>
          <w:rFonts w:ascii="Book Antiqua" w:eastAsia="Times New Roman" w:hAnsi="Book Antiqua"/>
          <w:szCs w:val="24"/>
          <w:lang w:val="es-DO"/>
        </w:rPr>
        <w:t xml:space="preserve">, y al </w:t>
      </w:r>
      <w:r w:rsidRPr="001269D9">
        <w:rPr>
          <w:rFonts w:ascii="Book Antiqua" w:eastAsia="Times New Roman" w:hAnsi="Book Antiqua"/>
          <w:b/>
          <w:bCs/>
          <w:szCs w:val="24"/>
          <w:lang w:val="es-DO"/>
        </w:rPr>
        <w:t xml:space="preserve">Hon. Clemente “Chito” Agosto Lugardo, </w:t>
      </w:r>
      <w:proofErr w:type="gramStart"/>
      <w:r w:rsidRPr="001269D9">
        <w:rPr>
          <w:rFonts w:ascii="Book Antiqua" w:eastAsia="Times New Roman" w:hAnsi="Book Antiqua"/>
          <w:b/>
          <w:bCs/>
          <w:szCs w:val="24"/>
          <w:lang w:val="es-DO"/>
        </w:rPr>
        <w:t>Alcalde</w:t>
      </w:r>
      <w:proofErr w:type="gramEnd"/>
      <w:r w:rsidRPr="001269D9">
        <w:rPr>
          <w:rFonts w:ascii="Book Antiqua" w:eastAsia="Times New Roman" w:hAnsi="Book Antiqua"/>
          <w:b/>
          <w:bCs/>
          <w:szCs w:val="24"/>
          <w:lang w:val="es-DO"/>
        </w:rPr>
        <w:t xml:space="preserve"> del Municipio de </w:t>
      </w:r>
      <w:proofErr w:type="spellStart"/>
      <w:r w:rsidRPr="001269D9">
        <w:rPr>
          <w:rFonts w:ascii="Book Antiqua" w:eastAsia="Times New Roman" w:hAnsi="Book Antiqua"/>
          <w:b/>
          <w:bCs/>
          <w:szCs w:val="24"/>
          <w:lang w:val="es-DO"/>
        </w:rPr>
        <w:t>Toa</w:t>
      </w:r>
      <w:proofErr w:type="spellEnd"/>
      <w:r w:rsidRPr="001269D9">
        <w:rPr>
          <w:rFonts w:ascii="Book Antiqua" w:eastAsia="Times New Roman" w:hAnsi="Book Antiqua"/>
          <w:b/>
          <w:bCs/>
          <w:szCs w:val="24"/>
          <w:lang w:val="es-DO"/>
        </w:rPr>
        <w:t xml:space="preserve"> Alta</w:t>
      </w:r>
      <w:r w:rsidRPr="001269D9">
        <w:rPr>
          <w:rFonts w:ascii="Book Antiqua" w:eastAsia="Times New Roman" w:hAnsi="Book Antiqua"/>
          <w:szCs w:val="24"/>
          <w:lang w:val="es-DO"/>
        </w:rPr>
        <w:t xml:space="preserve">, con el propósito de obtener la perspectiva de los gobiernos municipales sobre el </w:t>
      </w:r>
      <w:r w:rsidRPr="001269D9">
        <w:rPr>
          <w:rFonts w:ascii="Book Antiqua" w:eastAsia="Times New Roman" w:hAnsi="Book Antiqua"/>
          <w:b/>
          <w:bCs/>
          <w:szCs w:val="24"/>
          <w:lang w:val="es-DO"/>
        </w:rPr>
        <w:t>Proyecto del Senado 630</w:t>
      </w:r>
      <w:r w:rsidR="00AC6864">
        <w:rPr>
          <w:rFonts w:ascii="Book Antiqua" w:eastAsia="Times New Roman" w:hAnsi="Book Antiqua"/>
          <w:b/>
          <w:bCs/>
          <w:szCs w:val="24"/>
          <w:lang w:val="es-DO"/>
        </w:rPr>
        <w:t>,</w:t>
      </w:r>
      <w:r w:rsidR="00E443A3">
        <w:rPr>
          <w:rFonts w:ascii="Book Antiqua" w:eastAsia="Times New Roman" w:hAnsi="Book Antiqua"/>
          <w:szCs w:val="24"/>
          <w:lang w:val="es-DO"/>
        </w:rPr>
        <w:t xml:space="preserve"> </w:t>
      </w:r>
      <w:r w:rsidRPr="001269D9">
        <w:rPr>
          <w:rFonts w:ascii="Book Antiqua" w:eastAsia="Times New Roman" w:hAnsi="Book Antiqua"/>
          <w:szCs w:val="24"/>
          <w:lang w:val="es-DO"/>
        </w:rPr>
        <w:t xml:space="preserve">requiriendo que sus comentarios fueran sometidos en o antes del </w:t>
      </w:r>
      <w:r w:rsidRPr="001269D9">
        <w:rPr>
          <w:rFonts w:ascii="Book Antiqua" w:eastAsia="Times New Roman" w:hAnsi="Book Antiqua"/>
          <w:b/>
          <w:bCs/>
          <w:szCs w:val="24"/>
          <w:lang w:val="es-DO"/>
        </w:rPr>
        <w:t xml:space="preserve">28 de </w:t>
      </w:r>
      <w:r w:rsidRPr="000E63A1">
        <w:rPr>
          <w:rFonts w:ascii="Book Antiqua" w:eastAsia="Times New Roman" w:hAnsi="Book Antiqua"/>
          <w:b/>
          <w:bCs/>
          <w:szCs w:val="24"/>
          <w:lang w:val="es-DO"/>
        </w:rPr>
        <w:t>octubre de 2025</w:t>
      </w:r>
      <w:r w:rsidRPr="000E63A1">
        <w:rPr>
          <w:rFonts w:ascii="Book Antiqua" w:eastAsia="Times New Roman" w:hAnsi="Book Antiqua"/>
          <w:szCs w:val="24"/>
          <w:lang w:val="es-DO"/>
        </w:rPr>
        <w:t>.</w:t>
      </w:r>
    </w:p>
    <w:p w14:paraId="059E9682" w14:textId="0D3E1114" w:rsidR="005E14D7" w:rsidRPr="000E63A1" w:rsidRDefault="00063B34" w:rsidP="00063B34">
      <w:pPr>
        <w:pStyle w:val="NormalWeb"/>
        <w:jc w:val="both"/>
        <w:rPr>
          <w:rFonts w:ascii="Book Antiqua" w:hAnsi="Book Antiqua"/>
        </w:rPr>
      </w:pPr>
      <w:r w:rsidRPr="000E63A1">
        <w:rPr>
          <w:rFonts w:ascii="Book Antiqua" w:hAnsi="Book Antiqua"/>
        </w:rPr>
        <w:t>Es importante consignar para el récord legislativo que, durante la</w:t>
      </w:r>
      <w:r w:rsidR="000E63A1" w:rsidRPr="000E63A1">
        <w:rPr>
          <w:rFonts w:ascii="Book Antiqua" w:hAnsi="Book Antiqua"/>
        </w:rPr>
        <w:t xml:space="preserve">s </w:t>
      </w:r>
      <w:r w:rsidRPr="000E63A1">
        <w:rPr>
          <w:rFonts w:ascii="Book Antiqua" w:hAnsi="Book Antiqua"/>
        </w:rPr>
        <w:t>vista</w:t>
      </w:r>
      <w:r w:rsidR="000E63A1" w:rsidRPr="000E63A1">
        <w:rPr>
          <w:rFonts w:ascii="Book Antiqua" w:hAnsi="Book Antiqua"/>
        </w:rPr>
        <w:t>s</w:t>
      </w:r>
      <w:r w:rsidRPr="000E63A1">
        <w:rPr>
          <w:rFonts w:ascii="Book Antiqua" w:hAnsi="Book Antiqua"/>
        </w:rPr>
        <w:t xml:space="preserve"> pública</w:t>
      </w:r>
      <w:r w:rsidR="000E63A1" w:rsidRPr="000E63A1">
        <w:rPr>
          <w:rFonts w:ascii="Book Antiqua" w:hAnsi="Book Antiqua"/>
        </w:rPr>
        <w:t>s</w:t>
      </w:r>
      <w:r w:rsidRPr="000E63A1">
        <w:rPr>
          <w:rFonts w:ascii="Book Antiqua" w:hAnsi="Book Antiqua"/>
        </w:rPr>
        <w:t xml:space="preserve"> celebrada</w:t>
      </w:r>
      <w:r w:rsidR="000E63A1" w:rsidRPr="000E63A1">
        <w:rPr>
          <w:rFonts w:ascii="Book Antiqua" w:hAnsi="Book Antiqua"/>
        </w:rPr>
        <w:t>s</w:t>
      </w:r>
      <w:r w:rsidRPr="000E63A1">
        <w:rPr>
          <w:rFonts w:ascii="Book Antiqua" w:hAnsi="Book Antiqua"/>
        </w:rPr>
        <w:t xml:space="preserve"> el</w:t>
      </w:r>
      <w:r w:rsidR="000E63A1" w:rsidRPr="000E63A1">
        <w:rPr>
          <w:rFonts w:ascii="Book Antiqua" w:hAnsi="Book Antiqua"/>
        </w:rPr>
        <w:t xml:space="preserve"> </w:t>
      </w:r>
      <w:r w:rsidR="000E63A1" w:rsidRPr="000E63A1">
        <w:rPr>
          <w:rFonts w:ascii="Book Antiqua" w:hAnsi="Book Antiqua"/>
          <w:b/>
          <w:bCs/>
        </w:rPr>
        <w:t>10 de octubre de 2025 y</w:t>
      </w:r>
      <w:r w:rsidRPr="000E63A1">
        <w:rPr>
          <w:rFonts w:ascii="Book Antiqua" w:hAnsi="Book Antiqua"/>
        </w:rPr>
        <w:t xml:space="preserve"> </w:t>
      </w:r>
      <w:r w:rsidR="000E63A1" w:rsidRPr="000E63A1">
        <w:rPr>
          <w:rFonts w:ascii="Book Antiqua" w:hAnsi="Book Antiqua"/>
        </w:rPr>
        <w:t xml:space="preserve">el </w:t>
      </w:r>
      <w:r w:rsidRPr="000E63A1">
        <w:rPr>
          <w:rStyle w:val="Strong"/>
          <w:rFonts w:ascii="Book Antiqua" w:hAnsi="Book Antiqua"/>
        </w:rPr>
        <w:t xml:space="preserve">29 de octubre de </w:t>
      </w:r>
      <w:r w:rsidR="00082DE6" w:rsidRPr="000E63A1">
        <w:rPr>
          <w:rStyle w:val="Strong"/>
          <w:rFonts w:ascii="Book Antiqua" w:hAnsi="Book Antiqua"/>
        </w:rPr>
        <w:t xml:space="preserve">2025, </w:t>
      </w:r>
      <w:r w:rsidR="00082DE6" w:rsidRPr="000E63A1">
        <w:rPr>
          <w:rFonts w:ascii="Book Antiqua" w:hAnsi="Book Antiqua"/>
        </w:rPr>
        <w:t>además</w:t>
      </w:r>
      <w:r w:rsidRPr="000E63A1">
        <w:rPr>
          <w:rFonts w:ascii="Book Antiqua" w:hAnsi="Book Antiqua"/>
        </w:rPr>
        <w:t xml:space="preserve"> de atender el Proyecto del Senado 630, esta Comisión consideró el </w:t>
      </w:r>
      <w:r w:rsidRPr="000E63A1">
        <w:rPr>
          <w:rStyle w:val="Strong"/>
          <w:rFonts w:ascii="Book Antiqua" w:hAnsi="Book Antiqua"/>
        </w:rPr>
        <w:t>Proyecto de la Cámara 372</w:t>
      </w:r>
      <w:r w:rsidRPr="000E63A1">
        <w:rPr>
          <w:rFonts w:ascii="Book Antiqua" w:hAnsi="Book Antiqua"/>
        </w:rPr>
        <w:t xml:space="preserve">, de la </w:t>
      </w:r>
      <w:r w:rsidRPr="000E63A1">
        <w:rPr>
          <w:rFonts w:ascii="Book Antiqua" w:hAnsi="Book Antiqua"/>
        </w:rPr>
        <w:lastRenderedPageBreak/>
        <w:t xml:space="preserve">autoría del Representante Jerry Nieves, cuyo propósito es similar. Dicha medida propone enmendar el inciso (a) del </w:t>
      </w:r>
    </w:p>
    <w:p w14:paraId="4B5E8429" w14:textId="3000A177" w:rsidR="00063B34" w:rsidRPr="007E1295" w:rsidRDefault="00063B34" w:rsidP="00063B34">
      <w:pPr>
        <w:pStyle w:val="NormalWeb"/>
        <w:jc w:val="both"/>
        <w:rPr>
          <w:rFonts w:ascii="Book Antiqua" w:hAnsi="Book Antiqua"/>
        </w:rPr>
      </w:pPr>
      <w:r w:rsidRPr="000E63A1">
        <w:rPr>
          <w:rFonts w:ascii="Book Antiqua" w:hAnsi="Book Antiqua"/>
        </w:rPr>
        <w:t>Artículo 2.004 de la Ley Núm. 107-2020, según enmendada, conocida como “Código</w:t>
      </w:r>
      <w:r w:rsidRPr="007E1295">
        <w:rPr>
          <w:rFonts w:ascii="Book Antiqua" w:hAnsi="Book Antiqua"/>
        </w:rPr>
        <w:t xml:space="preserve"> Municipal de Puerto Rico”, a los fines de proveer mayores protecciones a los municipios en el proceso de los nombramientos de los funcionarios municipales y para otros fines relacionados.</w:t>
      </w:r>
    </w:p>
    <w:p w14:paraId="4866989E" w14:textId="4E30BD8B" w:rsidR="00063B34" w:rsidRDefault="00063B34" w:rsidP="00AC6864">
      <w:pPr>
        <w:pStyle w:val="NormalWeb"/>
        <w:spacing w:before="0" w:beforeAutospacing="0" w:after="0" w:afterAutospacing="0"/>
        <w:contextualSpacing/>
        <w:jc w:val="both"/>
        <w:rPr>
          <w:rFonts w:ascii="Book Antiqua" w:hAnsi="Book Antiqua"/>
          <w:lang w:val="es-DO"/>
        </w:rPr>
      </w:pPr>
      <w:r w:rsidRPr="007E1295">
        <w:rPr>
          <w:rFonts w:ascii="Book Antiqua" w:hAnsi="Book Antiqua"/>
          <w:lang w:val="es-DO"/>
        </w:rPr>
        <w:t>Asimismo, debe destacarse que</w:t>
      </w:r>
      <w:r w:rsidR="00726664">
        <w:rPr>
          <w:rFonts w:ascii="Book Antiqua" w:hAnsi="Book Antiqua"/>
          <w:lang w:val="es-DO"/>
        </w:rPr>
        <w:t xml:space="preserve"> la medida bajo </w:t>
      </w:r>
      <w:r w:rsidR="002B40AA">
        <w:rPr>
          <w:rFonts w:ascii="Book Antiqua" w:hAnsi="Book Antiqua"/>
          <w:lang w:val="es-DO"/>
        </w:rPr>
        <w:t>estudio</w:t>
      </w:r>
      <w:r w:rsidRPr="007E1295">
        <w:rPr>
          <w:rStyle w:val="Strong"/>
          <w:rFonts w:ascii="Book Antiqua" w:hAnsi="Book Antiqua"/>
          <w:lang w:val="es-DO"/>
        </w:rPr>
        <w:t xml:space="preserve"> fue aprobad</w:t>
      </w:r>
      <w:r w:rsidR="00726664">
        <w:rPr>
          <w:rStyle w:val="Strong"/>
          <w:rFonts w:ascii="Book Antiqua" w:hAnsi="Book Antiqua"/>
          <w:lang w:val="es-DO"/>
        </w:rPr>
        <w:t>a</w:t>
      </w:r>
      <w:r w:rsidRPr="007E1295">
        <w:rPr>
          <w:rStyle w:val="Strong"/>
          <w:rFonts w:ascii="Book Antiqua" w:hAnsi="Book Antiqua"/>
          <w:lang w:val="es-DO"/>
        </w:rPr>
        <w:t xml:space="preserve"> por el Senado de Puerto Rico en votación final el 24 de junio de 2025</w:t>
      </w:r>
      <w:r w:rsidRPr="007E1295">
        <w:rPr>
          <w:rFonts w:ascii="Book Antiqua" w:hAnsi="Book Antiqua"/>
          <w:lang w:val="es-DO"/>
        </w:rPr>
        <w:t xml:space="preserve">, </w:t>
      </w:r>
      <w:r w:rsidR="00AC6864">
        <w:rPr>
          <w:rFonts w:ascii="Book Antiqua" w:hAnsi="Book Antiqua"/>
          <w:lang w:val="es-DO"/>
        </w:rPr>
        <w:t>con el siguiente resultado: 25 votos a favor, 3</w:t>
      </w:r>
      <w:r w:rsidRPr="007E1295">
        <w:rPr>
          <w:rStyle w:val="Strong"/>
          <w:rFonts w:ascii="Book Antiqua" w:hAnsi="Book Antiqua"/>
          <w:lang w:val="es-DO"/>
        </w:rPr>
        <w:t xml:space="preserve"> en contra, 0 abstenciones y 0 ausencias</w:t>
      </w:r>
      <w:r w:rsidRPr="007E1295">
        <w:rPr>
          <w:rStyle w:val="Emphasis"/>
          <w:rFonts w:ascii="Book Antiqua" w:eastAsia="Batang" w:hAnsi="Book Antiqua"/>
          <w:lang w:val="es-DO"/>
        </w:rPr>
        <w:t>.</w:t>
      </w:r>
      <w:r w:rsidRPr="007E1295">
        <w:rPr>
          <w:rFonts w:ascii="Book Antiqua" w:hAnsi="Book Antiqua"/>
          <w:lang w:val="es-DO"/>
        </w:rPr>
        <w:t xml:space="preserve"> Este resultado refleja un respaldo mayoritario significativo en el Alto Cuerpo legislativo.</w:t>
      </w:r>
    </w:p>
    <w:p w14:paraId="3B973BD3" w14:textId="5F1514AA" w:rsidR="005665D9" w:rsidRDefault="002B40AA" w:rsidP="002B40AA">
      <w:pPr>
        <w:spacing w:before="100" w:beforeAutospacing="1" w:after="100" w:afterAutospacing="1"/>
        <w:contextualSpacing/>
        <w:jc w:val="center"/>
        <w:rPr>
          <w:rFonts w:ascii="Book Antiqua" w:hAnsi="Book Antiqua"/>
          <w:b/>
          <w:i/>
          <w:smallCaps/>
          <w:szCs w:val="24"/>
          <w:lang w:val="es-ES_tradnl"/>
        </w:rPr>
      </w:pPr>
      <w:r>
        <w:rPr>
          <w:rFonts w:ascii="Book Antiqua" w:hAnsi="Book Antiqua"/>
          <w:b/>
          <w:i/>
          <w:smallCaps/>
          <w:szCs w:val="24"/>
          <w:lang w:val="es-ES_tradnl"/>
        </w:rPr>
        <w:t>COMPARECENCIAS Y</w:t>
      </w:r>
      <w:r w:rsidR="000E66EE">
        <w:rPr>
          <w:rFonts w:ascii="Book Antiqua" w:hAnsi="Book Antiqua"/>
          <w:b/>
          <w:i/>
          <w:smallCaps/>
          <w:szCs w:val="24"/>
          <w:lang w:val="es-ES_tradnl"/>
        </w:rPr>
        <w:t xml:space="preserve"> MEMORIALES</w:t>
      </w:r>
      <w:bookmarkEnd w:id="5"/>
    </w:p>
    <w:bookmarkEnd w:id="4"/>
    <w:p w14:paraId="26105A54" w14:textId="3B142988" w:rsidR="00850DEC" w:rsidRPr="00082DE6" w:rsidRDefault="00850DEC" w:rsidP="00850DEC">
      <w:pPr>
        <w:pStyle w:val="ListParagraph"/>
        <w:numPr>
          <w:ilvl w:val="0"/>
          <w:numId w:val="32"/>
        </w:numPr>
        <w:spacing w:before="100" w:beforeAutospacing="1" w:after="100" w:afterAutospacing="1"/>
        <w:outlineLvl w:val="2"/>
        <w:rPr>
          <w:rFonts w:ascii="Book Antiqua" w:eastAsia="Times New Roman" w:hAnsi="Book Antiqua"/>
          <w:b/>
          <w:bCs/>
          <w:i/>
          <w:iCs/>
          <w:szCs w:val="24"/>
          <w:lang w:val="es-DO"/>
        </w:rPr>
      </w:pPr>
      <w:r w:rsidRPr="00082DE6">
        <w:rPr>
          <w:rFonts w:ascii="Book Antiqua" w:eastAsia="Times New Roman" w:hAnsi="Book Antiqua"/>
          <w:b/>
          <w:bCs/>
          <w:i/>
          <w:iCs/>
          <w:szCs w:val="24"/>
          <w:lang w:val="es-DO"/>
        </w:rPr>
        <w:t xml:space="preserve">Asociación de </w:t>
      </w:r>
      <w:proofErr w:type="gramStart"/>
      <w:r w:rsidRPr="00082DE6">
        <w:rPr>
          <w:rFonts w:ascii="Book Antiqua" w:eastAsia="Times New Roman" w:hAnsi="Book Antiqua"/>
          <w:b/>
          <w:bCs/>
          <w:i/>
          <w:iCs/>
          <w:szCs w:val="24"/>
          <w:lang w:val="es-DO"/>
        </w:rPr>
        <w:t>Alcaldes</w:t>
      </w:r>
      <w:proofErr w:type="gramEnd"/>
      <w:r w:rsidRPr="00082DE6">
        <w:rPr>
          <w:rFonts w:ascii="Book Antiqua" w:eastAsia="Times New Roman" w:hAnsi="Book Antiqua"/>
          <w:b/>
          <w:bCs/>
          <w:i/>
          <w:iCs/>
          <w:szCs w:val="24"/>
          <w:lang w:val="es-DO"/>
        </w:rPr>
        <w:t xml:space="preserve"> de Puerto Rico</w:t>
      </w:r>
      <w:r w:rsidR="00082DE6" w:rsidRPr="00082DE6">
        <w:rPr>
          <w:rFonts w:ascii="Book Antiqua" w:eastAsia="Times New Roman" w:hAnsi="Book Antiqua"/>
          <w:b/>
          <w:bCs/>
          <w:i/>
          <w:iCs/>
          <w:szCs w:val="24"/>
          <w:lang w:val="es-DO"/>
        </w:rPr>
        <w:t xml:space="preserve"> (AAPR)</w:t>
      </w:r>
    </w:p>
    <w:p w14:paraId="5C660189" w14:textId="29F8056B" w:rsidR="00850DEC" w:rsidRPr="00A068A5"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Mediante memorial explicativo </w:t>
      </w:r>
      <w:r w:rsidRPr="00A068A5">
        <w:rPr>
          <w:rFonts w:ascii="Book Antiqua" w:eastAsia="Times New Roman" w:hAnsi="Book Antiqua"/>
          <w:b/>
          <w:bCs/>
          <w:szCs w:val="24"/>
          <w:lang w:val="es-DO"/>
        </w:rPr>
        <w:t xml:space="preserve">fechado el 3 de octubre de 2025 y suscrito por la </w:t>
      </w:r>
      <w:r w:rsidR="00082DE6">
        <w:rPr>
          <w:rFonts w:ascii="Book Antiqua" w:eastAsia="Times New Roman" w:hAnsi="Book Antiqua"/>
          <w:b/>
          <w:bCs/>
          <w:szCs w:val="24"/>
          <w:lang w:val="es-DO"/>
        </w:rPr>
        <w:t xml:space="preserve">             </w:t>
      </w:r>
      <w:r w:rsidRPr="00A068A5">
        <w:rPr>
          <w:rFonts w:ascii="Book Antiqua" w:eastAsia="Times New Roman" w:hAnsi="Book Antiqua"/>
          <w:b/>
          <w:bCs/>
          <w:szCs w:val="24"/>
          <w:lang w:val="es-DO"/>
        </w:rPr>
        <w:t xml:space="preserve">Sra. Verónica Rodríguez Irizarry, </w:t>
      </w:r>
      <w:r w:rsidR="00082DE6">
        <w:rPr>
          <w:rFonts w:ascii="Book Antiqua" w:eastAsia="Times New Roman" w:hAnsi="Book Antiqua"/>
          <w:b/>
          <w:bCs/>
          <w:szCs w:val="24"/>
          <w:lang w:val="es-DO"/>
        </w:rPr>
        <w:t>d</w:t>
      </w:r>
      <w:r w:rsidRPr="00A068A5">
        <w:rPr>
          <w:rFonts w:ascii="Book Antiqua" w:eastAsia="Times New Roman" w:hAnsi="Book Antiqua"/>
          <w:b/>
          <w:bCs/>
          <w:szCs w:val="24"/>
          <w:lang w:val="es-DO"/>
        </w:rPr>
        <w:t xml:space="preserve">irectora </w:t>
      </w:r>
      <w:r w:rsidR="00082DE6">
        <w:rPr>
          <w:rFonts w:ascii="Book Antiqua" w:eastAsia="Times New Roman" w:hAnsi="Book Antiqua"/>
          <w:b/>
          <w:bCs/>
          <w:szCs w:val="24"/>
          <w:lang w:val="es-DO"/>
        </w:rPr>
        <w:t>e</w:t>
      </w:r>
      <w:r w:rsidRPr="00A068A5">
        <w:rPr>
          <w:rFonts w:ascii="Book Antiqua" w:eastAsia="Times New Roman" w:hAnsi="Book Antiqua"/>
          <w:b/>
          <w:bCs/>
          <w:szCs w:val="24"/>
          <w:lang w:val="es-DO"/>
        </w:rPr>
        <w:t xml:space="preserve">jecutiva de la Asociación de </w:t>
      </w:r>
      <w:proofErr w:type="gramStart"/>
      <w:r w:rsidRPr="00A068A5">
        <w:rPr>
          <w:rFonts w:ascii="Book Antiqua" w:eastAsia="Times New Roman" w:hAnsi="Book Antiqua"/>
          <w:b/>
          <w:bCs/>
          <w:szCs w:val="24"/>
          <w:lang w:val="es-DO"/>
        </w:rPr>
        <w:t>Alcaldes</w:t>
      </w:r>
      <w:proofErr w:type="gramEnd"/>
      <w:r w:rsidRPr="00A068A5">
        <w:rPr>
          <w:rFonts w:ascii="Book Antiqua" w:eastAsia="Times New Roman" w:hAnsi="Book Antiqua"/>
          <w:b/>
          <w:bCs/>
          <w:szCs w:val="24"/>
          <w:lang w:val="es-DO"/>
        </w:rPr>
        <w:t xml:space="preserve"> de Puerto Rico</w:t>
      </w:r>
      <w:r w:rsidRPr="00A068A5">
        <w:rPr>
          <w:rFonts w:ascii="Book Antiqua" w:eastAsia="Times New Roman" w:hAnsi="Book Antiqua"/>
          <w:szCs w:val="24"/>
          <w:lang w:val="es-DO"/>
        </w:rPr>
        <w:t xml:space="preserve">, dicha entidad presentó sus comentarios en torno al </w:t>
      </w:r>
      <w:r w:rsidRPr="00A068A5">
        <w:rPr>
          <w:rFonts w:ascii="Book Antiqua" w:eastAsia="Times New Roman" w:hAnsi="Book Antiqua"/>
          <w:b/>
          <w:bCs/>
          <w:szCs w:val="24"/>
          <w:lang w:val="es-DO"/>
        </w:rPr>
        <w:t xml:space="preserve">Proyecto del </w:t>
      </w:r>
      <w:r w:rsidR="00082DE6">
        <w:rPr>
          <w:rFonts w:ascii="Book Antiqua" w:eastAsia="Times New Roman" w:hAnsi="Book Antiqua"/>
          <w:b/>
          <w:bCs/>
          <w:szCs w:val="24"/>
          <w:lang w:val="es-DO"/>
        </w:rPr>
        <w:t xml:space="preserve">             </w:t>
      </w:r>
      <w:r w:rsidRPr="00A068A5">
        <w:rPr>
          <w:rFonts w:ascii="Book Antiqua" w:eastAsia="Times New Roman" w:hAnsi="Book Antiqua"/>
          <w:b/>
          <w:bCs/>
          <w:szCs w:val="24"/>
          <w:lang w:val="es-DO"/>
        </w:rPr>
        <w:t>Senado 630</w:t>
      </w:r>
      <w:r w:rsidRPr="00A068A5">
        <w:rPr>
          <w:rFonts w:ascii="Book Antiqua" w:eastAsia="Times New Roman" w:hAnsi="Book Antiqua"/>
          <w:szCs w:val="24"/>
          <w:lang w:val="es-DO"/>
        </w:rPr>
        <w:t>.</w:t>
      </w:r>
    </w:p>
    <w:p w14:paraId="05CE8937" w14:textId="73D5EEC6" w:rsidR="00850DEC" w:rsidRPr="00A068A5"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En su comunicación, la </w:t>
      </w:r>
      <w:r w:rsidR="00082DE6">
        <w:rPr>
          <w:rFonts w:ascii="Book Antiqua" w:eastAsia="Times New Roman" w:hAnsi="Book Antiqua"/>
          <w:szCs w:val="24"/>
          <w:lang w:val="es-DO"/>
        </w:rPr>
        <w:t>AAPR</w:t>
      </w:r>
      <w:r w:rsidRPr="00A068A5">
        <w:rPr>
          <w:rFonts w:ascii="Book Antiqua" w:eastAsia="Times New Roman" w:hAnsi="Book Antiqua"/>
          <w:szCs w:val="24"/>
          <w:lang w:val="es-DO"/>
        </w:rPr>
        <w:t xml:space="preserve"> señaló que la ampliación del término responde a una </w:t>
      </w:r>
      <w:r w:rsidRPr="00A068A5">
        <w:rPr>
          <w:rFonts w:ascii="Book Antiqua" w:eastAsia="Times New Roman" w:hAnsi="Book Antiqua"/>
          <w:b/>
          <w:bCs/>
          <w:szCs w:val="24"/>
          <w:lang w:val="es-DO"/>
        </w:rPr>
        <w:t>necesidad práctica y administrativa</w:t>
      </w:r>
      <w:r w:rsidRPr="00A068A5">
        <w:rPr>
          <w:rFonts w:ascii="Book Antiqua" w:eastAsia="Times New Roman" w:hAnsi="Book Antiqua"/>
          <w:szCs w:val="24"/>
          <w:lang w:val="es-DO"/>
        </w:rPr>
        <w:t>, ya que los procesos de identificación, entrevista, evaluación y selección de candidatos para ocupar posiciones directivas dentro de la administración municipal pueden requerir un tiempo mayor para asegurar que las personas seleccionadas cumplan con los requisitos técnicos del puesto, cuenten con la confianza del alcalde y estén alineadas con la visión programática de la administración municipal.</w:t>
      </w:r>
    </w:p>
    <w:p w14:paraId="5F72C690" w14:textId="5FD325A3" w:rsidR="00850DEC" w:rsidRPr="00A068A5"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Asimismo, la </w:t>
      </w:r>
      <w:r w:rsidR="00082DE6">
        <w:rPr>
          <w:rFonts w:ascii="Book Antiqua" w:eastAsia="Times New Roman" w:hAnsi="Book Antiqua"/>
          <w:szCs w:val="24"/>
          <w:lang w:val="es-DO"/>
        </w:rPr>
        <w:t>AAPR</w:t>
      </w:r>
      <w:r w:rsidRPr="00A068A5">
        <w:rPr>
          <w:rFonts w:ascii="Book Antiqua" w:eastAsia="Times New Roman" w:hAnsi="Book Antiqua"/>
          <w:szCs w:val="24"/>
          <w:lang w:val="es-DO"/>
        </w:rPr>
        <w:t xml:space="preserve"> indicó que el periodo adicional propuesto reconoce la complejidad de los procesos de reclutamiento en el servicio público municipal, particularmente cuando se trata de identificar profesionales con la preparación, integridad y conocimiento necesarios para desempeñar funciones de dirección dentro de la estructura administrativa del municipio.</w:t>
      </w:r>
    </w:p>
    <w:p w14:paraId="51387C5F" w14:textId="77777777" w:rsidR="00850DEC" w:rsidRPr="00A068A5"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De igual forma, se destacó que la ampliación del término interino </w:t>
      </w:r>
      <w:r w:rsidRPr="00A068A5">
        <w:rPr>
          <w:rFonts w:ascii="Book Antiqua" w:eastAsia="Times New Roman" w:hAnsi="Book Antiqua"/>
          <w:b/>
          <w:bCs/>
          <w:szCs w:val="24"/>
          <w:lang w:val="es-DO"/>
        </w:rPr>
        <w:t>no altera el balance institucional existente</w:t>
      </w:r>
      <w:r w:rsidRPr="00A068A5">
        <w:rPr>
          <w:rFonts w:ascii="Book Antiqua" w:eastAsia="Times New Roman" w:hAnsi="Book Antiqua"/>
          <w:szCs w:val="24"/>
          <w:lang w:val="es-DO"/>
        </w:rPr>
        <w:t xml:space="preserve"> entre el poder ejecutivo municipal y la Legislatura Municipal, toda vez que se mantiene vigente el requisito de someter los nombramientos en propiedad para la correspondiente confirmación legislativa.</w:t>
      </w:r>
    </w:p>
    <w:p w14:paraId="00877EA4" w14:textId="645C5A27" w:rsidR="005E14D7" w:rsidRDefault="00850DEC" w:rsidP="005E14D7">
      <w:pPr>
        <w:jc w:val="both"/>
        <w:rPr>
          <w:rFonts w:ascii="Book Antiqua" w:eastAsia="Times New Roman" w:hAnsi="Book Antiqua"/>
          <w:szCs w:val="24"/>
          <w:lang w:val="es-DO"/>
        </w:rPr>
      </w:pPr>
      <w:r w:rsidRPr="00A068A5">
        <w:rPr>
          <w:rFonts w:ascii="Book Antiqua" w:eastAsia="Times New Roman" w:hAnsi="Book Antiqua"/>
          <w:szCs w:val="24"/>
          <w:lang w:val="es-DO"/>
        </w:rPr>
        <w:t xml:space="preserve">Por tales fundamentos, la </w:t>
      </w:r>
      <w:r w:rsidR="00082DE6">
        <w:rPr>
          <w:rFonts w:ascii="Book Antiqua" w:eastAsia="Times New Roman" w:hAnsi="Book Antiqua"/>
          <w:szCs w:val="24"/>
          <w:lang w:val="es-DO"/>
        </w:rPr>
        <w:t>AAPR</w:t>
      </w:r>
      <w:r w:rsidRPr="00A068A5">
        <w:rPr>
          <w:rFonts w:ascii="Book Antiqua" w:eastAsia="Times New Roman" w:hAnsi="Book Antiqua"/>
          <w:szCs w:val="24"/>
          <w:lang w:val="es-DO"/>
        </w:rPr>
        <w:t xml:space="preserve"> de </w:t>
      </w:r>
      <w:proofErr w:type="gramStart"/>
      <w:r w:rsidRPr="00A068A5">
        <w:rPr>
          <w:rFonts w:ascii="Book Antiqua" w:eastAsia="Times New Roman" w:hAnsi="Book Antiqua"/>
          <w:szCs w:val="24"/>
          <w:lang w:val="es-DO"/>
        </w:rPr>
        <w:t>Alcaldes</w:t>
      </w:r>
      <w:proofErr w:type="gramEnd"/>
      <w:r w:rsidRPr="00A068A5">
        <w:rPr>
          <w:rFonts w:ascii="Book Antiqua" w:eastAsia="Times New Roman" w:hAnsi="Book Antiqua"/>
          <w:szCs w:val="24"/>
          <w:lang w:val="es-DO"/>
        </w:rPr>
        <w:t xml:space="preserve"> de Puerto Rico expresó </w:t>
      </w:r>
      <w:r w:rsidRPr="00A068A5">
        <w:rPr>
          <w:rFonts w:ascii="Book Antiqua" w:eastAsia="Times New Roman" w:hAnsi="Book Antiqua"/>
          <w:b/>
          <w:bCs/>
          <w:szCs w:val="24"/>
          <w:lang w:val="es-DO"/>
        </w:rPr>
        <w:t>no tener objeción a la aprobación de la medida</w:t>
      </w:r>
      <w:r w:rsidRPr="00A068A5">
        <w:rPr>
          <w:rFonts w:ascii="Book Antiqua" w:eastAsia="Times New Roman" w:hAnsi="Book Antiqua"/>
          <w:szCs w:val="24"/>
          <w:lang w:val="es-DO"/>
        </w:rPr>
        <w:t xml:space="preserve">, al entender que la extensión del término a ciento ochenta </w:t>
      </w:r>
      <w:r w:rsidRPr="00A068A5">
        <w:rPr>
          <w:rFonts w:ascii="Book Antiqua" w:eastAsia="Times New Roman" w:hAnsi="Book Antiqua"/>
          <w:szCs w:val="24"/>
          <w:lang w:val="es-DO"/>
        </w:rPr>
        <w:lastRenderedPageBreak/>
        <w:t>(180) días provee a los alcaldes un margen razonable para realizar un proceso riguroso de evaluación antes de someter los nombramientos para dirigir las unidades administrativas municipales.</w:t>
      </w:r>
    </w:p>
    <w:p w14:paraId="306569CF" w14:textId="3C4EEC37" w:rsidR="00F37B78" w:rsidRDefault="00F37B78" w:rsidP="00850DEC">
      <w:pPr>
        <w:pStyle w:val="ListParagraph"/>
        <w:numPr>
          <w:ilvl w:val="0"/>
          <w:numId w:val="32"/>
        </w:numPr>
        <w:spacing w:before="100" w:beforeAutospacing="1" w:after="100" w:afterAutospacing="1"/>
        <w:outlineLvl w:val="2"/>
        <w:rPr>
          <w:rFonts w:ascii="Book Antiqua" w:eastAsia="Times New Roman" w:hAnsi="Book Antiqua"/>
          <w:b/>
          <w:bCs/>
          <w:i/>
          <w:iCs/>
          <w:szCs w:val="24"/>
          <w:lang w:val="es-DO"/>
        </w:rPr>
      </w:pPr>
      <w:r w:rsidRPr="00082DE6">
        <w:rPr>
          <w:rFonts w:ascii="Book Antiqua" w:eastAsia="Times New Roman" w:hAnsi="Book Antiqua"/>
          <w:b/>
          <w:bCs/>
          <w:i/>
          <w:iCs/>
          <w:szCs w:val="24"/>
          <w:lang w:val="es-DO"/>
        </w:rPr>
        <w:t>Asociación de Legisladores Municipales de Puerto Rico</w:t>
      </w:r>
      <w:r w:rsidR="00082DE6" w:rsidRPr="00082DE6">
        <w:rPr>
          <w:rFonts w:ascii="Book Antiqua" w:eastAsia="Times New Roman" w:hAnsi="Book Antiqua"/>
          <w:b/>
          <w:bCs/>
          <w:i/>
          <w:iCs/>
          <w:szCs w:val="24"/>
          <w:lang w:val="es-DO"/>
        </w:rPr>
        <w:t xml:space="preserve"> (ALMPR)</w:t>
      </w:r>
    </w:p>
    <w:p w14:paraId="3D98EFE2" w14:textId="1285CAB8" w:rsidR="00F37B78" w:rsidRPr="00F37B78" w:rsidRDefault="007F7F06" w:rsidP="00850DE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b/>
          <w:bCs/>
          <w:szCs w:val="24"/>
          <w:lang w:val="es-DO"/>
        </w:rPr>
        <w:t>L</w:t>
      </w:r>
      <w:r w:rsidRPr="00F37B78">
        <w:rPr>
          <w:rFonts w:ascii="Book Antiqua" w:eastAsia="Times New Roman" w:hAnsi="Book Antiqua"/>
          <w:b/>
          <w:bCs/>
          <w:szCs w:val="24"/>
          <w:lang w:val="es-DO"/>
        </w:rPr>
        <w:t>a Asociación de Legisladores Municipales de Puerto Rico, Inc. (ALMPR)</w:t>
      </w:r>
      <w:r w:rsidRPr="00F37B78">
        <w:rPr>
          <w:rFonts w:ascii="Book Antiqua" w:eastAsia="Times New Roman" w:hAnsi="Book Antiqua"/>
          <w:szCs w:val="24"/>
          <w:lang w:val="es-DO"/>
        </w:rPr>
        <w:t>,</w:t>
      </w:r>
      <w:r>
        <w:rPr>
          <w:rFonts w:ascii="Book Antiqua" w:eastAsia="Times New Roman" w:hAnsi="Book Antiqua"/>
          <w:szCs w:val="24"/>
          <w:lang w:val="es-DO"/>
        </w:rPr>
        <w:t xml:space="preserve"> compareció m</w:t>
      </w:r>
      <w:r w:rsidR="00F37B78" w:rsidRPr="00F37B78">
        <w:rPr>
          <w:rFonts w:ascii="Book Antiqua" w:eastAsia="Times New Roman" w:hAnsi="Book Antiqua"/>
          <w:szCs w:val="24"/>
          <w:lang w:val="es-DO"/>
        </w:rPr>
        <w:t xml:space="preserve">ediante memorial explicativo </w:t>
      </w:r>
      <w:r w:rsidR="00F37B78" w:rsidRPr="00F37B78">
        <w:rPr>
          <w:rFonts w:ascii="Book Antiqua" w:eastAsia="Times New Roman" w:hAnsi="Book Antiqua"/>
          <w:b/>
          <w:bCs/>
          <w:szCs w:val="24"/>
          <w:lang w:val="es-DO"/>
        </w:rPr>
        <w:t>suscrito el 29 de octubre de 2025 por la</w:t>
      </w:r>
      <w:r w:rsidR="00082DE6">
        <w:rPr>
          <w:rFonts w:ascii="Book Antiqua" w:eastAsia="Times New Roman" w:hAnsi="Book Antiqua"/>
          <w:b/>
          <w:bCs/>
          <w:szCs w:val="24"/>
          <w:lang w:val="es-DO"/>
        </w:rPr>
        <w:t xml:space="preserve">                                   </w:t>
      </w:r>
      <w:r w:rsidR="00F37B78" w:rsidRPr="00F37B78">
        <w:rPr>
          <w:rFonts w:ascii="Book Antiqua" w:eastAsia="Times New Roman" w:hAnsi="Book Antiqua"/>
          <w:b/>
          <w:bCs/>
          <w:szCs w:val="24"/>
          <w:lang w:val="es-DO"/>
        </w:rPr>
        <w:t xml:space="preserve"> Sra. Jannice S. Pérez Figueroa, </w:t>
      </w:r>
      <w:r w:rsidR="00082DE6" w:rsidRPr="00082DE6">
        <w:rPr>
          <w:rFonts w:ascii="Book Antiqua" w:eastAsia="Times New Roman" w:hAnsi="Book Antiqua"/>
          <w:szCs w:val="24"/>
          <w:lang w:val="es-DO"/>
        </w:rPr>
        <w:t>presidenta</w:t>
      </w:r>
      <w:r w:rsidR="00F37B78" w:rsidRPr="00082DE6">
        <w:rPr>
          <w:rFonts w:ascii="Book Antiqua" w:eastAsia="Times New Roman" w:hAnsi="Book Antiqua"/>
          <w:szCs w:val="24"/>
          <w:lang w:val="es-DO"/>
        </w:rPr>
        <w:t xml:space="preserve"> </w:t>
      </w:r>
      <w:r w:rsidR="00082DE6" w:rsidRPr="00082DE6">
        <w:rPr>
          <w:rFonts w:ascii="Book Antiqua" w:eastAsia="Times New Roman" w:hAnsi="Book Antiqua"/>
          <w:szCs w:val="24"/>
          <w:lang w:val="es-DO"/>
        </w:rPr>
        <w:t>de</w:t>
      </w:r>
      <w:r w:rsidR="00082DE6" w:rsidRPr="00F37B78">
        <w:rPr>
          <w:rFonts w:ascii="Book Antiqua" w:eastAsia="Times New Roman" w:hAnsi="Book Antiqua"/>
          <w:b/>
          <w:bCs/>
          <w:szCs w:val="24"/>
          <w:lang w:val="es-DO"/>
        </w:rPr>
        <w:t xml:space="preserve"> </w:t>
      </w:r>
      <w:r w:rsidR="00082DE6" w:rsidRPr="00F37B78">
        <w:rPr>
          <w:rFonts w:ascii="Book Antiqua" w:eastAsia="Times New Roman" w:hAnsi="Book Antiqua"/>
          <w:szCs w:val="24"/>
          <w:lang w:val="es-DO"/>
        </w:rPr>
        <w:t>dicha</w:t>
      </w:r>
      <w:r w:rsidR="00F37B78" w:rsidRPr="00F37B78">
        <w:rPr>
          <w:rFonts w:ascii="Book Antiqua" w:eastAsia="Times New Roman" w:hAnsi="Book Antiqua"/>
          <w:szCs w:val="24"/>
          <w:lang w:val="es-DO"/>
        </w:rPr>
        <w:t xml:space="preserve"> entidad</w:t>
      </w:r>
      <w:r w:rsidR="00726664">
        <w:rPr>
          <w:rFonts w:ascii="Book Antiqua" w:eastAsia="Times New Roman" w:hAnsi="Book Antiqua"/>
          <w:szCs w:val="24"/>
          <w:lang w:val="es-DO"/>
        </w:rPr>
        <w:t>,</w:t>
      </w:r>
      <w:r w:rsidR="00F37B78" w:rsidRPr="00F37B78">
        <w:rPr>
          <w:rFonts w:ascii="Book Antiqua" w:eastAsia="Times New Roman" w:hAnsi="Book Antiqua"/>
          <w:szCs w:val="24"/>
          <w:lang w:val="es-DO"/>
        </w:rPr>
        <w:t xml:space="preserve"> expresó su </w:t>
      </w:r>
      <w:r w:rsidR="00F37B78" w:rsidRPr="00F37B78">
        <w:rPr>
          <w:rFonts w:ascii="Book Antiqua" w:eastAsia="Times New Roman" w:hAnsi="Book Antiqua"/>
          <w:b/>
          <w:bCs/>
          <w:szCs w:val="24"/>
          <w:lang w:val="es-DO"/>
        </w:rPr>
        <w:t>oposición a</w:t>
      </w:r>
      <w:r>
        <w:rPr>
          <w:rFonts w:ascii="Book Antiqua" w:eastAsia="Times New Roman" w:hAnsi="Book Antiqua"/>
          <w:b/>
          <w:bCs/>
          <w:szCs w:val="24"/>
          <w:lang w:val="es-DO"/>
        </w:rPr>
        <w:t xml:space="preserve"> la medida.</w:t>
      </w:r>
    </w:p>
    <w:p w14:paraId="2F378818" w14:textId="0D12E8A4" w:rsidR="00F37B78" w:rsidRPr="00F37B78" w:rsidRDefault="00F37B78"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 xml:space="preserve">En síntesis, la ALMPR sostuvo que la enmienda propuesta </w:t>
      </w:r>
      <w:r w:rsidR="00726664">
        <w:rPr>
          <w:rFonts w:ascii="Book Antiqua" w:eastAsia="Times New Roman" w:hAnsi="Book Antiqua"/>
          <w:szCs w:val="24"/>
          <w:lang w:val="es-DO"/>
        </w:rPr>
        <w:t xml:space="preserve">al Código </w:t>
      </w:r>
      <w:proofErr w:type="gramStart"/>
      <w:r w:rsidR="00726664">
        <w:rPr>
          <w:rFonts w:ascii="Book Antiqua" w:eastAsia="Times New Roman" w:hAnsi="Book Antiqua"/>
          <w:szCs w:val="24"/>
          <w:lang w:val="es-DO"/>
        </w:rPr>
        <w:t>Municipal,</w:t>
      </w:r>
      <w:proofErr w:type="gramEnd"/>
      <w:r w:rsidRPr="00F37B78">
        <w:rPr>
          <w:rFonts w:ascii="Book Antiqua" w:eastAsia="Times New Roman" w:hAnsi="Book Antiqua"/>
          <w:szCs w:val="24"/>
          <w:lang w:val="es-DO"/>
        </w:rPr>
        <w:t xml:space="preserve"> resulta innecesaria, toda vez que el ordenamiento jurídico vigente ya permite completar el proceso de nombramiento dentro de un término razonable. A juicio de la </w:t>
      </w:r>
      <w:r w:rsidR="00082DE6">
        <w:rPr>
          <w:rFonts w:ascii="Book Antiqua" w:eastAsia="Times New Roman" w:hAnsi="Book Antiqua"/>
          <w:szCs w:val="24"/>
          <w:lang w:val="es-DO"/>
        </w:rPr>
        <w:t>ALMPR</w:t>
      </w:r>
      <w:r w:rsidRPr="00F37B78">
        <w:rPr>
          <w:rFonts w:ascii="Book Antiqua" w:eastAsia="Times New Roman" w:hAnsi="Book Antiqua"/>
          <w:szCs w:val="24"/>
          <w:lang w:val="es-DO"/>
        </w:rPr>
        <w:t>, el término actual de ciento veinte (120) días es suficiente para que el alcalde identifique, evalúe y someta ante la Legislatura Municipal a un candidato que cumpla con los requisitos establecidos por el Código Municipal.</w:t>
      </w:r>
    </w:p>
    <w:p w14:paraId="006CD624" w14:textId="7B6BFAD0" w:rsidR="00F37B78" w:rsidRPr="00F37B78" w:rsidRDefault="00F37B78"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 xml:space="preserve">Asimismo, la ALMPR argumentó que el Proyecto no atiende una situación real en el ordenamiento vigente, ya que el propio Código Municipal no establece una prohibición expresa para la renovación de designaciones interinas. Según expuso la </w:t>
      </w:r>
      <w:r w:rsidR="00082DE6">
        <w:rPr>
          <w:rFonts w:ascii="Book Antiqua" w:eastAsia="Times New Roman" w:hAnsi="Book Antiqua"/>
          <w:szCs w:val="24"/>
          <w:lang w:val="es-DO"/>
        </w:rPr>
        <w:t>ALMPR</w:t>
      </w:r>
      <w:r w:rsidRPr="00F37B78">
        <w:rPr>
          <w:rFonts w:ascii="Book Antiqua" w:eastAsia="Times New Roman" w:hAnsi="Book Antiqua"/>
          <w:szCs w:val="24"/>
          <w:lang w:val="es-DO"/>
        </w:rPr>
        <w:t>, en la práctica administrativa algunos ejecutivos municipales han recurrido a la renovación de interinatos, por lo que extender el término legal a ciento ochenta (180) días no resolvería la situación señalada y, en cambio, podría incentivar el uso prolongado de nombramientos interinos.</w:t>
      </w:r>
    </w:p>
    <w:p w14:paraId="6A5FD940" w14:textId="77777777" w:rsidR="00F37B78" w:rsidRPr="00F37B78" w:rsidRDefault="00F37B78"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De igual forma, la ALMPR expresó reservas respecto a la segunda enmienda propuesta en la medida, mediante la cual se extendería a ciento ochenta (180) días el término con el que cuenta el alcalde para someter a la Legislatura Municipal los nombramientos que requieren confirmación legislativa. Según la entidad, la exposición de motivos del proyecto no ofrece una justificación específica para esta modificación. A su entender, ampliar dicho término podría debilitar la función fiscalizadora de las legislaturas municipales y facilitar que los ejecutivos municipales pospongan el proceso formal de confirmación.</w:t>
      </w:r>
    </w:p>
    <w:p w14:paraId="1C986989" w14:textId="77777777" w:rsidR="00850DEC" w:rsidRPr="00082DE6" w:rsidRDefault="00850DEC" w:rsidP="00850DEC">
      <w:pPr>
        <w:pStyle w:val="ListParagraph"/>
        <w:numPr>
          <w:ilvl w:val="0"/>
          <w:numId w:val="32"/>
        </w:numPr>
        <w:spacing w:before="100" w:beforeAutospacing="1" w:after="100" w:afterAutospacing="1"/>
        <w:outlineLvl w:val="2"/>
        <w:rPr>
          <w:rFonts w:ascii="Book Antiqua" w:eastAsia="Times New Roman" w:hAnsi="Book Antiqua"/>
          <w:b/>
          <w:bCs/>
          <w:i/>
          <w:iCs/>
          <w:szCs w:val="24"/>
          <w:lang w:val="es-DO"/>
        </w:rPr>
      </w:pPr>
      <w:r w:rsidRPr="00082DE6">
        <w:rPr>
          <w:rFonts w:ascii="Book Antiqua" w:eastAsia="Times New Roman" w:hAnsi="Book Antiqua"/>
          <w:b/>
          <w:bCs/>
          <w:i/>
          <w:iCs/>
          <w:szCs w:val="24"/>
          <w:lang w:val="es-DO"/>
        </w:rPr>
        <w:t>Departamento del Trabajo y Recursos Humanos (DTRH)</w:t>
      </w:r>
    </w:p>
    <w:p w14:paraId="1E158064" w14:textId="0B288D51" w:rsidR="00850DEC" w:rsidRPr="00A068A5" w:rsidRDefault="007F7F06" w:rsidP="00850DE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b/>
          <w:bCs/>
          <w:szCs w:val="24"/>
          <w:lang w:val="es-DO"/>
        </w:rPr>
        <w:t xml:space="preserve">El </w:t>
      </w:r>
      <w:r w:rsidRPr="00A068A5">
        <w:rPr>
          <w:rFonts w:ascii="Book Antiqua" w:eastAsia="Times New Roman" w:hAnsi="Book Antiqua"/>
          <w:b/>
          <w:bCs/>
          <w:szCs w:val="24"/>
          <w:lang w:val="es-DO"/>
        </w:rPr>
        <w:t>Departamento del Trabajo y Recursos Humanos</w:t>
      </w:r>
      <w:r>
        <w:rPr>
          <w:rFonts w:ascii="Book Antiqua" w:eastAsia="Times New Roman" w:hAnsi="Book Antiqua"/>
          <w:b/>
          <w:bCs/>
          <w:szCs w:val="24"/>
          <w:lang w:val="es-DO"/>
        </w:rPr>
        <w:t xml:space="preserve">, representado por su </w:t>
      </w:r>
      <w:r w:rsidR="00082DE6">
        <w:rPr>
          <w:rFonts w:ascii="Book Antiqua" w:eastAsia="Times New Roman" w:hAnsi="Book Antiqua"/>
          <w:b/>
          <w:bCs/>
          <w:szCs w:val="24"/>
          <w:lang w:val="es-DO"/>
        </w:rPr>
        <w:t>s</w:t>
      </w:r>
      <w:r w:rsidRPr="00A068A5">
        <w:rPr>
          <w:rFonts w:ascii="Book Antiqua" w:eastAsia="Times New Roman" w:hAnsi="Book Antiqua"/>
          <w:b/>
          <w:bCs/>
          <w:szCs w:val="24"/>
          <w:lang w:val="es-DO"/>
        </w:rPr>
        <w:t>ecretaria Lcda</w:t>
      </w:r>
      <w:r>
        <w:rPr>
          <w:rFonts w:ascii="Book Antiqua" w:eastAsia="Times New Roman" w:hAnsi="Book Antiqua"/>
          <w:b/>
          <w:bCs/>
          <w:szCs w:val="24"/>
          <w:lang w:val="es-DO"/>
        </w:rPr>
        <w:t xml:space="preserve">. </w:t>
      </w:r>
      <w:r w:rsidRPr="00A068A5">
        <w:rPr>
          <w:rFonts w:ascii="Book Antiqua" w:eastAsia="Times New Roman" w:hAnsi="Book Antiqua"/>
          <w:b/>
          <w:bCs/>
          <w:szCs w:val="24"/>
          <w:lang w:val="es-DO"/>
        </w:rPr>
        <w:t xml:space="preserve">María del Pilar Vélez Casanova, </w:t>
      </w:r>
      <w:r>
        <w:rPr>
          <w:rFonts w:ascii="Book Antiqua" w:eastAsia="Times New Roman" w:hAnsi="Book Antiqua"/>
          <w:szCs w:val="24"/>
          <w:lang w:val="es-DO"/>
        </w:rPr>
        <w:t>sometió su posición sobre la medida, de manera escrita, el</w:t>
      </w:r>
      <w:r w:rsidR="00850DEC" w:rsidRPr="00A068A5">
        <w:rPr>
          <w:rFonts w:ascii="Book Antiqua" w:eastAsia="Times New Roman" w:hAnsi="Book Antiqua"/>
          <w:b/>
          <w:bCs/>
          <w:szCs w:val="24"/>
          <w:lang w:val="es-DO"/>
        </w:rPr>
        <w:t xml:space="preserve"> 16 de octubre de 2025</w:t>
      </w:r>
      <w:r w:rsidR="00850DEC" w:rsidRPr="00A068A5">
        <w:rPr>
          <w:rFonts w:ascii="Book Antiqua" w:eastAsia="Times New Roman" w:hAnsi="Book Antiqua"/>
          <w:szCs w:val="24"/>
          <w:lang w:val="es-DO"/>
        </w:rPr>
        <w:t>.</w:t>
      </w:r>
    </w:p>
    <w:p w14:paraId="418B2BFC" w14:textId="77777777" w:rsidR="005E14D7"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En su comunicación, el </w:t>
      </w:r>
      <w:r w:rsidR="00082DE6">
        <w:rPr>
          <w:rFonts w:ascii="Book Antiqua" w:eastAsia="Times New Roman" w:hAnsi="Book Antiqua"/>
          <w:szCs w:val="24"/>
          <w:lang w:val="es-DO"/>
        </w:rPr>
        <w:t>DTRH</w:t>
      </w:r>
      <w:r w:rsidRPr="00A068A5">
        <w:rPr>
          <w:rFonts w:ascii="Book Antiqua" w:eastAsia="Times New Roman" w:hAnsi="Book Antiqua"/>
          <w:szCs w:val="24"/>
          <w:lang w:val="es-DO"/>
        </w:rPr>
        <w:t xml:space="preserve"> reconoce que la exposición de motivos de la medida plantea que el término actualmente dispuesto en la ley para designaciones interinas </w:t>
      </w:r>
      <w:r w:rsidRPr="00A068A5">
        <w:rPr>
          <w:rFonts w:ascii="Book Antiqua" w:eastAsia="Times New Roman" w:hAnsi="Book Antiqua"/>
          <w:szCs w:val="24"/>
          <w:lang w:val="es-DO"/>
        </w:rPr>
        <w:lastRenderedPageBreak/>
        <w:t xml:space="preserve">puede resultar restrictivo frente a los retos administrativos que enfrentan los alcaldes al momento de identificar candidatos idóneos para ocupar puestos directivos en la administración municipal. En ese sentido, se destaca que el proceso de evaluación de candidatos —que incluye entrevistas, verificación de credenciales y análisis de méritos— </w:t>
      </w:r>
    </w:p>
    <w:p w14:paraId="12AC1470" w14:textId="13233439" w:rsidR="00850DEC" w:rsidRPr="00A068A5"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puede requerir un tiempo razonable para asegurar que las personas seleccionadas cuenten con las competencias técnicas necesarias y estén alineadas con la visión programática de la administración municipal.</w:t>
      </w:r>
    </w:p>
    <w:p w14:paraId="6E98BBD1" w14:textId="1D9E5F8A" w:rsidR="00850DEC" w:rsidRPr="00A068A5" w:rsidRDefault="00850DEC"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Asimismo, el D</w:t>
      </w:r>
      <w:r w:rsidR="00082DE6">
        <w:rPr>
          <w:rFonts w:ascii="Book Antiqua" w:eastAsia="Times New Roman" w:hAnsi="Book Antiqua"/>
          <w:szCs w:val="24"/>
          <w:lang w:val="es-DO"/>
        </w:rPr>
        <w:t>TRH</w:t>
      </w:r>
      <w:r w:rsidRPr="00A068A5">
        <w:rPr>
          <w:rFonts w:ascii="Book Antiqua" w:eastAsia="Times New Roman" w:hAnsi="Book Antiqua"/>
          <w:szCs w:val="24"/>
          <w:lang w:val="es-DO"/>
        </w:rPr>
        <w:t xml:space="preserve"> indicó que la medida persigue otorgar a los alcaldes un margen adicional de tiempo para completar dichos procesos de evaluación y selección de funcionarios que desempeñan funciones esenciales en la operación municipal.</w:t>
      </w:r>
    </w:p>
    <w:p w14:paraId="76A0C920" w14:textId="1BD1E76E"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Si bien e</w:t>
      </w:r>
      <w:r w:rsidRPr="00A068A5">
        <w:rPr>
          <w:rFonts w:ascii="Book Antiqua" w:eastAsia="Times New Roman" w:hAnsi="Book Antiqua"/>
          <w:szCs w:val="24"/>
          <w:lang w:val="es-DO"/>
        </w:rPr>
        <w:t>l Departamento del Trabajo y Recursos Humanos expresó que</w:t>
      </w:r>
      <w:r w:rsidRPr="00850DEC">
        <w:rPr>
          <w:rFonts w:ascii="Book Antiqua" w:eastAsia="Times New Roman" w:hAnsi="Book Antiqua"/>
          <w:szCs w:val="24"/>
          <w:lang w:val="es-DO"/>
        </w:rPr>
        <w:t xml:space="preserve"> considera como acertada la </w:t>
      </w:r>
      <w:r w:rsidR="00397C1C">
        <w:rPr>
          <w:rFonts w:ascii="Book Antiqua" w:eastAsia="Times New Roman" w:hAnsi="Book Antiqua"/>
          <w:szCs w:val="24"/>
          <w:lang w:val="es-DO"/>
        </w:rPr>
        <w:t>intención</w:t>
      </w:r>
      <w:r w:rsidRPr="00850DEC">
        <w:rPr>
          <w:rFonts w:ascii="Book Antiqua" w:eastAsia="Times New Roman" w:hAnsi="Book Antiqua"/>
          <w:szCs w:val="24"/>
          <w:lang w:val="es-DO"/>
        </w:rPr>
        <w:t xml:space="preserve"> de la medida,</w:t>
      </w:r>
      <w:r w:rsidRPr="00A068A5">
        <w:rPr>
          <w:rFonts w:ascii="Book Antiqua" w:eastAsia="Times New Roman" w:hAnsi="Book Antiqua"/>
          <w:szCs w:val="24"/>
          <w:lang w:val="es-DO"/>
        </w:rPr>
        <w:t xml:space="preserve"> </w:t>
      </w:r>
      <w:r w:rsidRPr="00A068A5">
        <w:rPr>
          <w:rFonts w:ascii="Book Antiqua" w:eastAsia="Times New Roman" w:hAnsi="Book Antiqua"/>
          <w:b/>
          <w:bCs/>
          <w:szCs w:val="24"/>
          <w:lang w:val="es-DO"/>
        </w:rPr>
        <w:t>la materia objeto del proyecto no se encuentra dentro de su ámbito jurisdiccional</w:t>
      </w:r>
      <w:r w:rsidRPr="00A068A5">
        <w:rPr>
          <w:rFonts w:ascii="Book Antiqua" w:eastAsia="Times New Roman" w:hAnsi="Book Antiqua"/>
          <w:szCs w:val="24"/>
          <w:lang w:val="es-DO"/>
        </w:rPr>
        <w:t xml:space="preserve">, ya que la misión de la agencia </w:t>
      </w:r>
      <w:proofErr w:type="gramStart"/>
      <w:r w:rsidRPr="00A068A5">
        <w:rPr>
          <w:rFonts w:ascii="Book Antiqua" w:eastAsia="Times New Roman" w:hAnsi="Book Antiqua"/>
          <w:szCs w:val="24"/>
          <w:lang w:val="es-DO"/>
        </w:rPr>
        <w:t>se centra principalmente en</w:t>
      </w:r>
      <w:proofErr w:type="gramEnd"/>
      <w:r w:rsidRPr="00A068A5">
        <w:rPr>
          <w:rFonts w:ascii="Book Antiqua" w:eastAsia="Times New Roman" w:hAnsi="Book Antiqua"/>
          <w:szCs w:val="24"/>
          <w:lang w:val="es-DO"/>
        </w:rPr>
        <w:t xml:space="preserve"> la protección de los derechos de los trabajadores, la fiscalización del cumplimiento de las leyes laborales y la promoción de oportunidades de empleo en el sector laboral. Por tal razón, la agencia </w:t>
      </w:r>
      <w:r w:rsidRPr="00A068A5">
        <w:rPr>
          <w:rFonts w:ascii="Book Antiqua" w:eastAsia="Times New Roman" w:hAnsi="Book Antiqua"/>
          <w:b/>
          <w:bCs/>
          <w:szCs w:val="24"/>
          <w:lang w:val="es-DO"/>
        </w:rPr>
        <w:t>se abstuvo de emitir una posición a favor o en contra del Proyecto del Senado 630</w:t>
      </w:r>
      <w:r w:rsidRPr="00A068A5">
        <w:rPr>
          <w:rFonts w:ascii="Book Antiqua" w:eastAsia="Times New Roman" w:hAnsi="Book Antiqua"/>
          <w:szCs w:val="24"/>
          <w:lang w:val="es-DO"/>
        </w:rPr>
        <w:t>.</w:t>
      </w:r>
    </w:p>
    <w:p w14:paraId="6643AA94" w14:textId="7BD46B81" w:rsidR="00F37B78" w:rsidRPr="00082DE6" w:rsidRDefault="00F37B78" w:rsidP="00850DEC">
      <w:pPr>
        <w:pStyle w:val="ListParagraph"/>
        <w:numPr>
          <w:ilvl w:val="0"/>
          <w:numId w:val="32"/>
        </w:numPr>
        <w:spacing w:before="100" w:beforeAutospacing="1" w:after="100" w:afterAutospacing="1"/>
        <w:outlineLvl w:val="2"/>
        <w:rPr>
          <w:rFonts w:ascii="Book Antiqua" w:eastAsia="Times New Roman" w:hAnsi="Book Antiqua"/>
          <w:b/>
          <w:bCs/>
          <w:i/>
          <w:iCs/>
          <w:szCs w:val="24"/>
          <w:lang w:val="es-DO"/>
        </w:rPr>
      </w:pPr>
      <w:r w:rsidRPr="00082DE6">
        <w:rPr>
          <w:rFonts w:ascii="Book Antiqua" w:eastAsia="Times New Roman" w:hAnsi="Book Antiqua"/>
          <w:b/>
          <w:bCs/>
          <w:i/>
          <w:iCs/>
          <w:szCs w:val="24"/>
          <w:lang w:val="es-DO"/>
        </w:rPr>
        <w:t xml:space="preserve">Federación de </w:t>
      </w:r>
      <w:proofErr w:type="gramStart"/>
      <w:r w:rsidRPr="00082DE6">
        <w:rPr>
          <w:rFonts w:ascii="Book Antiqua" w:eastAsia="Times New Roman" w:hAnsi="Book Antiqua"/>
          <w:b/>
          <w:bCs/>
          <w:i/>
          <w:iCs/>
          <w:szCs w:val="24"/>
          <w:lang w:val="es-DO"/>
        </w:rPr>
        <w:t>Alcaldes</w:t>
      </w:r>
      <w:proofErr w:type="gramEnd"/>
      <w:r w:rsidRPr="00082DE6">
        <w:rPr>
          <w:rFonts w:ascii="Book Antiqua" w:eastAsia="Times New Roman" w:hAnsi="Book Antiqua"/>
          <w:b/>
          <w:bCs/>
          <w:i/>
          <w:iCs/>
          <w:szCs w:val="24"/>
          <w:lang w:val="es-DO"/>
        </w:rPr>
        <w:t xml:space="preserve"> de Puerto Rico</w:t>
      </w:r>
      <w:r w:rsidR="00082DE6" w:rsidRPr="00082DE6">
        <w:rPr>
          <w:rFonts w:ascii="Book Antiqua" w:eastAsia="Times New Roman" w:hAnsi="Book Antiqua"/>
          <w:b/>
          <w:bCs/>
          <w:i/>
          <w:iCs/>
          <w:szCs w:val="24"/>
          <w:lang w:val="es-DO"/>
        </w:rPr>
        <w:t xml:space="preserve"> (FAPR)</w:t>
      </w:r>
    </w:p>
    <w:p w14:paraId="4CF3D452" w14:textId="4CCEA8DD" w:rsidR="00F37B78" w:rsidRPr="00F37B78" w:rsidRDefault="007F7F06" w:rsidP="00850DE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La Comisión recibió, un</w:t>
      </w:r>
      <w:r w:rsidR="00F37B78" w:rsidRPr="00F37B78">
        <w:rPr>
          <w:rFonts w:ascii="Book Antiqua" w:eastAsia="Times New Roman" w:hAnsi="Book Antiqua"/>
          <w:szCs w:val="24"/>
          <w:lang w:val="es-DO"/>
        </w:rPr>
        <w:t xml:space="preserve"> memorial explicativo </w:t>
      </w:r>
      <w:r w:rsidR="00F37B78" w:rsidRPr="00F37B78">
        <w:rPr>
          <w:rFonts w:ascii="Book Antiqua" w:eastAsia="Times New Roman" w:hAnsi="Book Antiqua"/>
          <w:b/>
          <w:bCs/>
          <w:szCs w:val="24"/>
          <w:lang w:val="es-DO"/>
        </w:rPr>
        <w:t xml:space="preserve">fechado el 9 de octubre de 2025 y suscrito por el Sr. Ángel M. Morales Vázquez, </w:t>
      </w:r>
      <w:r w:rsidR="00082DE6">
        <w:rPr>
          <w:rFonts w:ascii="Book Antiqua" w:eastAsia="Times New Roman" w:hAnsi="Book Antiqua"/>
          <w:b/>
          <w:bCs/>
          <w:szCs w:val="24"/>
          <w:lang w:val="es-DO"/>
        </w:rPr>
        <w:t>d</w:t>
      </w:r>
      <w:r w:rsidR="00F37B78" w:rsidRPr="00F37B78">
        <w:rPr>
          <w:rFonts w:ascii="Book Antiqua" w:eastAsia="Times New Roman" w:hAnsi="Book Antiqua"/>
          <w:b/>
          <w:bCs/>
          <w:szCs w:val="24"/>
          <w:lang w:val="es-DO"/>
        </w:rPr>
        <w:t xml:space="preserve">irector </w:t>
      </w:r>
      <w:r w:rsidR="00082DE6">
        <w:rPr>
          <w:rFonts w:ascii="Book Antiqua" w:eastAsia="Times New Roman" w:hAnsi="Book Antiqua"/>
          <w:b/>
          <w:bCs/>
          <w:szCs w:val="24"/>
          <w:lang w:val="es-DO"/>
        </w:rPr>
        <w:t>e</w:t>
      </w:r>
      <w:r w:rsidR="00F37B78" w:rsidRPr="00F37B78">
        <w:rPr>
          <w:rFonts w:ascii="Book Antiqua" w:eastAsia="Times New Roman" w:hAnsi="Book Antiqua"/>
          <w:b/>
          <w:bCs/>
          <w:szCs w:val="24"/>
          <w:lang w:val="es-DO"/>
        </w:rPr>
        <w:t xml:space="preserve">jecutivo de la Federación de </w:t>
      </w:r>
      <w:proofErr w:type="gramStart"/>
      <w:r w:rsidR="00F37B78" w:rsidRPr="00F37B78">
        <w:rPr>
          <w:rFonts w:ascii="Book Antiqua" w:eastAsia="Times New Roman" w:hAnsi="Book Antiqua"/>
          <w:b/>
          <w:bCs/>
          <w:szCs w:val="24"/>
          <w:lang w:val="es-DO"/>
        </w:rPr>
        <w:t>Alcaldes</w:t>
      </w:r>
      <w:proofErr w:type="gramEnd"/>
      <w:r w:rsidR="00F37B78" w:rsidRPr="00F37B78">
        <w:rPr>
          <w:rFonts w:ascii="Book Antiqua" w:eastAsia="Times New Roman" w:hAnsi="Book Antiqua"/>
          <w:b/>
          <w:bCs/>
          <w:szCs w:val="24"/>
          <w:lang w:val="es-DO"/>
        </w:rPr>
        <w:t xml:space="preserve"> de Puerto Rico</w:t>
      </w:r>
      <w:r w:rsidR="00F37B78" w:rsidRPr="00F37B78">
        <w:rPr>
          <w:rFonts w:ascii="Book Antiqua" w:eastAsia="Times New Roman" w:hAnsi="Book Antiqua"/>
          <w:szCs w:val="24"/>
          <w:lang w:val="es-DO"/>
        </w:rPr>
        <w:t xml:space="preserve">, dicha entidad expresó su </w:t>
      </w:r>
      <w:r w:rsidR="00F37B78" w:rsidRPr="00F37B78">
        <w:rPr>
          <w:rFonts w:ascii="Book Antiqua" w:eastAsia="Times New Roman" w:hAnsi="Book Antiqua"/>
          <w:b/>
          <w:bCs/>
          <w:szCs w:val="24"/>
          <w:lang w:val="es-DO"/>
        </w:rPr>
        <w:t xml:space="preserve">oposición </w:t>
      </w:r>
      <w:r>
        <w:rPr>
          <w:rFonts w:ascii="Book Antiqua" w:eastAsia="Times New Roman" w:hAnsi="Book Antiqua"/>
          <w:b/>
          <w:bCs/>
          <w:szCs w:val="24"/>
          <w:lang w:val="es-DO"/>
        </w:rPr>
        <w:t>la medida</w:t>
      </w:r>
      <w:r w:rsidR="00F37B78" w:rsidRPr="00F37B78">
        <w:rPr>
          <w:rFonts w:ascii="Book Antiqua" w:eastAsia="Times New Roman" w:hAnsi="Book Antiqua"/>
          <w:szCs w:val="24"/>
          <w:lang w:val="es-DO"/>
        </w:rPr>
        <w:t>.</w:t>
      </w:r>
    </w:p>
    <w:p w14:paraId="41251E7D" w14:textId="5DECFF7D" w:rsidR="00F37B78" w:rsidRPr="00F37B78" w:rsidRDefault="00F37B78"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En su comunicación, la F</w:t>
      </w:r>
      <w:r w:rsidR="00082DE6">
        <w:rPr>
          <w:rFonts w:ascii="Book Antiqua" w:eastAsia="Times New Roman" w:hAnsi="Book Antiqua"/>
          <w:szCs w:val="24"/>
          <w:lang w:val="es-DO"/>
        </w:rPr>
        <w:t>APR</w:t>
      </w:r>
      <w:r w:rsidRPr="00F37B78">
        <w:rPr>
          <w:rFonts w:ascii="Book Antiqua" w:eastAsia="Times New Roman" w:hAnsi="Book Antiqua"/>
          <w:szCs w:val="24"/>
          <w:lang w:val="es-DO"/>
        </w:rPr>
        <w:t xml:space="preserve"> planteó que, aunque reconoce el interés de ofrecer a los alcaldes un mayor margen de tiempo para identificar candidatos idóneos para dirigir las unidades administrativas municipales, la enmienda propuesta podría afectar el balance institucional entre el poder ejecutivo municipal y la función fiscalizadora que corresponde a las legislaturas municipales.</w:t>
      </w:r>
    </w:p>
    <w:p w14:paraId="480F6CF0" w14:textId="77777777" w:rsidR="00F37B78" w:rsidRPr="00F37B78" w:rsidRDefault="00F37B78"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Según expone el memorial, el marco jurídico vigente ya establece un término razonable para completar el proceso de designación y confirmación. En particular, el Artículo 2.004 del Código Municipal dispone que el alcalde cuenta con hasta ciento veinte (120) días desde la fecha de efectividad del nombramiento interino para someter la designación formal a la Legislatura Municipal. A su vez, una vez radicado el nombramiento, la Legislatura dispone de treinta (30) días para aprobarlo o rechazarlo, disponiéndose además que, de no actuar dentro de dicho término, el nombramiento se entenderá confirmado automáticamente. De esta forma, el proceso completo puede extenderse hasta un máximo de ciento cincuenta (150) días calendario.</w:t>
      </w:r>
    </w:p>
    <w:p w14:paraId="12D310A0" w14:textId="22CB17CA" w:rsidR="00F37B78" w:rsidRPr="00F37B78" w:rsidRDefault="00F37B78"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lastRenderedPageBreak/>
        <w:t>A juicio de la F</w:t>
      </w:r>
      <w:r w:rsidR="00082DE6">
        <w:rPr>
          <w:rFonts w:ascii="Book Antiqua" w:eastAsia="Times New Roman" w:hAnsi="Book Antiqua"/>
          <w:szCs w:val="24"/>
          <w:lang w:val="es-DO"/>
        </w:rPr>
        <w:t>APR</w:t>
      </w:r>
      <w:r w:rsidRPr="00F37B78">
        <w:rPr>
          <w:rFonts w:ascii="Book Antiqua" w:eastAsia="Times New Roman" w:hAnsi="Book Antiqua"/>
          <w:szCs w:val="24"/>
          <w:lang w:val="es-DO"/>
        </w:rPr>
        <w:t xml:space="preserve">, dicho término resulta suficiente para llevar a cabo los procesos de identificación, evaluación y validación de credenciales de los candidatos a ocupar estos cargos de confianza dentro de la administración municipal. En ese sentido, sostienen que extender el término interino hasta </w:t>
      </w:r>
      <w:proofErr w:type="gramStart"/>
      <w:r w:rsidRPr="00F37B78">
        <w:rPr>
          <w:rFonts w:ascii="Book Antiqua" w:eastAsia="Times New Roman" w:hAnsi="Book Antiqua"/>
          <w:szCs w:val="24"/>
          <w:lang w:val="es-DO"/>
        </w:rPr>
        <w:t xml:space="preserve">ciento </w:t>
      </w:r>
      <w:r w:rsidR="005E14D7">
        <w:rPr>
          <w:rFonts w:ascii="Book Antiqua" w:eastAsia="Times New Roman" w:hAnsi="Book Antiqua"/>
          <w:szCs w:val="24"/>
          <w:lang w:val="es-DO"/>
        </w:rPr>
        <w:t xml:space="preserve"> </w:t>
      </w:r>
      <w:r w:rsidRPr="00F37B78">
        <w:rPr>
          <w:rFonts w:ascii="Book Antiqua" w:eastAsia="Times New Roman" w:hAnsi="Book Antiqua"/>
          <w:szCs w:val="24"/>
          <w:lang w:val="es-DO"/>
        </w:rPr>
        <w:t>ochenta</w:t>
      </w:r>
      <w:proofErr w:type="gramEnd"/>
      <w:r w:rsidRPr="00F37B78">
        <w:rPr>
          <w:rFonts w:ascii="Book Antiqua" w:eastAsia="Times New Roman" w:hAnsi="Book Antiqua"/>
          <w:szCs w:val="24"/>
          <w:lang w:val="es-DO"/>
        </w:rPr>
        <w:t xml:space="preserve"> </w:t>
      </w:r>
      <w:r w:rsidR="005E14D7">
        <w:rPr>
          <w:rFonts w:ascii="Book Antiqua" w:eastAsia="Times New Roman" w:hAnsi="Book Antiqua"/>
          <w:szCs w:val="24"/>
          <w:lang w:val="es-DO"/>
        </w:rPr>
        <w:t xml:space="preserve"> </w:t>
      </w:r>
      <w:r w:rsidRPr="00F37B78">
        <w:rPr>
          <w:rFonts w:ascii="Book Antiqua" w:eastAsia="Times New Roman" w:hAnsi="Book Antiqua"/>
          <w:szCs w:val="24"/>
          <w:lang w:val="es-DO"/>
        </w:rPr>
        <w:t>(180</w:t>
      </w:r>
      <w:proofErr w:type="gramStart"/>
      <w:r w:rsidRPr="00F37B78">
        <w:rPr>
          <w:rFonts w:ascii="Book Antiqua" w:eastAsia="Times New Roman" w:hAnsi="Book Antiqua"/>
          <w:szCs w:val="24"/>
          <w:lang w:val="es-DO"/>
        </w:rPr>
        <w:t xml:space="preserve">) </w:t>
      </w:r>
      <w:r w:rsidR="005E14D7">
        <w:rPr>
          <w:rFonts w:ascii="Book Antiqua" w:eastAsia="Times New Roman" w:hAnsi="Book Antiqua"/>
          <w:szCs w:val="24"/>
          <w:lang w:val="es-DO"/>
        </w:rPr>
        <w:t xml:space="preserve"> </w:t>
      </w:r>
      <w:r w:rsidRPr="00F37B78">
        <w:rPr>
          <w:rFonts w:ascii="Book Antiqua" w:eastAsia="Times New Roman" w:hAnsi="Book Antiqua"/>
          <w:szCs w:val="24"/>
          <w:lang w:val="es-DO"/>
        </w:rPr>
        <w:t xml:space="preserve">días, </w:t>
      </w:r>
      <w:r w:rsidR="005E14D7">
        <w:rPr>
          <w:rFonts w:ascii="Book Antiqua" w:eastAsia="Times New Roman" w:hAnsi="Book Antiqua"/>
          <w:szCs w:val="24"/>
          <w:lang w:val="es-DO"/>
        </w:rPr>
        <w:t xml:space="preserve"> </w:t>
      </w:r>
      <w:r w:rsidRPr="00F37B78">
        <w:rPr>
          <w:rFonts w:ascii="Book Antiqua" w:eastAsia="Times New Roman" w:hAnsi="Book Antiqua"/>
          <w:szCs w:val="24"/>
          <w:lang w:val="es-DO"/>
        </w:rPr>
        <w:t>sin</w:t>
      </w:r>
      <w:proofErr w:type="gramEnd"/>
      <w:r w:rsidR="005E14D7">
        <w:rPr>
          <w:rFonts w:ascii="Book Antiqua" w:eastAsia="Times New Roman" w:hAnsi="Book Antiqua"/>
          <w:szCs w:val="24"/>
          <w:lang w:val="es-DO"/>
        </w:rPr>
        <w:t xml:space="preserve"> </w:t>
      </w:r>
      <w:r w:rsidRPr="00F37B78">
        <w:rPr>
          <w:rFonts w:ascii="Book Antiqua" w:eastAsia="Times New Roman" w:hAnsi="Book Antiqua"/>
          <w:szCs w:val="24"/>
          <w:lang w:val="es-DO"/>
        </w:rPr>
        <w:t xml:space="preserve"> </w:t>
      </w:r>
      <w:proofErr w:type="gramStart"/>
      <w:r w:rsidRPr="00F37B78">
        <w:rPr>
          <w:rFonts w:ascii="Book Antiqua" w:eastAsia="Times New Roman" w:hAnsi="Book Antiqua"/>
          <w:szCs w:val="24"/>
          <w:lang w:val="es-DO"/>
        </w:rPr>
        <w:t xml:space="preserve">requerir </w:t>
      </w:r>
      <w:r w:rsidR="005E14D7">
        <w:rPr>
          <w:rFonts w:ascii="Book Antiqua" w:eastAsia="Times New Roman" w:hAnsi="Book Antiqua"/>
          <w:szCs w:val="24"/>
          <w:lang w:val="es-DO"/>
        </w:rPr>
        <w:t xml:space="preserve"> </w:t>
      </w:r>
      <w:r w:rsidRPr="00F37B78">
        <w:rPr>
          <w:rFonts w:ascii="Book Antiqua" w:eastAsia="Times New Roman" w:hAnsi="Book Antiqua"/>
          <w:szCs w:val="24"/>
          <w:lang w:val="es-DO"/>
        </w:rPr>
        <w:t>intervención</w:t>
      </w:r>
      <w:proofErr w:type="gramEnd"/>
      <w:r w:rsidRPr="00F37B78">
        <w:rPr>
          <w:rFonts w:ascii="Book Antiqua" w:eastAsia="Times New Roman" w:hAnsi="Book Antiqua"/>
          <w:szCs w:val="24"/>
          <w:lang w:val="es-DO"/>
        </w:rPr>
        <w:t xml:space="preserve"> legislativa durante ese periodo adicional, podría debilitar los mecanismos de fiscalización y transparencia que ejercen las legislaturas municipales.</w:t>
      </w:r>
    </w:p>
    <w:p w14:paraId="46319102" w14:textId="46E1BFC6" w:rsidR="00F37B78" w:rsidRPr="00F37B78" w:rsidRDefault="00F37B78"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 xml:space="preserve">Asimismo, </w:t>
      </w:r>
      <w:r w:rsidR="00397C1C">
        <w:rPr>
          <w:rFonts w:ascii="Book Antiqua" w:eastAsia="Times New Roman" w:hAnsi="Book Antiqua"/>
          <w:szCs w:val="24"/>
          <w:lang w:val="es-DO"/>
        </w:rPr>
        <w:t xml:space="preserve">la </w:t>
      </w:r>
      <w:r w:rsidR="00082DE6">
        <w:rPr>
          <w:rFonts w:ascii="Book Antiqua" w:eastAsia="Times New Roman" w:hAnsi="Book Antiqua"/>
          <w:szCs w:val="24"/>
          <w:lang w:val="es-DO"/>
        </w:rPr>
        <w:t>FAPR</w:t>
      </w:r>
      <w:r w:rsidR="00397C1C">
        <w:rPr>
          <w:rFonts w:ascii="Book Antiqua" w:eastAsia="Times New Roman" w:hAnsi="Book Antiqua"/>
          <w:szCs w:val="24"/>
          <w:lang w:val="es-DO"/>
        </w:rPr>
        <w:t xml:space="preserve">, </w:t>
      </w:r>
      <w:r w:rsidRPr="00F37B78">
        <w:rPr>
          <w:rFonts w:ascii="Book Antiqua" w:eastAsia="Times New Roman" w:hAnsi="Book Antiqua"/>
          <w:szCs w:val="24"/>
          <w:lang w:val="es-DO"/>
        </w:rPr>
        <w:t>advierte que mantener directores de unidades administrativas en carácter interino por periodos prolongados podría generar inestabilidad institucional y limitar la autoridad decisional inherente a dichos cargos.</w:t>
      </w:r>
    </w:p>
    <w:p w14:paraId="7B5873DD" w14:textId="61B3B92D" w:rsidR="00F37B78" w:rsidRPr="00082DE6" w:rsidRDefault="00F37B78" w:rsidP="002B40AA">
      <w:pPr>
        <w:pStyle w:val="ListParagraph"/>
        <w:numPr>
          <w:ilvl w:val="0"/>
          <w:numId w:val="32"/>
        </w:numPr>
        <w:spacing w:after="100" w:afterAutospacing="1"/>
        <w:outlineLvl w:val="2"/>
        <w:rPr>
          <w:rFonts w:ascii="Book Antiqua" w:eastAsia="Times New Roman" w:hAnsi="Book Antiqua"/>
          <w:b/>
          <w:bCs/>
          <w:i/>
          <w:iCs/>
          <w:szCs w:val="24"/>
          <w:lang w:val="es-DO"/>
        </w:rPr>
      </w:pPr>
      <w:r w:rsidRPr="00082DE6">
        <w:rPr>
          <w:rFonts w:ascii="Book Antiqua" w:eastAsia="Times New Roman" w:hAnsi="Book Antiqua"/>
          <w:b/>
          <w:bCs/>
          <w:i/>
          <w:iCs/>
          <w:szCs w:val="24"/>
          <w:lang w:val="es-DO"/>
        </w:rPr>
        <w:t>Federación de Legisladores Municipales de Puerto Rico</w:t>
      </w:r>
      <w:r w:rsidR="00082DE6" w:rsidRPr="00082DE6">
        <w:rPr>
          <w:rFonts w:ascii="Book Antiqua" w:eastAsia="Times New Roman" w:hAnsi="Book Antiqua"/>
          <w:b/>
          <w:bCs/>
          <w:i/>
          <w:iCs/>
          <w:szCs w:val="24"/>
          <w:lang w:val="es-DO"/>
        </w:rPr>
        <w:t xml:space="preserve"> (FLMPR)</w:t>
      </w:r>
    </w:p>
    <w:p w14:paraId="0B61CDF7" w14:textId="50B83B10" w:rsidR="00F37B78" w:rsidRPr="00F37B78" w:rsidRDefault="00F37B78"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 xml:space="preserve">Mediante ponencia </w:t>
      </w:r>
      <w:r w:rsidRPr="00F37B78">
        <w:rPr>
          <w:rFonts w:ascii="Book Antiqua" w:eastAsia="Times New Roman" w:hAnsi="Book Antiqua"/>
          <w:b/>
          <w:bCs/>
          <w:szCs w:val="24"/>
          <w:lang w:val="es-DO"/>
        </w:rPr>
        <w:t xml:space="preserve">fechada el 9 de octubre de 2025 y suscrita por el Hon. Antonio Meléndez Vargas, </w:t>
      </w:r>
      <w:proofErr w:type="gramStart"/>
      <w:r w:rsidRPr="00F37B78">
        <w:rPr>
          <w:rFonts w:ascii="Book Antiqua" w:eastAsia="Times New Roman" w:hAnsi="Book Antiqua"/>
          <w:b/>
          <w:bCs/>
          <w:szCs w:val="24"/>
          <w:lang w:val="es-DO"/>
        </w:rPr>
        <w:t>Presidente</w:t>
      </w:r>
      <w:proofErr w:type="gramEnd"/>
      <w:r w:rsidRPr="00F37B78">
        <w:rPr>
          <w:rFonts w:ascii="Book Antiqua" w:eastAsia="Times New Roman" w:hAnsi="Book Antiqua"/>
          <w:b/>
          <w:bCs/>
          <w:szCs w:val="24"/>
          <w:lang w:val="es-DO"/>
        </w:rPr>
        <w:t xml:space="preserve"> de la Federación de Legisladores Municipales de Puerto Rico</w:t>
      </w:r>
      <w:r w:rsidRPr="00F37B78">
        <w:rPr>
          <w:rFonts w:ascii="Book Antiqua" w:eastAsia="Times New Roman" w:hAnsi="Book Antiqua"/>
          <w:szCs w:val="24"/>
          <w:lang w:val="es-DO"/>
        </w:rPr>
        <w:t xml:space="preserve">, dicha entidad expresó su </w:t>
      </w:r>
      <w:r w:rsidRPr="00F37B78">
        <w:rPr>
          <w:rFonts w:ascii="Book Antiqua" w:eastAsia="Times New Roman" w:hAnsi="Book Antiqua"/>
          <w:b/>
          <w:bCs/>
          <w:szCs w:val="24"/>
          <w:lang w:val="es-DO"/>
        </w:rPr>
        <w:t>oposición a</w:t>
      </w:r>
      <w:r w:rsidR="007F7F06">
        <w:rPr>
          <w:rFonts w:ascii="Book Antiqua" w:eastAsia="Times New Roman" w:hAnsi="Book Antiqua"/>
          <w:b/>
          <w:bCs/>
          <w:szCs w:val="24"/>
          <w:lang w:val="es-DO"/>
        </w:rPr>
        <w:t xml:space="preserve">l Proyecto en discusión. </w:t>
      </w:r>
    </w:p>
    <w:p w14:paraId="422726C4" w14:textId="77777777" w:rsidR="00F37B78" w:rsidRPr="00F37B78" w:rsidRDefault="00F37B78"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En su memorial, la Federación argumentó que el propósito del proyecto parte de la premisa de que el término actual de ciento veinte (120) días para las designaciones interinas resulta restrictivo; no obstante, señaló que tal planteamiento no considera integralmente el esquema jurídico vigente establecido en el Artículo 2.004 del Código Municipal de Puerto Rico. Conforme a dicha disposición, el alcalde dispone de hasta ciento veinte (120) días desde la efectividad del nombramiento interino para someter la designación a la consideración de la Legislatura Municipal, mientras que este cuerpo legislativo cuenta con treinta (30) días adicionales para aprobar o rechazar el nombramiento, entendiéndose confirmado automáticamente de no mediar acción dentro de dicho término. En consecuencia, el proceso completo puede extenderse hasta un máximo de ciento cincuenta (150) días calendario.</w:t>
      </w:r>
    </w:p>
    <w:p w14:paraId="73070338" w14:textId="72EC8CEA" w:rsidR="00F37B78" w:rsidRPr="00F37B78" w:rsidRDefault="00F37B78"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La F</w:t>
      </w:r>
      <w:r w:rsidR="00082DE6">
        <w:rPr>
          <w:rFonts w:ascii="Book Antiqua" w:eastAsia="Times New Roman" w:hAnsi="Book Antiqua"/>
          <w:szCs w:val="24"/>
          <w:lang w:val="es-DO"/>
        </w:rPr>
        <w:t xml:space="preserve">LMPR </w:t>
      </w:r>
      <w:r w:rsidRPr="00F37B78">
        <w:rPr>
          <w:rFonts w:ascii="Book Antiqua" w:eastAsia="Times New Roman" w:hAnsi="Book Antiqua"/>
          <w:szCs w:val="24"/>
          <w:lang w:val="es-DO"/>
        </w:rPr>
        <w:t>sostuvo que este término ya provee un margen razonable para realizar los procesos de entrevistas, validación de credenciales y evaluación de méritos de los candidatos a ocupar posiciones directivas en la administración municipal.</w:t>
      </w:r>
    </w:p>
    <w:p w14:paraId="6F136943" w14:textId="77777777" w:rsidR="00F37B78" w:rsidRPr="00F37B78" w:rsidRDefault="00F37B78"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Asimismo, advirtió que extender el término de los nombramientos interinos a ciento ochenta (180) días podría afectar el balance institucional establecido entre el poder ejecutivo municipal y la función fiscalizadora que ejerce la Legislatura Municipal. A su juicio, permitir que funcionarios permanezcan en carácter interino por un periodo mayor sin el correspondiente escrutinio legislativo podría debilitar los mecanismos de rendición de cuentas y abrir la puerta a designaciones prolongadas sin el debido proceso de confirmación.</w:t>
      </w:r>
    </w:p>
    <w:p w14:paraId="250ED60D" w14:textId="442EC496" w:rsidR="00F37B78" w:rsidRDefault="00F37B78"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De igual forma, la F</w:t>
      </w:r>
      <w:r w:rsidR="00082DE6">
        <w:rPr>
          <w:rFonts w:ascii="Book Antiqua" w:eastAsia="Times New Roman" w:hAnsi="Book Antiqua"/>
          <w:szCs w:val="24"/>
          <w:lang w:val="es-DO"/>
        </w:rPr>
        <w:t>LMPR</w:t>
      </w:r>
      <w:r w:rsidRPr="00F37B78">
        <w:rPr>
          <w:rFonts w:ascii="Book Antiqua" w:eastAsia="Times New Roman" w:hAnsi="Book Antiqua"/>
          <w:szCs w:val="24"/>
          <w:lang w:val="es-DO"/>
        </w:rPr>
        <w:t xml:space="preserve"> planteó que la prolongación excesiva de nombramientos interinos podría incidir negativamente en la estabilidad administrativa y en la autoridad </w:t>
      </w:r>
      <w:r w:rsidRPr="00F37B78">
        <w:rPr>
          <w:rFonts w:ascii="Book Antiqua" w:eastAsia="Times New Roman" w:hAnsi="Book Antiqua"/>
          <w:szCs w:val="24"/>
          <w:lang w:val="es-DO"/>
        </w:rPr>
        <w:lastRenderedPageBreak/>
        <w:t>decisional de quienes ocupan dichos cargos, al mantenerse en una condición provisional por un periodo extendido.</w:t>
      </w:r>
    </w:p>
    <w:p w14:paraId="4ABC2E51" w14:textId="77777777" w:rsidR="002B40AA" w:rsidRDefault="00850DEC" w:rsidP="005E14D7">
      <w:pPr>
        <w:pStyle w:val="ListParagraph"/>
        <w:numPr>
          <w:ilvl w:val="0"/>
          <w:numId w:val="32"/>
        </w:numPr>
        <w:outlineLvl w:val="2"/>
        <w:rPr>
          <w:rFonts w:ascii="Book Antiqua" w:eastAsia="Times New Roman" w:hAnsi="Book Antiqua"/>
          <w:b/>
          <w:bCs/>
          <w:szCs w:val="24"/>
          <w:lang w:val="es-DO"/>
        </w:rPr>
      </w:pPr>
      <w:r w:rsidRPr="00850DEC">
        <w:rPr>
          <w:rFonts w:ascii="Book Antiqua" w:eastAsia="Times New Roman" w:hAnsi="Book Antiqua"/>
          <w:b/>
          <w:bCs/>
          <w:szCs w:val="24"/>
          <w:lang w:val="es-DO"/>
        </w:rPr>
        <w:t>Municipio Autónomo de Comerío</w:t>
      </w:r>
    </w:p>
    <w:p w14:paraId="65996D7A" w14:textId="77777777" w:rsidR="005E14D7" w:rsidRDefault="005E14D7" w:rsidP="005E14D7">
      <w:pPr>
        <w:jc w:val="both"/>
        <w:outlineLvl w:val="2"/>
        <w:rPr>
          <w:rFonts w:ascii="Book Antiqua" w:eastAsia="Times New Roman" w:hAnsi="Book Antiqua"/>
          <w:b/>
          <w:bCs/>
          <w:szCs w:val="24"/>
          <w:lang w:val="es-DO"/>
        </w:rPr>
      </w:pPr>
    </w:p>
    <w:p w14:paraId="11542559" w14:textId="276194E2" w:rsidR="00850DEC" w:rsidRDefault="00850DEC" w:rsidP="005E14D7">
      <w:pPr>
        <w:jc w:val="both"/>
        <w:outlineLvl w:val="2"/>
        <w:rPr>
          <w:rFonts w:ascii="Book Antiqua" w:eastAsia="Times New Roman" w:hAnsi="Book Antiqua"/>
          <w:szCs w:val="24"/>
          <w:lang w:val="es-DO"/>
        </w:rPr>
      </w:pPr>
      <w:r w:rsidRPr="002B40AA">
        <w:rPr>
          <w:rFonts w:ascii="Book Antiqua" w:eastAsia="Times New Roman" w:hAnsi="Book Antiqua"/>
          <w:b/>
          <w:bCs/>
          <w:szCs w:val="24"/>
          <w:lang w:val="es-DO"/>
        </w:rPr>
        <w:t xml:space="preserve">El Municipio Autónomo de Comerío </w:t>
      </w:r>
      <w:r w:rsidR="007F7F06" w:rsidRPr="002B40AA">
        <w:rPr>
          <w:rFonts w:ascii="Book Antiqua" w:eastAsia="Times New Roman" w:hAnsi="Book Antiqua"/>
          <w:b/>
          <w:bCs/>
          <w:szCs w:val="24"/>
          <w:lang w:val="es-DO"/>
        </w:rPr>
        <w:t>sometió</w:t>
      </w:r>
      <w:r w:rsidRPr="002B40AA">
        <w:rPr>
          <w:rFonts w:ascii="Book Antiqua" w:eastAsia="Times New Roman" w:hAnsi="Book Antiqua"/>
          <w:b/>
          <w:bCs/>
          <w:szCs w:val="24"/>
          <w:lang w:val="es-DO"/>
        </w:rPr>
        <w:t xml:space="preserve"> un memorial el 16 de octubre d</w:t>
      </w:r>
      <w:r w:rsidR="00082DE6">
        <w:rPr>
          <w:rFonts w:ascii="Book Antiqua" w:eastAsia="Times New Roman" w:hAnsi="Book Antiqua"/>
          <w:b/>
          <w:bCs/>
          <w:szCs w:val="24"/>
          <w:lang w:val="es-DO"/>
        </w:rPr>
        <w:t>e 2</w:t>
      </w:r>
      <w:r w:rsidRPr="002B40AA">
        <w:rPr>
          <w:rFonts w:ascii="Book Antiqua" w:eastAsia="Times New Roman" w:hAnsi="Book Antiqua"/>
          <w:b/>
          <w:bCs/>
          <w:szCs w:val="24"/>
          <w:lang w:val="es-DO"/>
        </w:rPr>
        <w:t xml:space="preserve">025, suscrito por </w:t>
      </w:r>
      <w:r w:rsidR="00082DE6">
        <w:rPr>
          <w:rFonts w:ascii="Book Antiqua" w:eastAsia="Times New Roman" w:hAnsi="Book Antiqua"/>
          <w:b/>
          <w:bCs/>
          <w:szCs w:val="24"/>
          <w:lang w:val="es-DO"/>
        </w:rPr>
        <w:t>su</w:t>
      </w:r>
      <w:r w:rsidRPr="002B40AA">
        <w:rPr>
          <w:rFonts w:ascii="Book Antiqua" w:eastAsia="Times New Roman" w:hAnsi="Book Antiqua"/>
          <w:b/>
          <w:bCs/>
          <w:szCs w:val="24"/>
          <w:lang w:val="es-DO"/>
        </w:rPr>
        <w:t xml:space="preserve"> </w:t>
      </w:r>
      <w:r w:rsidR="00082DE6">
        <w:rPr>
          <w:rFonts w:ascii="Book Antiqua" w:eastAsia="Times New Roman" w:hAnsi="Book Antiqua"/>
          <w:b/>
          <w:bCs/>
          <w:szCs w:val="24"/>
          <w:lang w:val="es-DO"/>
        </w:rPr>
        <w:t>a</w:t>
      </w:r>
      <w:r w:rsidR="00397C1C" w:rsidRPr="002B40AA">
        <w:rPr>
          <w:rFonts w:ascii="Book Antiqua" w:eastAsia="Times New Roman" w:hAnsi="Book Antiqua"/>
          <w:b/>
          <w:bCs/>
          <w:szCs w:val="24"/>
          <w:lang w:val="es-DO"/>
        </w:rPr>
        <w:t>lcalde,</w:t>
      </w:r>
      <w:r w:rsidR="00397C1C" w:rsidRPr="002B40AA">
        <w:rPr>
          <w:rFonts w:ascii="Book Antiqua" w:eastAsia="Times New Roman" w:hAnsi="Book Antiqua"/>
          <w:szCs w:val="24"/>
          <w:lang w:val="es-DO"/>
        </w:rPr>
        <w:t xml:space="preserve"> </w:t>
      </w:r>
      <w:r w:rsidR="00082DE6">
        <w:rPr>
          <w:rFonts w:ascii="Book Antiqua" w:eastAsia="Times New Roman" w:hAnsi="Book Antiqua"/>
          <w:b/>
          <w:bCs/>
          <w:szCs w:val="24"/>
          <w:lang w:val="es-DO"/>
        </w:rPr>
        <w:t>Honorable</w:t>
      </w:r>
      <w:r w:rsidRPr="002B40AA">
        <w:rPr>
          <w:rFonts w:ascii="Book Antiqua" w:eastAsia="Times New Roman" w:hAnsi="Book Antiqua"/>
          <w:b/>
          <w:bCs/>
          <w:szCs w:val="24"/>
          <w:lang w:val="es-DO"/>
        </w:rPr>
        <w:t xml:space="preserve"> Irvin Rivera González, </w:t>
      </w:r>
      <w:r w:rsidRPr="002B40AA">
        <w:rPr>
          <w:rFonts w:ascii="Book Antiqua" w:eastAsia="Times New Roman" w:hAnsi="Book Antiqua"/>
          <w:szCs w:val="24"/>
          <w:lang w:val="es-DO"/>
        </w:rPr>
        <w:t xml:space="preserve">expresando </w:t>
      </w:r>
      <w:r w:rsidRPr="002B40AA">
        <w:rPr>
          <w:rFonts w:ascii="Book Antiqua" w:eastAsia="Times New Roman" w:hAnsi="Book Antiqua"/>
          <w:b/>
          <w:bCs/>
          <w:szCs w:val="24"/>
          <w:lang w:val="es-DO"/>
        </w:rPr>
        <w:t>respaldo al Proyecto del Senado 630</w:t>
      </w:r>
      <w:r w:rsidRPr="002B40AA">
        <w:rPr>
          <w:rFonts w:ascii="Book Antiqua" w:eastAsia="Times New Roman" w:hAnsi="Book Antiqua"/>
          <w:szCs w:val="24"/>
          <w:lang w:val="es-DO"/>
        </w:rPr>
        <w:t>.</w:t>
      </w:r>
    </w:p>
    <w:p w14:paraId="10AABB6F" w14:textId="77777777" w:rsidR="005E14D7" w:rsidRPr="002B40AA" w:rsidRDefault="005E14D7" w:rsidP="005E14D7">
      <w:pPr>
        <w:jc w:val="both"/>
        <w:outlineLvl w:val="2"/>
        <w:rPr>
          <w:rFonts w:ascii="Book Antiqua" w:eastAsia="Times New Roman" w:hAnsi="Book Antiqua"/>
          <w:b/>
          <w:bCs/>
          <w:szCs w:val="24"/>
          <w:lang w:val="es-DO"/>
        </w:rPr>
      </w:pPr>
    </w:p>
    <w:p w14:paraId="27C078B5" w14:textId="6BA5A913" w:rsidR="00850DEC" w:rsidRPr="00F37B78" w:rsidRDefault="00850DEC" w:rsidP="002B40AA">
      <w:pPr>
        <w:spacing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En su comunicación, el Municipio de Comerío indicó que la medida, constituye una herramienta razonable para fortalecer la gestión administrativa de los municipios.</w:t>
      </w:r>
      <w:r w:rsidR="00397C1C">
        <w:rPr>
          <w:rFonts w:ascii="Book Antiqua" w:eastAsia="Times New Roman" w:hAnsi="Book Antiqua"/>
          <w:szCs w:val="24"/>
          <w:lang w:val="es-DO"/>
        </w:rPr>
        <w:t xml:space="preserve"> Continúa,</w:t>
      </w:r>
      <w:r w:rsidRPr="00F37B78">
        <w:rPr>
          <w:rFonts w:ascii="Book Antiqua" w:eastAsia="Times New Roman" w:hAnsi="Book Antiqua"/>
          <w:szCs w:val="24"/>
          <w:lang w:val="es-DO"/>
        </w:rPr>
        <w:t xml:space="preserve"> señala</w:t>
      </w:r>
      <w:r w:rsidR="00397C1C">
        <w:rPr>
          <w:rFonts w:ascii="Book Antiqua" w:eastAsia="Times New Roman" w:hAnsi="Book Antiqua"/>
          <w:szCs w:val="24"/>
          <w:lang w:val="es-DO"/>
        </w:rPr>
        <w:t>ndo</w:t>
      </w:r>
      <w:r w:rsidRPr="00F37B78">
        <w:rPr>
          <w:rFonts w:ascii="Book Antiqua" w:eastAsia="Times New Roman" w:hAnsi="Book Antiqua"/>
          <w:szCs w:val="24"/>
          <w:lang w:val="es-DO"/>
        </w:rPr>
        <w:t xml:space="preserve"> que la ampliación del término interino reconoce las realidades administrativas que enfrentan los gobiernos municipales al momento de identificar candidatos idóneos para ocupar posiciones directivas dentro de la estructura municipal. En ese sentido, se destacó que los procesos de reclutamiento, evaluación de credenciales y análisis de competencias requieren un tiempo razonable que permita realizar una selección responsable y alineada con las necesidades programáticas de la administración municipal.</w:t>
      </w:r>
    </w:p>
    <w:p w14:paraId="0D13868B" w14:textId="26AB5E08" w:rsidR="00850DEC" w:rsidRDefault="00850DEC" w:rsidP="00850DEC">
      <w:pPr>
        <w:spacing w:before="100" w:beforeAutospacing="1" w:after="100" w:afterAutospacing="1"/>
        <w:jc w:val="both"/>
        <w:rPr>
          <w:rFonts w:ascii="Book Antiqua" w:eastAsia="Times New Roman" w:hAnsi="Book Antiqua"/>
          <w:szCs w:val="24"/>
          <w:lang w:val="es-DO"/>
        </w:rPr>
      </w:pPr>
      <w:r w:rsidRPr="00F37B78">
        <w:rPr>
          <w:rFonts w:ascii="Book Antiqua" w:eastAsia="Times New Roman" w:hAnsi="Book Antiqua"/>
          <w:szCs w:val="24"/>
          <w:lang w:val="es-DO"/>
        </w:rPr>
        <w:t xml:space="preserve">Asimismo, el Municipio de Comerío sostuvo que la enmienda propuesta contribuiría a promover mayor estabilidad en la administración municipal, al permitir que las funciones administrativas continúen desarrollándose de manera ordenada mientras se completa el proceso de identificación y selección del candidato que será sometido </w:t>
      </w:r>
      <w:r w:rsidR="00AC6864">
        <w:rPr>
          <w:rFonts w:ascii="Book Antiqua" w:eastAsia="Times New Roman" w:hAnsi="Book Antiqua"/>
          <w:szCs w:val="24"/>
          <w:lang w:val="es-DO"/>
        </w:rPr>
        <w:t>a</w:t>
      </w:r>
      <w:r w:rsidRPr="00F37B78">
        <w:rPr>
          <w:rFonts w:ascii="Book Antiqua" w:eastAsia="Times New Roman" w:hAnsi="Book Antiqua"/>
          <w:szCs w:val="24"/>
          <w:lang w:val="es-DO"/>
        </w:rPr>
        <w:t xml:space="preserve"> la correspondiente confirmación legislativa.</w:t>
      </w:r>
    </w:p>
    <w:p w14:paraId="7EE02078" w14:textId="77777777" w:rsidR="00A068A5" w:rsidRPr="00850DEC" w:rsidRDefault="00A068A5" w:rsidP="00850DEC">
      <w:pPr>
        <w:pStyle w:val="ListParagraph"/>
        <w:numPr>
          <w:ilvl w:val="0"/>
          <w:numId w:val="32"/>
        </w:numPr>
        <w:spacing w:before="100" w:beforeAutospacing="1" w:after="100" w:afterAutospacing="1"/>
        <w:outlineLvl w:val="2"/>
        <w:rPr>
          <w:rFonts w:ascii="Book Antiqua" w:eastAsia="Times New Roman" w:hAnsi="Book Antiqua"/>
          <w:b/>
          <w:bCs/>
          <w:szCs w:val="24"/>
          <w:lang w:val="es-DO"/>
        </w:rPr>
      </w:pPr>
      <w:r w:rsidRPr="00850DEC">
        <w:rPr>
          <w:rFonts w:ascii="Book Antiqua" w:eastAsia="Times New Roman" w:hAnsi="Book Antiqua"/>
          <w:b/>
          <w:bCs/>
          <w:szCs w:val="24"/>
          <w:lang w:val="es-DO"/>
        </w:rPr>
        <w:t>Oficina de Administración y Transformación de los Recursos Humanos del Gobierno de Puerto Rico (OATRH)</w:t>
      </w:r>
    </w:p>
    <w:p w14:paraId="03871B73" w14:textId="53289500" w:rsidR="00A068A5" w:rsidRPr="00A068A5" w:rsidRDefault="007F7F06" w:rsidP="00850DE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b/>
          <w:bCs/>
          <w:szCs w:val="24"/>
          <w:lang w:val="es-DO"/>
        </w:rPr>
        <w:t>E</w:t>
      </w:r>
      <w:r w:rsidR="00A068A5" w:rsidRPr="00A068A5">
        <w:rPr>
          <w:rFonts w:ascii="Book Antiqua" w:eastAsia="Times New Roman" w:hAnsi="Book Antiqua"/>
          <w:b/>
          <w:bCs/>
          <w:szCs w:val="24"/>
          <w:lang w:val="es-DO"/>
        </w:rPr>
        <w:t>l 10 de octubre de 2025</w:t>
      </w:r>
      <w:r>
        <w:rPr>
          <w:rFonts w:ascii="Book Antiqua" w:eastAsia="Times New Roman" w:hAnsi="Book Antiqua"/>
          <w:b/>
          <w:bCs/>
          <w:szCs w:val="24"/>
          <w:lang w:val="es-DO"/>
        </w:rPr>
        <w:t xml:space="preserve"> </w:t>
      </w:r>
      <w:r w:rsidR="00A068A5" w:rsidRPr="00A068A5">
        <w:rPr>
          <w:rFonts w:ascii="Book Antiqua" w:eastAsia="Times New Roman" w:hAnsi="Book Antiqua"/>
          <w:b/>
          <w:bCs/>
          <w:szCs w:val="24"/>
          <w:lang w:val="es-DO"/>
        </w:rPr>
        <w:t xml:space="preserve">el Lcdo. Facundo Mauro Vázquez, </w:t>
      </w:r>
      <w:r w:rsidR="005E14D7">
        <w:rPr>
          <w:rFonts w:ascii="Book Antiqua" w:eastAsia="Times New Roman" w:hAnsi="Book Antiqua"/>
          <w:b/>
          <w:bCs/>
          <w:szCs w:val="24"/>
          <w:lang w:val="es-DO"/>
        </w:rPr>
        <w:t>d</w:t>
      </w:r>
      <w:r w:rsidR="00A068A5" w:rsidRPr="00A068A5">
        <w:rPr>
          <w:rFonts w:ascii="Book Antiqua" w:eastAsia="Times New Roman" w:hAnsi="Book Antiqua"/>
          <w:b/>
          <w:bCs/>
          <w:szCs w:val="24"/>
          <w:lang w:val="es-DO"/>
        </w:rPr>
        <w:t>irector de la Oficina de Administración y Transformación de los Recursos Humanos del Gobierno de Puerto Rico (OATRH)</w:t>
      </w:r>
      <w:r w:rsidR="00A068A5" w:rsidRPr="00A068A5">
        <w:rPr>
          <w:rFonts w:ascii="Book Antiqua" w:eastAsia="Times New Roman" w:hAnsi="Book Antiqua"/>
          <w:szCs w:val="24"/>
          <w:lang w:val="es-DO"/>
        </w:rPr>
        <w:t xml:space="preserve">, </w:t>
      </w:r>
      <w:r>
        <w:rPr>
          <w:rFonts w:ascii="Book Antiqua" w:eastAsia="Times New Roman" w:hAnsi="Book Antiqua"/>
          <w:szCs w:val="24"/>
          <w:lang w:val="es-DO"/>
        </w:rPr>
        <w:t xml:space="preserve">comparece ante la </w:t>
      </w:r>
      <w:r w:rsidR="00AC6864">
        <w:rPr>
          <w:rFonts w:ascii="Book Antiqua" w:eastAsia="Times New Roman" w:hAnsi="Book Antiqua"/>
          <w:szCs w:val="24"/>
          <w:lang w:val="es-DO"/>
        </w:rPr>
        <w:t>Comisión</w:t>
      </w:r>
      <w:r>
        <w:rPr>
          <w:rFonts w:ascii="Book Antiqua" w:eastAsia="Times New Roman" w:hAnsi="Book Antiqua"/>
          <w:szCs w:val="24"/>
          <w:lang w:val="es-DO"/>
        </w:rPr>
        <w:t xml:space="preserve">, para someter </w:t>
      </w:r>
      <w:r w:rsidR="00A068A5" w:rsidRPr="00A068A5">
        <w:rPr>
          <w:rFonts w:ascii="Book Antiqua" w:eastAsia="Times New Roman" w:hAnsi="Book Antiqua"/>
          <w:szCs w:val="24"/>
          <w:lang w:val="es-DO"/>
        </w:rPr>
        <w:t xml:space="preserve">sus comentarios en torno al </w:t>
      </w:r>
      <w:r w:rsidR="00A068A5" w:rsidRPr="00A068A5">
        <w:rPr>
          <w:rFonts w:ascii="Book Antiqua" w:eastAsia="Times New Roman" w:hAnsi="Book Antiqua"/>
          <w:b/>
          <w:bCs/>
          <w:szCs w:val="24"/>
          <w:lang w:val="es-DO"/>
        </w:rPr>
        <w:t>Proyecto</w:t>
      </w:r>
      <w:r>
        <w:rPr>
          <w:rFonts w:ascii="Book Antiqua" w:eastAsia="Times New Roman" w:hAnsi="Book Antiqua"/>
          <w:szCs w:val="24"/>
          <w:lang w:val="es-DO"/>
        </w:rPr>
        <w:t xml:space="preserve">. </w:t>
      </w:r>
      <w:r w:rsidR="00A068A5" w:rsidRPr="00A068A5">
        <w:rPr>
          <w:rFonts w:ascii="Book Antiqua" w:eastAsia="Times New Roman" w:hAnsi="Book Antiqua"/>
          <w:szCs w:val="24"/>
          <w:lang w:val="es-DO"/>
        </w:rPr>
        <w:t xml:space="preserve">En su memorial, la OATRH señaló que </w:t>
      </w:r>
      <w:r>
        <w:rPr>
          <w:rFonts w:ascii="Book Antiqua" w:eastAsia="Times New Roman" w:hAnsi="Book Antiqua"/>
          <w:szCs w:val="24"/>
          <w:lang w:val="es-DO"/>
        </w:rPr>
        <w:t>la</w:t>
      </w:r>
      <w:r w:rsidR="00A068A5" w:rsidRPr="00A068A5">
        <w:rPr>
          <w:rFonts w:ascii="Book Antiqua" w:eastAsia="Times New Roman" w:hAnsi="Book Antiqua"/>
          <w:szCs w:val="24"/>
          <w:lang w:val="es-DO"/>
        </w:rPr>
        <w:t xml:space="preserve"> medida persigue el propósito de </w:t>
      </w:r>
      <w:r w:rsidR="00A068A5" w:rsidRPr="00A068A5">
        <w:rPr>
          <w:rFonts w:ascii="Book Antiqua" w:eastAsia="Times New Roman" w:hAnsi="Book Antiqua"/>
          <w:b/>
          <w:bCs/>
          <w:szCs w:val="24"/>
          <w:lang w:val="es-DO"/>
        </w:rPr>
        <w:t xml:space="preserve">extender el término de los nombramientos interinos de </w:t>
      </w:r>
      <w:proofErr w:type="gramStart"/>
      <w:r w:rsidR="00A068A5" w:rsidRPr="00A068A5">
        <w:rPr>
          <w:rFonts w:ascii="Book Antiqua" w:eastAsia="Times New Roman" w:hAnsi="Book Antiqua"/>
          <w:b/>
          <w:bCs/>
          <w:szCs w:val="24"/>
          <w:lang w:val="es-DO"/>
        </w:rPr>
        <w:t>Directores</w:t>
      </w:r>
      <w:proofErr w:type="gramEnd"/>
      <w:r w:rsidR="00A068A5" w:rsidRPr="00A068A5">
        <w:rPr>
          <w:rFonts w:ascii="Book Antiqua" w:eastAsia="Times New Roman" w:hAnsi="Book Antiqua"/>
          <w:b/>
          <w:bCs/>
          <w:szCs w:val="24"/>
          <w:lang w:val="es-DO"/>
        </w:rPr>
        <w:t xml:space="preserve"> de Unidades Administrativas municipales</w:t>
      </w:r>
      <w:r w:rsidR="00A068A5" w:rsidRPr="00A068A5">
        <w:rPr>
          <w:rFonts w:ascii="Book Antiqua" w:eastAsia="Times New Roman" w:hAnsi="Book Antiqua"/>
          <w:szCs w:val="24"/>
          <w:lang w:val="es-DO"/>
        </w:rPr>
        <w:t>, al entender que el término actual de ciento veinte (120) días puede resultar restrictivo frente a la complejidad de los procesos de reclutamiento en el servicio público.</w:t>
      </w:r>
    </w:p>
    <w:p w14:paraId="7134C572" w14:textId="77777777" w:rsidR="00A068A5" w:rsidRPr="00A068A5" w:rsidRDefault="00A068A5" w:rsidP="00850DEC">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La agencia indicó que, conforme a las funciones que le confiere la </w:t>
      </w:r>
      <w:r w:rsidRPr="00A068A5">
        <w:rPr>
          <w:rFonts w:ascii="Book Antiqua" w:eastAsia="Times New Roman" w:hAnsi="Book Antiqua"/>
          <w:b/>
          <w:bCs/>
          <w:szCs w:val="24"/>
          <w:lang w:val="es-DO"/>
        </w:rPr>
        <w:t>Ley 8-2017, conocida como “Ley para la Administración y Transformación de los Recursos Humanos del Gobierno de Puerto Rico”</w:t>
      </w:r>
      <w:r w:rsidRPr="00A068A5">
        <w:rPr>
          <w:rFonts w:ascii="Book Antiqua" w:eastAsia="Times New Roman" w:hAnsi="Book Antiqua"/>
          <w:szCs w:val="24"/>
          <w:lang w:val="es-DO"/>
        </w:rPr>
        <w:t xml:space="preserve">, le corresponde asesorar al Gobernador y a la Asamblea Legislativa en asuntos relacionados con la administración de los recursos humanos en el servicio público. En ese contexto, expresó que resulta fundamental que los alcaldes </w:t>
      </w:r>
      <w:r w:rsidRPr="00A068A5">
        <w:rPr>
          <w:rFonts w:ascii="Book Antiqua" w:eastAsia="Times New Roman" w:hAnsi="Book Antiqua"/>
          <w:szCs w:val="24"/>
          <w:lang w:val="es-DO"/>
        </w:rPr>
        <w:lastRenderedPageBreak/>
        <w:t>cuenten con herramientas adecuadas que les permitan fortalecer su capacidad de liderazgo y gestión administrativa.</w:t>
      </w:r>
    </w:p>
    <w:p w14:paraId="108788E0" w14:textId="631D50D8" w:rsidR="00A068A5" w:rsidRPr="00A068A5" w:rsidRDefault="00397C1C" w:rsidP="00850DE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L</w:t>
      </w:r>
      <w:r w:rsidR="00A068A5" w:rsidRPr="00A068A5">
        <w:rPr>
          <w:rFonts w:ascii="Book Antiqua" w:eastAsia="Times New Roman" w:hAnsi="Book Antiqua"/>
          <w:szCs w:val="24"/>
          <w:lang w:val="es-DO"/>
        </w:rPr>
        <w:t xml:space="preserve">a OATRH manifestó </w:t>
      </w:r>
      <w:r w:rsidR="00A068A5" w:rsidRPr="00A068A5">
        <w:rPr>
          <w:rFonts w:ascii="Book Antiqua" w:eastAsia="Times New Roman" w:hAnsi="Book Antiqua"/>
          <w:b/>
          <w:bCs/>
          <w:szCs w:val="24"/>
          <w:lang w:val="es-DO"/>
        </w:rPr>
        <w:t>concurrir con el propósito de la medida</w:t>
      </w:r>
      <w:r w:rsidR="00A068A5" w:rsidRPr="00A068A5">
        <w:rPr>
          <w:rFonts w:ascii="Book Antiqua" w:eastAsia="Times New Roman" w:hAnsi="Book Antiqua"/>
          <w:szCs w:val="24"/>
          <w:lang w:val="es-DO"/>
        </w:rPr>
        <w:t>, señalando que la ampliación del término a ciento ochenta (180) días permitiría a los alcaldes realizar procesos de evaluación más rigurosos y reflexivos al momento de seleccionar candidatos para dirigir las unidades administrativas municipales. Asimismo, indicó que el término adicional contribuiría a garantizar que los funcionarios designados cuenten con los niveles adecuados de idoneidad, experiencia y compromiso requeridos para el desempeño de sus funciones, al tiempo que favorecería la continuidad en la prestación de servicios esenciales a la ciudadanía.</w:t>
      </w:r>
    </w:p>
    <w:p w14:paraId="590E8E13" w14:textId="51B7B692" w:rsidR="00A068A5" w:rsidRPr="00A068A5" w:rsidRDefault="00A068A5" w:rsidP="005E14D7">
      <w:pPr>
        <w:spacing w:before="100" w:beforeAutospacing="1" w:after="100" w:afterAutospacing="1"/>
        <w:jc w:val="both"/>
        <w:rPr>
          <w:rFonts w:ascii="Book Antiqua" w:eastAsia="Times New Roman" w:hAnsi="Book Antiqua"/>
          <w:szCs w:val="24"/>
          <w:lang w:val="es-DO"/>
        </w:rPr>
      </w:pPr>
      <w:r w:rsidRPr="00A068A5">
        <w:rPr>
          <w:rFonts w:ascii="Book Antiqua" w:eastAsia="Times New Roman" w:hAnsi="Book Antiqua"/>
          <w:szCs w:val="24"/>
          <w:lang w:val="es-DO"/>
        </w:rPr>
        <w:t xml:space="preserve">Finalmente, la agencia expresó </w:t>
      </w:r>
      <w:r w:rsidRPr="00A068A5">
        <w:rPr>
          <w:rFonts w:ascii="Book Antiqua" w:eastAsia="Times New Roman" w:hAnsi="Book Antiqua"/>
          <w:b/>
          <w:bCs/>
          <w:szCs w:val="24"/>
          <w:lang w:val="es-DO"/>
        </w:rPr>
        <w:t>no tener reparos en la aprobación de la medida</w:t>
      </w:r>
      <w:r w:rsidRPr="00A068A5">
        <w:rPr>
          <w:rFonts w:ascii="Book Antiqua" w:eastAsia="Times New Roman" w:hAnsi="Book Antiqua"/>
          <w:szCs w:val="24"/>
          <w:lang w:val="es-DO"/>
        </w:rPr>
        <w:t>, reiterando su disposición de colaborar con la Asamblea Legislativa en todo asunto relacionado con la administración de los recursos humanos en el servicio público.</w:t>
      </w:r>
    </w:p>
    <w:p w14:paraId="0C2DC6F2" w14:textId="77777777" w:rsidR="00850DEC" w:rsidRPr="00850DEC" w:rsidRDefault="00850DEC" w:rsidP="00850DEC">
      <w:pPr>
        <w:pStyle w:val="ListParagraph"/>
        <w:numPr>
          <w:ilvl w:val="0"/>
          <w:numId w:val="32"/>
        </w:numPr>
        <w:spacing w:before="100" w:beforeAutospacing="1" w:after="100" w:afterAutospacing="1"/>
        <w:outlineLvl w:val="2"/>
        <w:rPr>
          <w:rFonts w:ascii="Book Antiqua" w:eastAsia="Times New Roman" w:hAnsi="Book Antiqua"/>
          <w:b/>
          <w:bCs/>
          <w:szCs w:val="24"/>
          <w:lang w:val="es-DO"/>
        </w:rPr>
      </w:pPr>
      <w:r w:rsidRPr="00850DEC">
        <w:rPr>
          <w:rFonts w:ascii="Book Antiqua" w:eastAsia="Times New Roman" w:hAnsi="Book Antiqua"/>
          <w:b/>
          <w:bCs/>
          <w:szCs w:val="24"/>
          <w:lang w:val="es-DO"/>
        </w:rPr>
        <w:t>Oficina de Gerencia y Presupuesto (OGP)</w:t>
      </w:r>
    </w:p>
    <w:p w14:paraId="55074680" w14:textId="3CF830D1" w:rsidR="00850DEC" w:rsidRPr="00850DEC" w:rsidRDefault="007F7F06" w:rsidP="00850DEC">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b/>
          <w:bCs/>
          <w:szCs w:val="24"/>
          <w:lang w:val="es-DO"/>
        </w:rPr>
        <w:t>La O</w:t>
      </w:r>
      <w:r w:rsidRPr="00850DEC">
        <w:rPr>
          <w:rFonts w:ascii="Book Antiqua" w:eastAsia="Times New Roman" w:hAnsi="Book Antiqua"/>
          <w:b/>
          <w:bCs/>
          <w:szCs w:val="24"/>
          <w:lang w:val="es-DO"/>
        </w:rPr>
        <w:t>ficina de Gerencia y Presupuesto (OGP)</w:t>
      </w:r>
      <w:r w:rsidRPr="00850DEC">
        <w:rPr>
          <w:rFonts w:ascii="Book Antiqua" w:eastAsia="Times New Roman" w:hAnsi="Book Antiqua"/>
          <w:szCs w:val="24"/>
          <w:lang w:val="es-DO"/>
        </w:rPr>
        <w:t>,</w:t>
      </w:r>
      <w:r>
        <w:rPr>
          <w:rFonts w:ascii="Book Antiqua" w:eastAsia="Times New Roman" w:hAnsi="Book Antiqua"/>
          <w:szCs w:val="24"/>
          <w:lang w:val="es-DO"/>
        </w:rPr>
        <w:t xml:space="preserve"> sometió sus comentarios sobre la medida </w:t>
      </w:r>
      <w:r w:rsidR="00850DEC" w:rsidRPr="00850DEC">
        <w:rPr>
          <w:rFonts w:ascii="Book Antiqua" w:eastAsia="Times New Roman" w:hAnsi="Book Antiqua"/>
          <w:b/>
          <w:bCs/>
          <w:szCs w:val="24"/>
          <w:lang w:val="es-DO"/>
        </w:rPr>
        <w:t xml:space="preserve">el 28 de octubre de 2025 y </w:t>
      </w:r>
      <w:r w:rsidR="00AC6864">
        <w:rPr>
          <w:rFonts w:ascii="Book Antiqua" w:eastAsia="Times New Roman" w:hAnsi="Book Antiqua"/>
          <w:b/>
          <w:bCs/>
          <w:szCs w:val="24"/>
          <w:lang w:val="es-DO"/>
        </w:rPr>
        <w:t>firmado</w:t>
      </w:r>
      <w:r>
        <w:rPr>
          <w:rFonts w:ascii="Book Antiqua" w:eastAsia="Times New Roman" w:hAnsi="Book Antiqua"/>
          <w:b/>
          <w:bCs/>
          <w:szCs w:val="24"/>
          <w:lang w:val="es-DO"/>
        </w:rPr>
        <w:t xml:space="preserve">, </w:t>
      </w:r>
      <w:r w:rsidR="00850DEC" w:rsidRPr="00850DEC">
        <w:rPr>
          <w:rFonts w:ascii="Book Antiqua" w:eastAsia="Times New Roman" w:hAnsi="Book Antiqua"/>
          <w:b/>
          <w:bCs/>
          <w:szCs w:val="24"/>
          <w:lang w:val="es-DO"/>
        </w:rPr>
        <w:t>por</w:t>
      </w:r>
      <w:r>
        <w:rPr>
          <w:rFonts w:ascii="Book Antiqua" w:eastAsia="Times New Roman" w:hAnsi="Book Antiqua"/>
          <w:b/>
          <w:bCs/>
          <w:szCs w:val="24"/>
          <w:lang w:val="es-DO"/>
        </w:rPr>
        <w:t xml:space="preserve"> su director,</w:t>
      </w:r>
      <w:r w:rsidR="00850DEC" w:rsidRPr="00850DEC">
        <w:rPr>
          <w:rFonts w:ascii="Book Antiqua" w:eastAsia="Times New Roman" w:hAnsi="Book Antiqua"/>
          <w:b/>
          <w:bCs/>
          <w:szCs w:val="24"/>
          <w:lang w:val="es-DO"/>
        </w:rPr>
        <w:t xml:space="preserve"> el Sr. Orlando C. Rivera Berríos</w:t>
      </w:r>
      <w:r>
        <w:rPr>
          <w:rFonts w:ascii="Book Antiqua" w:eastAsia="Times New Roman" w:hAnsi="Book Antiqua"/>
          <w:b/>
          <w:bCs/>
          <w:szCs w:val="24"/>
          <w:lang w:val="es-DO"/>
        </w:rPr>
        <w:t xml:space="preserve">. </w:t>
      </w:r>
      <w:r w:rsidR="00850DEC" w:rsidRPr="00850DEC">
        <w:rPr>
          <w:rFonts w:ascii="Book Antiqua" w:eastAsia="Times New Roman" w:hAnsi="Book Antiqua"/>
          <w:szCs w:val="24"/>
          <w:lang w:val="es-DO"/>
        </w:rPr>
        <w:t>En su ponencia, la OGP explicó que</w:t>
      </w:r>
      <w:r w:rsidR="00397C1C">
        <w:rPr>
          <w:rFonts w:ascii="Book Antiqua" w:eastAsia="Times New Roman" w:hAnsi="Book Antiqua"/>
          <w:szCs w:val="24"/>
          <w:lang w:val="es-DO"/>
        </w:rPr>
        <w:t xml:space="preserve"> s</w:t>
      </w:r>
      <w:r w:rsidR="00850DEC" w:rsidRPr="00850DEC">
        <w:rPr>
          <w:rFonts w:ascii="Book Antiqua" w:eastAsia="Times New Roman" w:hAnsi="Book Antiqua"/>
          <w:szCs w:val="24"/>
          <w:lang w:val="es-DO"/>
        </w:rPr>
        <w:t>egún se desprende del análisis de la agencia, la medida responde a una necesidad práctica de la administración municipal, reconociendo la complejidad de los procesos de reclutamiento en el servicio público y la importancia de contar con el tiempo necesario para identificar candidatos cualificados sin afectar la continuidad de los servicios municipales.</w:t>
      </w:r>
    </w:p>
    <w:p w14:paraId="13287EBC" w14:textId="77777777"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La OGP expuso además que, conforme a su </w:t>
      </w:r>
      <w:r w:rsidRPr="00850DEC">
        <w:rPr>
          <w:rFonts w:ascii="Book Antiqua" w:eastAsia="Times New Roman" w:hAnsi="Book Antiqua"/>
          <w:b/>
          <w:bCs/>
          <w:szCs w:val="24"/>
          <w:lang w:val="es-DO"/>
        </w:rPr>
        <w:t>Ley Orgánica (Ley Núm. 147 de 18 de junio de 1980)</w:t>
      </w:r>
      <w:r w:rsidRPr="00850DEC">
        <w:rPr>
          <w:rFonts w:ascii="Book Antiqua" w:eastAsia="Times New Roman" w:hAnsi="Book Antiqua"/>
          <w:szCs w:val="24"/>
          <w:lang w:val="es-DO"/>
        </w:rPr>
        <w:t>, su función principal consiste en asesorar a la Gobernadora, a la Asamblea Legislativa y a los organismos gubernamentales en asuntos de índole presupuestaria, programática y de administración fiscal. En ese contexto, la agencia evaluó el alcance de la medida desde una perspectiva fiscal y administrativa.</w:t>
      </w:r>
    </w:p>
    <w:p w14:paraId="1392AACC" w14:textId="77777777"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Tras dicho análisis, la OGP señaló que el proyecto </w:t>
      </w:r>
      <w:r w:rsidRPr="00850DEC">
        <w:rPr>
          <w:rFonts w:ascii="Book Antiqua" w:eastAsia="Times New Roman" w:hAnsi="Book Antiqua"/>
          <w:b/>
          <w:bCs/>
          <w:szCs w:val="24"/>
          <w:lang w:val="es-DO"/>
        </w:rPr>
        <w:t>se alinea con la plataforma programática de la administración gubernamental</w:t>
      </w:r>
      <w:r w:rsidRPr="00850DEC">
        <w:rPr>
          <w:rFonts w:ascii="Book Antiqua" w:eastAsia="Times New Roman" w:hAnsi="Book Antiqua"/>
          <w:szCs w:val="24"/>
          <w:lang w:val="es-DO"/>
        </w:rPr>
        <w:t>, la cual promueve la modernización de la gestión pública municipal mediante prácticas administrativas más ágiles, eficientes y orientadas al servicio ciudadano. A juicio de la agencia, la ampliación del término interino reconoce las realidades operacionales del proceso de reclutamiento en el sector público y permite a los alcaldes realizar evaluaciones más rigurosas para seleccionar candidatos idóneos que cumplan con los criterios de mérito, capacidad técnica y confianza administrativa.</w:t>
      </w:r>
    </w:p>
    <w:p w14:paraId="7CAF05EF" w14:textId="77777777"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Asimismo, la OGP destacó que la medida </w:t>
      </w:r>
      <w:r w:rsidRPr="00850DEC">
        <w:rPr>
          <w:rFonts w:ascii="Book Antiqua" w:eastAsia="Times New Roman" w:hAnsi="Book Antiqua"/>
          <w:b/>
          <w:bCs/>
          <w:szCs w:val="24"/>
          <w:lang w:val="es-DO"/>
        </w:rPr>
        <w:t xml:space="preserve">no propone la creación de nuevas entidades gubernamentales, ni la implantación de programas adicionales, ni la asignación de </w:t>
      </w:r>
      <w:r w:rsidRPr="00850DEC">
        <w:rPr>
          <w:rFonts w:ascii="Book Antiqua" w:eastAsia="Times New Roman" w:hAnsi="Book Antiqua"/>
          <w:b/>
          <w:bCs/>
          <w:szCs w:val="24"/>
          <w:lang w:val="es-DO"/>
        </w:rPr>
        <w:lastRenderedPageBreak/>
        <w:t>recursos fiscales</w:t>
      </w:r>
      <w:r w:rsidRPr="00850DEC">
        <w:rPr>
          <w:rFonts w:ascii="Book Antiqua" w:eastAsia="Times New Roman" w:hAnsi="Book Antiqua"/>
          <w:szCs w:val="24"/>
          <w:lang w:val="es-DO"/>
        </w:rPr>
        <w:t xml:space="preserve">, limitándose a una enmienda de carácter técnico dentro del marco normativo existente. En consecuencia, la agencia concluyó que </w:t>
      </w:r>
      <w:r w:rsidRPr="00850DEC">
        <w:rPr>
          <w:rFonts w:ascii="Book Antiqua" w:eastAsia="Times New Roman" w:hAnsi="Book Antiqua"/>
          <w:b/>
          <w:bCs/>
          <w:szCs w:val="24"/>
          <w:lang w:val="es-DO"/>
        </w:rPr>
        <w:t>el proyecto no tendría impacto fiscal ni presupuestario para los municipios ni para el Gobierno central</w:t>
      </w:r>
      <w:r w:rsidRPr="00850DEC">
        <w:rPr>
          <w:rFonts w:ascii="Book Antiqua" w:eastAsia="Times New Roman" w:hAnsi="Book Antiqua"/>
          <w:szCs w:val="24"/>
          <w:lang w:val="es-DO"/>
        </w:rPr>
        <w:t>.</w:t>
      </w:r>
    </w:p>
    <w:p w14:paraId="61839A02" w14:textId="2822CAEF"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Por tales fundamentos, la Oficina de Gerencia y Presupuesto expresó </w:t>
      </w:r>
      <w:r w:rsidRPr="00850DEC">
        <w:rPr>
          <w:rFonts w:ascii="Book Antiqua" w:eastAsia="Times New Roman" w:hAnsi="Book Antiqua"/>
          <w:b/>
          <w:bCs/>
          <w:szCs w:val="24"/>
          <w:lang w:val="es-DO"/>
        </w:rPr>
        <w:t>no tener objeción a la aprobación del Proyecto del Senado 630</w:t>
      </w:r>
      <w:r w:rsidRPr="00850DEC">
        <w:rPr>
          <w:rFonts w:ascii="Book Antiqua" w:eastAsia="Times New Roman" w:hAnsi="Book Antiqua"/>
          <w:szCs w:val="24"/>
          <w:lang w:val="es-DO"/>
        </w:rPr>
        <w:t>, al entender que la medida contribuye a fortalecer la capacidad administrativa de los municipios, promover una gestión pública más eficiente y garantizar la continuidad en la prestación de servicios esenciales, todo ello sin afectar los recursos fiscales del Estado</w:t>
      </w:r>
    </w:p>
    <w:p w14:paraId="483920EC" w14:textId="77777777" w:rsidR="00850DEC" w:rsidRPr="00850DEC" w:rsidRDefault="00850DEC" w:rsidP="00850DEC">
      <w:pPr>
        <w:pStyle w:val="ListParagraph"/>
        <w:numPr>
          <w:ilvl w:val="0"/>
          <w:numId w:val="32"/>
        </w:numPr>
        <w:spacing w:before="100" w:beforeAutospacing="1" w:after="100" w:afterAutospacing="1"/>
        <w:outlineLvl w:val="2"/>
        <w:rPr>
          <w:rFonts w:ascii="Book Antiqua" w:eastAsia="Times New Roman" w:hAnsi="Book Antiqua"/>
          <w:b/>
          <w:bCs/>
          <w:szCs w:val="24"/>
          <w:lang w:val="es-DO"/>
        </w:rPr>
      </w:pPr>
      <w:r w:rsidRPr="00850DEC">
        <w:rPr>
          <w:rFonts w:ascii="Book Antiqua" w:eastAsia="Times New Roman" w:hAnsi="Book Antiqua"/>
          <w:b/>
          <w:bCs/>
          <w:szCs w:val="24"/>
          <w:lang w:val="es-DO"/>
        </w:rPr>
        <w:t>Oficina de Presupuesto de la Asamblea Legislativa (OPAL)</w:t>
      </w:r>
    </w:p>
    <w:p w14:paraId="651176A9" w14:textId="6729FAD0"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La </w:t>
      </w:r>
      <w:r w:rsidRPr="00850DEC">
        <w:rPr>
          <w:rFonts w:ascii="Book Antiqua" w:eastAsia="Times New Roman" w:hAnsi="Book Antiqua"/>
          <w:b/>
          <w:bCs/>
          <w:szCs w:val="24"/>
          <w:lang w:val="es-DO"/>
        </w:rPr>
        <w:t>Oficina de Presupuesto de la Asamblea Legislativa (OPAL)</w:t>
      </w:r>
      <w:r w:rsidRPr="00850DEC">
        <w:rPr>
          <w:rFonts w:ascii="Book Antiqua" w:eastAsia="Times New Roman" w:hAnsi="Book Antiqua"/>
          <w:szCs w:val="24"/>
          <w:lang w:val="es-DO"/>
        </w:rPr>
        <w:t xml:space="preserve"> evaluó el impacto fiscal del </w:t>
      </w:r>
      <w:r w:rsidRPr="00850DEC">
        <w:rPr>
          <w:rFonts w:ascii="Book Antiqua" w:eastAsia="Times New Roman" w:hAnsi="Book Antiqua"/>
          <w:b/>
          <w:bCs/>
          <w:szCs w:val="24"/>
          <w:lang w:val="es-DO"/>
        </w:rPr>
        <w:t xml:space="preserve">Proyecto del Senado </w:t>
      </w:r>
      <w:r w:rsidR="00AC6864" w:rsidRPr="00850DEC">
        <w:rPr>
          <w:rFonts w:ascii="Book Antiqua" w:eastAsia="Times New Roman" w:hAnsi="Book Antiqua"/>
          <w:b/>
          <w:bCs/>
          <w:szCs w:val="24"/>
          <w:lang w:val="es-DO"/>
        </w:rPr>
        <w:t>630</w:t>
      </w:r>
      <w:r w:rsidR="00AC6864" w:rsidRPr="00850DEC">
        <w:rPr>
          <w:rFonts w:ascii="Book Antiqua" w:eastAsia="Times New Roman" w:hAnsi="Book Antiqua"/>
          <w:szCs w:val="24"/>
          <w:lang w:val="es-DO"/>
        </w:rPr>
        <w:t>,</w:t>
      </w:r>
      <w:r w:rsidR="00AC6864">
        <w:rPr>
          <w:rFonts w:ascii="Book Antiqua" w:eastAsia="Times New Roman" w:hAnsi="Book Antiqua"/>
          <w:szCs w:val="24"/>
          <w:lang w:val="es-DO"/>
        </w:rPr>
        <w:t xml:space="preserve"> y</w:t>
      </w:r>
      <w:r w:rsidR="007F7F06">
        <w:rPr>
          <w:rFonts w:ascii="Book Antiqua" w:eastAsia="Times New Roman" w:hAnsi="Book Antiqua"/>
          <w:szCs w:val="24"/>
          <w:lang w:val="es-DO"/>
        </w:rPr>
        <w:t xml:space="preserve"> e</w:t>
      </w:r>
      <w:r w:rsidRPr="00850DEC">
        <w:rPr>
          <w:rFonts w:ascii="Book Antiqua" w:eastAsia="Times New Roman" w:hAnsi="Book Antiqua"/>
          <w:szCs w:val="24"/>
          <w:lang w:val="es-DO"/>
        </w:rPr>
        <w:t>xplicó que la medida responde a una necesidad administrativa de los municipios, ya que el proceso de reclutamiento en el servicio público suele ser complejo y requiere tiempo para identificar, evaluar y seleccionar candidatos cualificados. La ampliación del término busca facilitar ese proceso y garantizar la continuidad y estabilidad en la prestación de los servicios municipales mientras se realiza el proceso de selección del funcionario permanente.</w:t>
      </w:r>
    </w:p>
    <w:p w14:paraId="6A02107A" w14:textId="77777777" w:rsidR="00850DEC" w:rsidRPr="00850DEC" w:rsidRDefault="00850DEC" w:rsidP="00850DEC">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Asimismo, OPAL señaló que la medida constituye </w:t>
      </w:r>
      <w:r w:rsidRPr="00850DEC">
        <w:rPr>
          <w:rFonts w:ascii="Book Antiqua" w:eastAsia="Times New Roman" w:hAnsi="Book Antiqua"/>
          <w:b/>
          <w:bCs/>
          <w:szCs w:val="24"/>
          <w:lang w:val="es-DO"/>
        </w:rPr>
        <w:t>una enmienda de carácter técnico y administrativo</w:t>
      </w:r>
      <w:r w:rsidRPr="00850DEC">
        <w:rPr>
          <w:rFonts w:ascii="Book Antiqua" w:eastAsia="Times New Roman" w:hAnsi="Book Antiqua"/>
          <w:szCs w:val="24"/>
          <w:lang w:val="es-DO"/>
        </w:rPr>
        <w:t>, ya que únicamente modifica el término permitido para los nombramientos interinos, sin alterar la estructura organizacional de los municipios ni establecer nuevos programas o responsabilidades gubernamentales.</w:t>
      </w:r>
    </w:p>
    <w:p w14:paraId="55E7C515" w14:textId="3E5BA785" w:rsidR="00F37B78" w:rsidRPr="00F37B78" w:rsidRDefault="00850DEC" w:rsidP="007F7F06">
      <w:pPr>
        <w:spacing w:before="100" w:beforeAutospacing="1" w:after="100" w:afterAutospacing="1"/>
        <w:jc w:val="both"/>
        <w:rPr>
          <w:rFonts w:ascii="Book Antiqua" w:eastAsia="Times New Roman" w:hAnsi="Book Antiqua"/>
          <w:szCs w:val="24"/>
          <w:lang w:val="es-DO"/>
        </w:rPr>
      </w:pPr>
      <w:r w:rsidRPr="00850DEC">
        <w:rPr>
          <w:rFonts w:ascii="Book Antiqua" w:eastAsia="Times New Roman" w:hAnsi="Book Antiqua"/>
          <w:szCs w:val="24"/>
          <w:lang w:val="es-DO"/>
        </w:rPr>
        <w:t xml:space="preserve">Por tal razón, la Oficina concluyó que </w:t>
      </w:r>
      <w:r w:rsidRPr="00850DEC">
        <w:rPr>
          <w:rFonts w:ascii="Book Antiqua" w:eastAsia="Times New Roman" w:hAnsi="Book Antiqua"/>
          <w:b/>
          <w:bCs/>
          <w:szCs w:val="24"/>
          <w:lang w:val="es-DO"/>
        </w:rPr>
        <w:t>el proyecto no tiene impacto fiscal sobre el Fondo General ni sobre los presupuestos municipales</w:t>
      </w:r>
      <w:r w:rsidRPr="00850DEC">
        <w:rPr>
          <w:rFonts w:ascii="Book Antiqua" w:eastAsia="Times New Roman" w:hAnsi="Book Antiqua"/>
          <w:szCs w:val="24"/>
          <w:lang w:val="es-DO"/>
        </w:rPr>
        <w:t xml:space="preserve">, dado que no implica gastos adicionales ni la asignación de nuevos recursos públicos. En consecuencia, OPAL determinó que el </w:t>
      </w:r>
      <w:r w:rsidRPr="00850DEC">
        <w:rPr>
          <w:rFonts w:ascii="Book Antiqua" w:eastAsia="Times New Roman" w:hAnsi="Book Antiqua"/>
          <w:b/>
          <w:bCs/>
          <w:szCs w:val="24"/>
          <w:lang w:val="es-DO"/>
        </w:rPr>
        <w:t>Proyecto del Senado 630 no conlleva impacto fiscal</w:t>
      </w:r>
      <w:r w:rsidRPr="00850DEC">
        <w:rPr>
          <w:rFonts w:ascii="Book Antiqua" w:eastAsia="Times New Roman" w:hAnsi="Book Antiqua"/>
          <w:szCs w:val="24"/>
          <w:lang w:val="es-DO"/>
        </w:rPr>
        <w:t>.</w:t>
      </w:r>
    </w:p>
    <w:p w14:paraId="09E4E0E9" w14:textId="0FCDF80E" w:rsidR="00FF0C5C" w:rsidRDefault="00DD1FCB" w:rsidP="00FF0C5C">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41426046" w14:textId="75B2C7F8" w:rsidR="007E1295" w:rsidRPr="007E1295" w:rsidRDefault="007E1295" w:rsidP="007E1295">
      <w:pPr>
        <w:pStyle w:val="NormalWeb"/>
        <w:jc w:val="both"/>
        <w:rPr>
          <w:rFonts w:ascii="Book Antiqua" w:hAnsi="Book Antiqua"/>
        </w:rPr>
      </w:pPr>
      <w:r w:rsidRPr="007E1295">
        <w:rPr>
          <w:rFonts w:ascii="Book Antiqua" w:hAnsi="Book Antiqua"/>
        </w:rPr>
        <w:t xml:space="preserve">Luego de examinar los </w:t>
      </w:r>
      <w:r w:rsidR="005E14D7" w:rsidRPr="007E1295">
        <w:rPr>
          <w:rFonts w:ascii="Book Antiqua" w:hAnsi="Book Antiqua"/>
        </w:rPr>
        <w:t>memoriales y</w:t>
      </w:r>
      <w:r w:rsidRPr="007E1295">
        <w:rPr>
          <w:rFonts w:ascii="Book Antiqua" w:hAnsi="Book Antiqua"/>
        </w:rPr>
        <w:t xml:space="preserve"> las comparecencias vertidas en vistas públicas, esta </w:t>
      </w:r>
      <w:r>
        <w:rPr>
          <w:rFonts w:ascii="Book Antiqua" w:hAnsi="Book Antiqua"/>
        </w:rPr>
        <w:t xml:space="preserve">se </w:t>
      </w:r>
      <w:r w:rsidRPr="007E1295">
        <w:rPr>
          <w:rFonts w:ascii="Book Antiqua" w:hAnsi="Book Antiqua"/>
        </w:rPr>
        <w:t xml:space="preserve">evaluó detenidamente los planteamientos </w:t>
      </w:r>
      <w:r>
        <w:rPr>
          <w:rFonts w:ascii="Book Antiqua" w:hAnsi="Book Antiqua"/>
        </w:rPr>
        <w:t>sobre un supuesto</w:t>
      </w:r>
      <w:r w:rsidRPr="007E1295">
        <w:rPr>
          <w:rFonts w:ascii="Book Antiqua" w:hAnsi="Book Antiqua"/>
        </w:rPr>
        <w:t xml:space="preserve"> menoscabo al balance institucional entre el Poder Ejecutivo municipal y la Legislatura Municipal. No obstante, del análisis del texto propuesto y </w:t>
      </w:r>
      <w:proofErr w:type="gramStart"/>
      <w:r w:rsidRPr="007E1295">
        <w:rPr>
          <w:rFonts w:ascii="Book Antiqua" w:hAnsi="Book Antiqua"/>
        </w:rPr>
        <w:t xml:space="preserve">del </w:t>
      </w:r>
      <w:r>
        <w:rPr>
          <w:rFonts w:ascii="Book Antiqua" w:hAnsi="Book Antiqua"/>
        </w:rPr>
        <w:t xml:space="preserve"> estado</w:t>
      </w:r>
      <w:proofErr w:type="gramEnd"/>
      <w:r>
        <w:rPr>
          <w:rFonts w:ascii="Book Antiqua" w:hAnsi="Book Antiqua"/>
        </w:rPr>
        <w:t xml:space="preserve"> de derech</w:t>
      </w:r>
      <w:r w:rsidRPr="007E1295">
        <w:rPr>
          <w:rFonts w:ascii="Book Antiqua" w:hAnsi="Book Antiqua"/>
        </w:rPr>
        <w:t xml:space="preserve">o vigente se desprende que tales señalamientos no encuentran sustento </w:t>
      </w:r>
      <w:r>
        <w:rPr>
          <w:rFonts w:ascii="Book Antiqua" w:hAnsi="Book Antiqua"/>
        </w:rPr>
        <w:t>legal</w:t>
      </w:r>
      <w:r w:rsidRPr="007E1295">
        <w:rPr>
          <w:rFonts w:ascii="Book Antiqua" w:hAnsi="Book Antiqua"/>
        </w:rPr>
        <w:t xml:space="preserve"> en la medida bajo consideración.</w:t>
      </w:r>
    </w:p>
    <w:p w14:paraId="2A74243D" w14:textId="2A4A547A" w:rsidR="007E1295" w:rsidRPr="007E1295" w:rsidRDefault="007E1295" w:rsidP="005E14D7">
      <w:pPr>
        <w:pStyle w:val="NormalWeb"/>
        <w:spacing w:before="0" w:beforeAutospacing="0" w:after="0" w:afterAutospacing="0"/>
        <w:jc w:val="both"/>
        <w:rPr>
          <w:rFonts w:ascii="Book Antiqua" w:hAnsi="Book Antiqua"/>
        </w:rPr>
      </w:pPr>
      <w:r>
        <w:rPr>
          <w:rFonts w:ascii="Book Antiqua" w:hAnsi="Book Antiqua"/>
        </w:rPr>
        <w:t>Comenzamos por mencionar que</w:t>
      </w:r>
      <w:r w:rsidRPr="007E1295">
        <w:rPr>
          <w:rFonts w:ascii="Book Antiqua" w:hAnsi="Book Antiqua"/>
        </w:rPr>
        <w:t xml:space="preserve">, la enmienda propuesta no </w:t>
      </w:r>
      <w:r>
        <w:rPr>
          <w:rFonts w:ascii="Book Antiqua" w:hAnsi="Book Antiqua"/>
        </w:rPr>
        <w:t>cambia</w:t>
      </w:r>
      <w:r w:rsidRPr="007E1295">
        <w:rPr>
          <w:rFonts w:ascii="Book Antiqua" w:hAnsi="Book Antiqua"/>
        </w:rPr>
        <w:t xml:space="preserve"> el esquema de confirmación legislativa dispuesto en el Artículo 2.004 del Código Municipal de Puerto Rico. La facultad de la Legislatura Municipal para evaluar, aprobar o rechazar los nombramientos en propiedad permanece </w:t>
      </w:r>
      <w:r>
        <w:rPr>
          <w:rFonts w:ascii="Book Antiqua" w:hAnsi="Book Antiqua"/>
        </w:rPr>
        <w:t>inalterada</w:t>
      </w:r>
      <w:r w:rsidRPr="007E1295">
        <w:rPr>
          <w:rFonts w:ascii="Book Antiqua" w:hAnsi="Book Antiqua"/>
        </w:rPr>
        <w:t xml:space="preserve">. La </w:t>
      </w:r>
      <w:r>
        <w:rPr>
          <w:rFonts w:ascii="Book Antiqua" w:hAnsi="Book Antiqua"/>
        </w:rPr>
        <w:t>enmienda propuesta,</w:t>
      </w:r>
      <w:r w:rsidRPr="007E1295">
        <w:rPr>
          <w:rFonts w:ascii="Book Antiqua" w:hAnsi="Book Antiqua"/>
        </w:rPr>
        <w:t xml:space="preserve"> se </w:t>
      </w:r>
      <w:r>
        <w:rPr>
          <w:rFonts w:ascii="Book Antiqua" w:hAnsi="Book Antiqua"/>
        </w:rPr>
        <w:t xml:space="preserve">dirige </w:t>
      </w:r>
      <w:r w:rsidRPr="007E1295">
        <w:rPr>
          <w:rFonts w:ascii="Book Antiqua" w:hAnsi="Book Antiqua"/>
        </w:rPr>
        <w:t xml:space="preserve">al término máximo de la designación interina, sin afectar el deber ministerial del alcalde de </w:t>
      </w:r>
      <w:r w:rsidRPr="007E1295">
        <w:rPr>
          <w:rFonts w:ascii="Book Antiqua" w:hAnsi="Book Antiqua"/>
        </w:rPr>
        <w:lastRenderedPageBreak/>
        <w:t xml:space="preserve">someter el nombramiento a la consideración </w:t>
      </w:r>
      <w:r w:rsidR="005263C5">
        <w:rPr>
          <w:rFonts w:ascii="Book Antiqua" w:hAnsi="Book Antiqua"/>
        </w:rPr>
        <w:t xml:space="preserve">de la legislatura municipal, </w:t>
      </w:r>
      <w:r w:rsidRPr="007E1295">
        <w:rPr>
          <w:rFonts w:ascii="Book Antiqua" w:hAnsi="Book Antiqua"/>
        </w:rPr>
        <w:t xml:space="preserve">dentro del marco legal correspondiente. Por consiguiente, no se </w:t>
      </w:r>
      <w:r w:rsidR="005263C5">
        <w:rPr>
          <w:rFonts w:ascii="Book Antiqua" w:hAnsi="Book Antiqua"/>
        </w:rPr>
        <w:t>afecta</w:t>
      </w:r>
      <w:r w:rsidRPr="007E1295">
        <w:rPr>
          <w:rFonts w:ascii="Book Antiqua" w:hAnsi="Book Antiqua"/>
        </w:rPr>
        <w:t xml:space="preserve"> </w:t>
      </w:r>
      <w:r w:rsidR="005263C5">
        <w:rPr>
          <w:rFonts w:ascii="Book Antiqua" w:hAnsi="Book Antiqua"/>
        </w:rPr>
        <w:t>e</w:t>
      </w:r>
      <w:r w:rsidRPr="007E1295">
        <w:rPr>
          <w:rFonts w:ascii="Book Antiqua" w:hAnsi="Book Antiqua"/>
        </w:rPr>
        <w:t>l principio de separación de poderes ni al sistema de frenos y contrapesos establecido en el ámbito municipal.</w:t>
      </w:r>
    </w:p>
    <w:p w14:paraId="036E2A89" w14:textId="77777777" w:rsidR="005E14D7" w:rsidRDefault="005E14D7" w:rsidP="005E14D7">
      <w:pPr>
        <w:pStyle w:val="NormalWeb"/>
        <w:spacing w:before="0" w:beforeAutospacing="0" w:after="0" w:afterAutospacing="0"/>
        <w:jc w:val="both"/>
        <w:rPr>
          <w:rFonts w:ascii="Book Antiqua" w:hAnsi="Book Antiqua"/>
        </w:rPr>
      </w:pPr>
    </w:p>
    <w:p w14:paraId="449F1239" w14:textId="4B9B9861" w:rsidR="007E1295" w:rsidRPr="007E1295" w:rsidRDefault="007E1295" w:rsidP="005E14D7">
      <w:pPr>
        <w:pStyle w:val="NormalWeb"/>
        <w:spacing w:before="0" w:beforeAutospacing="0" w:after="0" w:afterAutospacing="0"/>
        <w:jc w:val="both"/>
        <w:rPr>
          <w:rFonts w:ascii="Book Antiqua" w:hAnsi="Book Antiqua"/>
        </w:rPr>
      </w:pPr>
      <w:r w:rsidRPr="007E1295">
        <w:rPr>
          <w:rFonts w:ascii="Book Antiqua" w:hAnsi="Book Antiqua"/>
        </w:rPr>
        <w:t xml:space="preserve">En segundo término, si bien la legislación vigente permite que el proceso completo pueda extenderse hasta ciento cincuenta (150) días calendario, ello no impide que el legislador, en el ejercicio de su facultad </w:t>
      </w:r>
      <w:r w:rsidR="005263C5">
        <w:rPr>
          <w:rFonts w:ascii="Book Antiqua" w:hAnsi="Book Antiqua"/>
        </w:rPr>
        <w:t>constitucional</w:t>
      </w:r>
      <w:r w:rsidRPr="007E1295">
        <w:rPr>
          <w:rFonts w:ascii="Book Antiqua" w:hAnsi="Book Antiqua"/>
        </w:rPr>
        <w:t xml:space="preserve">, </w:t>
      </w:r>
      <w:r w:rsidR="005263C5" w:rsidRPr="007E1295">
        <w:rPr>
          <w:rFonts w:ascii="Book Antiqua" w:hAnsi="Book Antiqua"/>
        </w:rPr>
        <w:t>ajuste</w:t>
      </w:r>
      <w:r w:rsidRPr="007E1295">
        <w:rPr>
          <w:rFonts w:ascii="Book Antiqua" w:hAnsi="Book Antiqua"/>
        </w:rPr>
        <w:t xml:space="preserve"> los términos a la realidad administrativa </w:t>
      </w:r>
      <w:r w:rsidR="005263C5">
        <w:rPr>
          <w:rFonts w:ascii="Book Antiqua" w:hAnsi="Book Antiqua"/>
        </w:rPr>
        <w:t>de hoy en día</w:t>
      </w:r>
      <w:r w:rsidRPr="007E1295">
        <w:rPr>
          <w:rFonts w:ascii="Book Antiqua" w:hAnsi="Book Antiqua"/>
        </w:rPr>
        <w:t xml:space="preserve">. Los procesos de reclutamiento en el servicio público municipal —particularmente en posiciones directivas de alta responsabilidad— implican evaluaciones técnicas, validación de credenciales, entrevistas, análisis de cumplimiento normativo y ponderación de criterios de mérito y confianza que, en la práctica, pueden requerir un </w:t>
      </w:r>
      <w:r w:rsidR="005263C5">
        <w:rPr>
          <w:rFonts w:ascii="Book Antiqua" w:hAnsi="Book Antiqua"/>
        </w:rPr>
        <w:t>tiempo</w:t>
      </w:r>
      <w:r w:rsidRPr="007E1295">
        <w:rPr>
          <w:rFonts w:ascii="Book Antiqua" w:hAnsi="Book Antiqua"/>
        </w:rPr>
        <w:t xml:space="preserve"> adicional razonable.</w:t>
      </w:r>
    </w:p>
    <w:p w14:paraId="258AFB49" w14:textId="3C5ACD84" w:rsidR="007E1295" w:rsidRPr="007E1295" w:rsidRDefault="007E1295" w:rsidP="007E1295">
      <w:pPr>
        <w:pStyle w:val="NormalWeb"/>
        <w:jc w:val="both"/>
        <w:rPr>
          <w:rFonts w:ascii="Book Antiqua" w:hAnsi="Book Antiqua"/>
        </w:rPr>
      </w:pPr>
      <w:r w:rsidRPr="007E1295">
        <w:rPr>
          <w:rFonts w:ascii="Book Antiqua" w:hAnsi="Book Antiqua"/>
        </w:rPr>
        <w:t xml:space="preserve">La extensión del término interino hasta un máximo de ciento ochenta (180) días no convierte la designación en permanente ni elimina la obligación de someter el nombramiento </w:t>
      </w:r>
      <w:r w:rsidR="00AC6864">
        <w:rPr>
          <w:rFonts w:ascii="Book Antiqua" w:hAnsi="Book Antiqua"/>
        </w:rPr>
        <w:t>a</w:t>
      </w:r>
      <w:r w:rsidRPr="007E1295">
        <w:rPr>
          <w:rFonts w:ascii="Book Antiqua" w:hAnsi="Book Antiqua"/>
        </w:rPr>
        <w:t xml:space="preserve"> confirmación legislativa. La naturaleza jurídica del interinato continúa siendo provisional y subordinada al proceso de confirmación. La enmienda únicamente amplía el término dentro del cual el </w:t>
      </w:r>
      <w:r w:rsidR="005263C5">
        <w:rPr>
          <w:rFonts w:ascii="Book Antiqua" w:hAnsi="Book Antiqua"/>
        </w:rPr>
        <w:t>alcalde</w:t>
      </w:r>
      <w:r w:rsidRPr="007E1295">
        <w:rPr>
          <w:rFonts w:ascii="Book Antiqua" w:hAnsi="Book Antiqua"/>
        </w:rPr>
        <w:t xml:space="preserve"> puede completar un proceso de selección diligente, sin que ello implique una dispensa del escrutinio legislativo.</w:t>
      </w:r>
    </w:p>
    <w:p w14:paraId="5FD6EC8B" w14:textId="7F4C4352" w:rsidR="007E1295" w:rsidRPr="007E1295" w:rsidRDefault="00850DEC" w:rsidP="007E1295">
      <w:pPr>
        <w:pStyle w:val="NormalWeb"/>
        <w:jc w:val="both"/>
        <w:rPr>
          <w:rFonts w:ascii="Book Antiqua" w:hAnsi="Book Antiqua"/>
        </w:rPr>
      </w:pPr>
      <w:r>
        <w:rPr>
          <w:rFonts w:ascii="Book Antiqua" w:hAnsi="Book Antiqua"/>
        </w:rPr>
        <w:t xml:space="preserve">Sobre la postura, de </w:t>
      </w:r>
      <w:r w:rsidR="007E1295" w:rsidRPr="007E1295">
        <w:rPr>
          <w:rFonts w:ascii="Book Antiqua" w:hAnsi="Book Antiqua"/>
        </w:rPr>
        <w:t>que la ampliación del término interino menoscabe la estabilidad institucional</w:t>
      </w:r>
      <w:r>
        <w:rPr>
          <w:rFonts w:ascii="Book Antiqua" w:hAnsi="Book Antiqua"/>
        </w:rPr>
        <w:t xml:space="preserve">, entendemos </w:t>
      </w:r>
      <w:r w:rsidR="00397C1C">
        <w:rPr>
          <w:rFonts w:ascii="Book Antiqua" w:hAnsi="Book Antiqua"/>
        </w:rPr>
        <w:t>que,</w:t>
      </w:r>
      <w:r>
        <w:rPr>
          <w:rFonts w:ascii="Book Antiqua" w:hAnsi="Book Antiqua"/>
        </w:rPr>
        <w:t xml:space="preserve"> </w:t>
      </w:r>
      <w:r w:rsidR="007E1295" w:rsidRPr="007E1295">
        <w:rPr>
          <w:rFonts w:ascii="Book Antiqua" w:hAnsi="Book Antiqua"/>
        </w:rPr>
        <w:t>desde una perspectiva administrativa, la medida reduce el riesgo de vacíos en posiciones esenciales o de nombramientos precipitados que pudieran afectar la continuidad operacional de los servicios municipales. La razonabilidad del término propuesto debe analizarse a la luz del interés público en asegurar una selección adecuada y técnicamente competente de quienes ocuparán funciones directivas en la estructura municipal.</w:t>
      </w:r>
    </w:p>
    <w:p w14:paraId="691EF35F" w14:textId="08830CAD" w:rsidR="007E1295" w:rsidRPr="00850DEC" w:rsidRDefault="007E1295" w:rsidP="00850DEC">
      <w:pPr>
        <w:pStyle w:val="NormalWeb"/>
        <w:jc w:val="both"/>
        <w:rPr>
          <w:rFonts w:ascii="Book Antiqua" w:hAnsi="Book Antiqua"/>
        </w:rPr>
      </w:pPr>
      <w:r w:rsidRPr="007E1295">
        <w:rPr>
          <w:rFonts w:ascii="Book Antiqua" w:hAnsi="Book Antiqua"/>
        </w:rPr>
        <w:t xml:space="preserve">Finalmente, </w:t>
      </w:r>
      <w:r w:rsidR="005263C5">
        <w:rPr>
          <w:rFonts w:ascii="Book Antiqua" w:hAnsi="Book Antiqua"/>
        </w:rPr>
        <w:t xml:space="preserve">entendemos que </w:t>
      </w:r>
      <w:r w:rsidRPr="007E1295">
        <w:rPr>
          <w:rFonts w:ascii="Book Antiqua" w:hAnsi="Book Antiqua"/>
        </w:rPr>
        <w:t>la enmienda es de carácter técnico. No crea nuevas estructuras gubernamentales, no altera la organización administrativa municipal, ni conlleva asignaciones presupuestarias adicionales. En ese sentido, resulta compatible con el principio de autonomía municipal reconocido en el ordenamiento jurídico vigente, al proveer flexibilidad administrativa sin menoscabar las prerrogativas fiscalizadoras de la Legislatura Municipal.</w:t>
      </w:r>
    </w:p>
    <w:p w14:paraId="6C410F04" w14:textId="0F04F354"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2A33EEF4" w14:textId="484279E5" w:rsidR="00DD1FCB"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68631D">
        <w:rPr>
          <w:rFonts w:ascii="Book Antiqua" w:hAnsi="Book Antiqua"/>
          <w:lang w:val="es-ES_tradnl"/>
        </w:rPr>
        <w:t>630</w:t>
      </w:r>
      <w:r w:rsidR="00F50F50" w:rsidRPr="001D0ABB">
        <w:rPr>
          <w:rFonts w:ascii="Book Antiqua" w:hAnsi="Book Antiqua"/>
          <w:lang w:val="es-ES_tradnl"/>
        </w:rPr>
        <w:t xml:space="preserve">) </w:t>
      </w:r>
      <w:r w:rsidR="00F50F50" w:rsidRPr="00F04A9A">
        <w:rPr>
          <w:rFonts w:ascii="Book Antiqua" w:hAnsi="Book Antiqua"/>
          <w:lang w:val="es-ES_tradnl"/>
        </w:rPr>
        <w:t>supra</w:t>
      </w:r>
      <w:r w:rsidRPr="00F04A9A">
        <w:rPr>
          <w:rFonts w:ascii="Book Antiqua" w:hAnsi="Book Antiqua"/>
          <w:lang w:val="es-ES_tradnl"/>
        </w:rPr>
        <w:t>, conocida como “Código Municipal de Puerto Rico</w:t>
      </w:r>
      <w:r w:rsidR="000E1B5B">
        <w:rPr>
          <w:rFonts w:ascii="Book Antiqua" w:hAnsi="Book Antiqua"/>
          <w:lang w:val="es-ES_tradnl"/>
        </w:rPr>
        <w:t>”, la Comisión de Asuntos Municipales luego de un análisis</w:t>
      </w:r>
      <w:r w:rsidR="00097977">
        <w:rPr>
          <w:rFonts w:ascii="Book Antiqua" w:hAnsi="Book Antiqua"/>
          <w:lang w:val="es-ES_tradnl"/>
        </w:rPr>
        <w:t xml:space="preserve"> pertinente de las posiciones de los deponentes no se desprende</w:t>
      </w:r>
      <w:r w:rsidRPr="00F04A9A">
        <w:rPr>
          <w:rFonts w:ascii="Book Antiqua" w:hAnsi="Book Antiqua"/>
          <w:lang w:val="es-ES_tradnl"/>
        </w:rPr>
        <w:t xml:space="preserve"> que la </w:t>
      </w:r>
      <w:r w:rsidR="00097977">
        <w:rPr>
          <w:rFonts w:ascii="Book Antiqua" w:hAnsi="Book Antiqua"/>
          <w:lang w:val="es-ES_tradnl"/>
        </w:rPr>
        <w:t>misma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 xml:space="preserve">en </w:t>
      </w:r>
      <w:r w:rsidR="00077520">
        <w:rPr>
          <w:rFonts w:ascii="Book Antiqua" w:hAnsi="Book Antiqua"/>
          <w:lang w:val="es-ES_tradnl"/>
        </w:rPr>
        <w:t xml:space="preserve">los recaudos </w:t>
      </w:r>
      <w:r w:rsidRPr="00F04A9A">
        <w:rPr>
          <w:rFonts w:ascii="Book Antiqua" w:hAnsi="Book Antiqua"/>
          <w:lang w:val="es-ES_tradnl"/>
        </w:rPr>
        <w:t>de los gobiernos municipales.</w:t>
      </w:r>
    </w:p>
    <w:p w14:paraId="3447809E" w14:textId="77777777" w:rsidR="005E14D7" w:rsidRDefault="005E14D7" w:rsidP="004000AE">
      <w:pPr>
        <w:jc w:val="center"/>
        <w:rPr>
          <w:rFonts w:ascii="Book Antiqua" w:hAnsi="Book Antiqua"/>
          <w:b/>
          <w:i/>
          <w:smallCaps/>
          <w:szCs w:val="24"/>
          <w:lang w:val="es-ES_tradnl"/>
        </w:rPr>
      </w:pPr>
    </w:p>
    <w:p w14:paraId="64E4266F" w14:textId="5FD61DF1"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lastRenderedPageBreak/>
        <w:t>Conclusión</w:t>
      </w:r>
    </w:p>
    <w:p w14:paraId="41FA047F" w14:textId="77777777" w:rsidR="007E1295" w:rsidRDefault="007E1295" w:rsidP="004000AE">
      <w:pPr>
        <w:jc w:val="both"/>
        <w:rPr>
          <w:rFonts w:ascii="Book Antiqua" w:hAnsi="Book Antiqua" w:cs="Arial"/>
          <w:lang w:val="es-ES"/>
        </w:rPr>
      </w:pPr>
    </w:p>
    <w:p w14:paraId="5384FEF6" w14:textId="575CB72C" w:rsidR="007E1295" w:rsidRPr="007E1295" w:rsidRDefault="007E1295" w:rsidP="007E1295">
      <w:pPr>
        <w:pStyle w:val="BodyText"/>
        <w:spacing w:line="240" w:lineRule="auto"/>
        <w:contextualSpacing/>
        <w:rPr>
          <w:rFonts w:ascii="Book Antiqua" w:hAnsi="Book Antiqua"/>
          <w:b/>
          <w:i/>
          <w:smallCaps/>
          <w:szCs w:val="24"/>
          <w:lang w:val="es-DO"/>
        </w:rPr>
      </w:pPr>
      <w:r>
        <w:rPr>
          <w:rFonts w:ascii="Book Antiqua" w:hAnsi="Book Antiqua"/>
          <w:lang w:val="es-DO"/>
        </w:rPr>
        <w:t xml:space="preserve">Luego del análisis legislativo pertinente, se </w:t>
      </w:r>
      <w:r w:rsidRPr="007E1295">
        <w:rPr>
          <w:rFonts w:ascii="Book Antiqua" w:hAnsi="Book Antiqua"/>
          <w:lang w:val="es-DO"/>
        </w:rPr>
        <w:t>concluye que el Proyecto del Senado 630 es una medida razonable, proporcional y jurídicamente válida, que fortalece la gobernanza municipal, promueve procesos de selección más rigurosos y garantiza continuidad en la prestación de servicios esenciales, sin afectar el balance institucional ni la transparencia administrativa.</w:t>
      </w:r>
    </w:p>
    <w:p w14:paraId="10234159" w14:textId="77777777" w:rsidR="007E1295" w:rsidRPr="007E1295" w:rsidRDefault="007E1295" w:rsidP="004000AE">
      <w:pPr>
        <w:jc w:val="both"/>
        <w:rPr>
          <w:rFonts w:ascii="Book Antiqua" w:hAnsi="Book Antiqua" w:cs="Arial"/>
          <w:lang w:val="es-DO"/>
        </w:rPr>
      </w:pPr>
    </w:p>
    <w:p w14:paraId="693ABEB6" w14:textId="2F8B5AB3"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 </w:t>
      </w:r>
      <w:r w:rsidR="00773612">
        <w:rPr>
          <w:rFonts w:ascii="Book Antiqua" w:hAnsi="Book Antiqua" w:cs="Arial"/>
          <w:lang w:val="es-ES"/>
        </w:rPr>
        <w:t xml:space="preserve">Comisión de Asuntos Municipales de la Cámara de Representantes recomienda a este Alto Cuerpo la aprobación del Proyecto del Senado </w:t>
      </w:r>
      <w:r w:rsidR="0068631D">
        <w:rPr>
          <w:rFonts w:ascii="Book Antiqua" w:hAnsi="Book Antiqua" w:cs="Arial"/>
          <w:lang w:val="es-ES"/>
        </w:rPr>
        <w:t>630</w:t>
      </w:r>
      <w:r w:rsidR="00773612">
        <w:rPr>
          <w:rFonts w:ascii="Book Antiqua" w:hAnsi="Book Antiqua" w:cs="Arial"/>
          <w:lang w:val="es-ES"/>
        </w:rPr>
        <w:t xml:space="preserve">, </w:t>
      </w:r>
      <w:r w:rsidR="00FF0C5C">
        <w:rPr>
          <w:rFonts w:ascii="Book Antiqua" w:hAnsi="Book Antiqua" w:cs="Arial"/>
          <w:lang w:val="es-ES"/>
        </w:rPr>
        <w:t>sin enmiendas</w:t>
      </w:r>
      <w:r w:rsidR="004756CA" w:rsidRPr="004756CA">
        <w:rPr>
          <w:rFonts w:ascii="Book Antiqua" w:hAnsi="Book Antiqua" w:cs="Arial"/>
          <w:lang w:val="es-ES"/>
        </w:rPr>
        <w:t xml:space="preserve">. </w:t>
      </w:r>
    </w:p>
    <w:p w14:paraId="2D3414A2" w14:textId="77777777" w:rsidR="0076466B" w:rsidRPr="00801D43" w:rsidRDefault="0076466B" w:rsidP="004000AE">
      <w:pPr>
        <w:jc w:val="both"/>
        <w:rPr>
          <w:rFonts w:ascii="Book Antiqua" w:hAnsi="Book Antiqua" w:cs="Arial"/>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0CB7F7E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7B0BBF54"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FE1B47" w:rsidRPr="00801D43">
        <w:rPr>
          <w:rFonts w:ascii="Book Antiqua" w:hAnsi="Book Antiqua" w:cs="Arial"/>
          <w:lang w:val="es-ES"/>
        </w:rPr>
        <w:tab/>
      </w:r>
    </w:p>
    <w:p w14:paraId="3D9F1629" w14:textId="25BA66F0"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p>
    <w:sectPr w:rsidR="00AC0B45" w:rsidRPr="002F224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95315" w14:textId="77777777" w:rsidR="006557F2" w:rsidRDefault="006557F2" w:rsidP="006705DD">
      <w:r>
        <w:separator/>
      </w:r>
    </w:p>
  </w:endnote>
  <w:endnote w:type="continuationSeparator" w:id="0">
    <w:p w14:paraId="7E483EF5" w14:textId="77777777" w:rsidR="006557F2" w:rsidRDefault="006557F2"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43ADF4A"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FBE83" w14:textId="77777777" w:rsidR="006557F2" w:rsidRDefault="006557F2" w:rsidP="006705DD">
      <w:r>
        <w:separator/>
      </w:r>
    </w:p>
  </w:footnote>
  <w:footnote w:type="continuationSeparator" w:id="0">
    <w:p w14:paraId="2137933E" w14:textId="77777777" w:rsidR="006557F2" w:rsidRDefault="006557F2"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2557F61B"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68631D">
      <w:rPr>
        <w:rStyle w:val="PageNumber"/>
        <w:rFonts w:ascii="Book Antiqua" w:hAnsi="Book Antiqua"/>
        <w:i/>
        <w:sz w:val="22"/>
        <w:szCs w:val="22"/>
        <w:lang w:val="es-PR"/>
      </w:rPr>
      <w:t>630</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7C1A"/>
    <w:multiLevelType w:val="multilevel"/>
    <w:tmpl w:val="942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3"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A80345F"/>
    <w:multiLevelType w:val="multilevel"/>
    <w:tmpl w:val="C93E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84225E4"/>
    <w:multiLevelType w:val="multilevel"/>
    <w:tmpl w:val="CC30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BC74EB"/>
    <w:multiLevelType w:val="multilevel"/>
    <w:tmpl w:val="6932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C011A7"/>
    <w:multiLevelType w:val="hybridMultilevel"/>
    <w:tmpl w:val="0860B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023DB5"/>
    <w:multiLevelType w:val="hybridMultilevel"/>
    <w:tmpl w:val="1CEA8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20"/>
  </w:num>
  <w:num w:numId="3" w16cid:durableId="150217024">
    <w:abstractNumId w:val="22"/>
  </w:num>
  <w:num w:numId="4" w16cid:durableId="1144077218">
    <w:abstractNumId w:val="12"/>
  </w:num>
  <w:num w:numId="5" w16cid:durableId="1391071492">
    <w:abstractNumId w:val="24"/>
  </w:num>
  <w:num w:numId="6" w16cid:durableId="1887521205">
    <w:abstractNumId w:val="23"/>
  </w:num>
  <w:num w:numId="7" w16cid:durableId="17200089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9"/>
  </w:num>
  <w:num w:numId="9" w16cid:durableId="978419079">
    <w:abstractNumId w:val="11"/>
  </w:num>
  <w:num w:numId="10" w16cid:durableId="1920630375">
    <w:abstractNumId w:val="9"/>
  </w:num>
  <w:num w:numId="11" w16cid:durableId="1876967153">
    <w:abstractNumId w:val="3"/>
  </w:num>
  <w:num w:numId="12" w16cid:durableId="1030955634">
    <w:abstractNumId w:val="26"/>
  </w:num>
  <w:num w:numId="13" w16cid:durableId="1443761483">
    <w:abstractNumId w:val="16"/>
  </w:num>
  <w:num w:numId="14" w16cid:durableId="317928374">
    <w:abstractNumId w:val="30"/>
  </w:num>
  <w:num w:numId="15" w16cid:durableId="1784879955">
    <w:abstractNumId w:val="31"/>
  </w:num>
  <w:num w:numId="16" w16cid:durableId="1263222138">
    <w:abstractNumId w:val="4"/>
  </w:num>
  <w:num w:numId="17" w16cid:durableId="663701081">
    <w:abstractNumId w:val="2"/>
  </w:num>
  <w:num w:numId="18" w16cid:durableId="2086878990">
    <w:abstractNumId w:val="18"/>
  </w:num>
  <w:num w:numId="19" w16cid:durableId="953445716">
    <w:abstractNumId w:val="25"/>
  </w:num>
  <w:num w:numId="20" w16cid:durableId="1211067804">
    <w:abstractNumId w:val="8"/>
  </w:num>
  <w:num w:numId="21" w16cid:durableId="1827357940">
    <w:abstractNumId w:val="14"/>
  </w:num>
  <w:num w:numId="22" w16cid:durableId="76682557">
    <w:abstractNumId w:val="29"/>
  </w:num>
  <w:num w:numId="23" w16cid:durableId="1136072045">
    <w:abstractNumId w:val="6"/>
  </w:num>
  <w:num w:numId="24" w16cid:durableId="252974756">
    <w:abstractNumId w:val="13"/>
  </w:num>
  <w:num w:numId="25" w16cid:durableId="1722710084">
    <w:abstractNumId w:val="10"/>
  </w:num>
  <w:num w:numId="26" w16cid:durableId="363680753">
    <w:abstractNumId w:val="7"/>
  </w:num>
  <w:num w:numId="27" w16cid:durableId="1457067082">
    <w:abstractNumId w:val="5"/>
  </w:num>
  <w:num w:numId="28" w16cid:durableId="1556358496">
    <w:abstractNumId w:val="21"/>
  </w:num>
  <w:num w:numId="29" w16cid:durableId="907962965">
    <w:abstractNumId w:val="17"/>
  </w:num>
  <w:num w:numId="30" w16cid:durableId="313262227">
    <w:abstractNumId w:val="1"/>
  </w:num>
  <w:num w:numId="31" w16cid:durableId="1048071362">
    <w:abstractNumId w:val="27"/>
  </w:num>
  <w:num w:numId="32" w16cid:durableId="17844248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4456A"/>
    <w:rsid w:val="000507DD"/>
    <w:rsid w:val="000549AC"/>
    <w:rsid w:val="00057583"/>
    <w:rsid w:val="00061538"/>
    <w:rsid w:val="00062C12"/>
    <w:rsid w:val="00063B34"/>
    <w:rsid w:val="0006657A"/>
    <w:rsid w:val="00071AFD"/>
    <w:rsid w:val="00077520"/>
    <w:rsid w:val="00080C50"/>
    <w:rsid w:val="00082DE6"/>
    <w:rsid w:val="000846CE"/>
    <w:rsid w:val="00084B35"/>
    <w:rsid w:val="00091BF8"/>
    <w:rsid w:val="00093070"/>
    <w:rsid w:val="00093599"/>
    <w:rsid w:val="00097977"/>
    <w:rsid w:val="000A0DD0"/>
    <w:rsid w:val="000A36B0"/>
    <w:rsid w:val="000A3926"/>
    <w:rsid w:val="000A55EE"/>
    <w:rsid w:val="000C66D1"/>
    <w:rsid w:val="000D4ACC"/>
    <w:rsid w:val="000E1B5B"/>
    <w:rsid w:val="000E2315"/>
    <w:rsid w:val="000E328C"/>
    <w:rsid w:val="000E3E3F"/>
    <w:rsid w:val="000E4B80"/>
    <w:rsid w:val="000E5DC1"/>
    <w:rsid w:val="000E63A1"/>
    <w:rsid w:val="000E66EE"/>
    <w:rsid w:val="00103081"/>
    <w:rsid w:val="00104793"/>
    <w:rsid w:val="00105310"/>
    <w:rsid w:val="00105E0D"/>
    <w:rsid w:val="00114A85"/>
    <w:rsid w:val="00115CCE"/>
    <w:rsid w:val="001269D9"/>
    <w:rsid w:val="00126B90"/>
    <w:rsid w:val="001319DA"/>
    <w:rsid w:val="00144AFF"/>
    <w:rsid w:val="0014633D"/>
    <w:rsid w:val="00147634"/>
    <w:rsid w:val="00152E5E"/>
    <w:rsid w:val="001632EC"/>
    <w:rsid w:val="00163B5C"/>
    <w:rsid w:val="00165840"/>
    <w:rsid w:val="00170953"/>
    <w:rsid w:val="0017614C"/>
    <w:rsid w:val="0017674B"/>
    <w:rsid w:val="001A6F73"/>
    <w:rsid w:val="001B2971"/>
    <w:rsid w:val="001C6904"/>
    <w:rsid w:val="001D0ABB"/>
    <w:rsid w:val="001E2BBC"/>
    <w:rsid w:val="001E571B"/>
    <w:rsid w:val="001E58FE"/>
    <w:rsid w:val="001F0094"/>
    <w:rsid w:val="001F2A92"/>
    <w:rsid w:val="00204D65"/>
    <w:rsid w:val="00214189"/>
    <w:rsid w:val="002169FB"/>
    <w:rsid w:val="00221002"/>
    <w:rsid w:val="00227D5D"/>
    <w:rsid w:val="0023264E"/>
    <w:rsid w:val="002335EA"/>
    <w:rsid w:val="00235393"/>
    <w:rsid w:val="002360B5"/>
    <w:rsid w:val="002370D3"/>
    <w:rsid w:val="00244C04"/>
    <w:rsid w:val="00245609"/>
    <w:rsid w:val="00253858"/>
    <w:rsid w:val="00261114"/>
    <w:rsid w:val="00276BDD"/>
    <w:rsid w:val="002808F0"/>
    <w:rsid w:val="00281A3B"/>
    <w:rsid w:val="00282A14"/>
    <w:rsid w:val="00285860"/>
    <w:rsid w:val="00290C4B"/>
    <w:rsid w:val="00296D3F"/>
    <w:rsid w:val="002971A4"/>
    <w:rsid w:val="002B12D4"/>
    <w:rsid w:val="002B3B61"/>
    <w:rsid w:val="002B40AA"/>
    <w:rsid w:val="002B670A"/>
    <w:rsid w:val="002C290D"/>
    <w:rsid w:val="002D4B38"/>
    <w:rsid w:val="002E2C74"/>
    <w:rsid w:val="002F2243"/>
    <w:rsid w:val="002F2860"/>
    <w:rsid w:val="002F58EB"/>
    <w:rsid w:val="002F60E4"/>
    <w:rsid w:val="00304C16"/>
    <w:rsid w:val="00315EDE"/>
    <w:rsid w:val="003266F8"/>
    <w:rsid w:val="00326910"/>
    <w:rsid w:val="00327B42"/>
    <w:rsid w:val="00327EDE"/>
    <w:rsid w:val="00330D59"/>
    <w:rsid w:val="0035044B"/>
    <w:rsid w:val="00352C61"/>
    <w:rsid w:val="00353EC5"/>
    <w:rsid w:val="00361144"/>
    <w:rsid w:val="003618E3"/>
    <w:rsid w:val="00364DCF"/>
    <w:rsid w:val="00365790"/>
    <w:rsid w:val="003700E9"/>
    <w:rsid w:val="00381FCA"/>
    <w:rsid w:val="00397AC7"/>
    <w:rsid w:val="00397C1C"/>
    <w:rsid w:val="003A69EF"/>
    <w:rsid w:val="003B1D9A"/>
    <w:rsid w:val="003B644B"/>
    <w:rsid w:val="003D02DF"/>
    <w:rsid w:val="003D07D2"/>
    <w:rsid w:val="003E4737"/>
    <w:rsid w:val="003E749F"/>
    <w:rsid w:val="003F0372"/>
    <w:rsid w:val="003F2DE1"/>
    <w:rsid w:val="003F7121"/>
    <w:rsid w:val="003F7352"/>
    <w:rsid w:val="003F7F49"/>
    <w:rsid w:val="004000AE"/>
    <w:rsid w:val="0042474F"/>
    <w:rsid w:val="00427040"/>
    <w:rsid w:val="00437BDC"/>
    <w:rsid w:val="00440C62"/>
    <w:rsid w:val="00441AE7"/>
    <w:rsid w:val="00441DE5"/>
    <w:rsid w:val="004538A3"/>
    <w:rsid w:val="004641B9"/>
    <w:rsid w:val="00465358"/>
    <w:rsid w:val="004663D5"/>
    <w:rsid w:val="004719B8"/>
    <w:rsid w:val="004733FF"/>
    <w:rsid w:val="004756CA"/>
    <w:rsid w:val="004833A3"/>
    <w:rsid w:val="004B142C"/>
    <w:rsid w:val="004C0E27"/>
    <w:rsid w:val="004D66E8"/>
    <w:rsid w:val="004E1C6B"/>
    <w:rsid w:val="0050015A"/>
    <w:rsid w:val="00500CD9"/>
    <w:rsid w:val="0050357A"/>
    <w:rsid w:val="0052307A"/>
    <w:rsid w:val="005263C5"/>
    <w:rsid w:val="005300B1"/>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14D7"/>
    <w:rsid w:val="005E20C6"/>
    <w:rsid w:val="005E32A2"/>
    <w:rsid w:val="005E345A"/>
    <w:rsid w:val="005F2117"/>
    <w:rsid w:val="005F57EA"/>
    <w:rsid w:val="00605B06"/>
    <w:rsid w:val="00610D55"/>
    <w:rsid w:val="00611F58"/>
    <w:rsid w:val="00617C77"/>
    <w:rsid w:val="00624B6C"/>
    <w:rsid w:val="00625848"/>
    <w:rsid w:val="00627101"/>
    <w:rsid w:val="006442F9"/>
    <w:rsid w:val="00651F6C"/>
    <w:rsid w:val="006557F2"/>
    <w:rsid w:val="00663552"/>
    <w:rsid w:val="006705DD"/>
    <w:rsid w:val="00677ADE"/>
    <w:rsid w:val="0068631D"/>
    <w:rsid w:val="006A2B0F"/>
    <w:rsid w:val="006A2E89"/>
    <w:rsid w:val="006A384C"/>
    <w:rsid w:val="006A627D"/>
    <w:rsid w:val="006B0E23"/>
    <w:rsid w:val="006C498F"/>
    <w:rsid w:val="006C6F08"/>
    <w:rsid w:val="006D1366"/>
    <w:rsid w:val="006D2DAD"/>
    <w:rsid w:val="006E01C3"/>
    <w:rsid w:val="006F072D"/>
    <w:rsid w:val="006F31C3"/>
    <w:rsid w:val="006F45AD"/>
    <w:rsid w:val="006F7782"/>
    <w:rsid w:val="0070231A"/>
    <w:rsid w:val="00706B87"/>
    <w:rsid w:val="0071164C"/>
    <w:rsid w:val="00716D4F"/>
    <w:rsid w:val="00720DED"/>
    <w:rsid w:val="00726664"/>
    <w:rsid w:val="00726C66"/>
    <w:rsid w:val="00733621"/>
    <w:rsid w:val="00744889"/>
    <w:rsid w:val="00744B72"/>
    <w:rsid w:val="007526B6"/>
    <w:rsid w:val="00757B0E"/>
    <w:rsid w:val="0076466B"/>
    <w:rsid w:val="0076672E"/>
    <w:rsid w:val="00770030"/>
    <w:rsid w:val="00773612"/>
    <w:rsid w:val="007747EA"/>
    <w:rsid w:val="007767FD"/>
    <w:rsid w:val="00787CC3"/>
    <w:rsid w:val="00796D86"/>
    <w:rsid w:val="007A3330"/>
    <w:rsid w:val="007A4D9A"/>
    <w:rsid w:val="007A52BD"/>
    <w:rsid w:val="007B1F4C"/>
    <w:rsid w:val="007B737C"/>
    <w:rsid w:val="007C1FB4"/>
    <w:rsid w:val="007C5402"/>
    <w:rsid w:val="007D483B"/>
    <w:rsid w:val="007D502B"/>
    <w:rsid w:val="007E1295"/>
    <w:rsid w:val="007E56F0"/>
    <w:rsid w:val="007F7F06"/>
    <w:rsid w:val="00801D43"/>
    <w:rsid w:val="0080494A"/>
    <w:rsid w:val="00807333"/>
    <w:rsid w:val="0082461D"/>
    <w:rsid w:val="008302A7"/>
    <w:rsid w:val="0083160D"/>
    <w:rsid w:val="00835666"/>
    <w:rsid w:val="0084517F"/>
    <w:rsid w:val="00850DEC"/>
    <w:rsid w:val="00855DDC"/>
    <w:rsid w:val="00865915"/>
    <w:rsid w:val="00866623"/>
    <w:rsid w:val="00873014"/>
    <w:rsid w:val="0087700A"/>
    <w:rsid w:val="008817F1"/>
    <w:rsid w:val="00885C39"/>
    <w:rsid w:val="00887B5A"/>
    <w:rsid w:val="008945B2"/>
    <w:rsid w:val="008B5837"/>
    <w:rsid w:val="008C0089"/>
    <w:rsid w:val="008C4E1E"/>
    <w:rsid w:val="008D3AED"/>
    <w:rsid w:val="008E3FE1"/>
    <w:rsid w:val="008E55BC"/>
    <w:rsid w:val="008E5C42"/>
    <w:rsid w:val="008E5C47"/>
    <w:rsid w:val="008F3240"/>
    <w:rsid w:val="00916851"/>
    <w:rsid w:val="0091696B"/>
    <w:rsid w:val="00931E0E"/>
    <w:rsid w:val="0093323A"/>
    <w:rsid w:val="00944B6E"/>
    <w:rsid w:val="00947E95"/>
    <w:rsid w:val="00950543"/>
    <w:rsid w:val="009701BF"/>
    <w:rsid w:val="00980BA6"/>
    <w:rsid w:val="0098155A"/>
    <w:rsid w:val="00981CB1"/>
    <w:rsid w:val="00986544"/>
    <w:rsid w:val="009866B1"/>
    <w:rsid w:val="00986838"/>
    <w:rsid w:val="0099092B"/>
    <w:rsid w:val="009912EA"/>
    <w:rsid w:val="00995340"/>
    <w:rsid w:val="00995C19"/>
    <w:rsid w:val="009A0D8D"/>
    <w:rsid w:val="009A24F9"/>
    <w:rsid w:val="009B6AF1"/>
    <w:rsid w:val="009D28C3"/>
    <w:rsid w:val="009D50C3"/>
    <w:rsid w:val="009D7AE4"/>
    <w:rsid w:val="009E097D"/>
    <w:rsid w:val="009F1CEE"/>
    <w:rsid w:val="009F71A9"/>
    <w:rsid w:val="00A00B79"/>
    <w:rsid w:val="00A068A5"/>
    <w:rsid w:val="00A06D24"/>
    <w:rsid w:val="00A107E2"/>
    <w:rsid w:val="00A113C5"/>
    <w:rsid w:val="00A2744F"/>
    <w:rsid w:val="00A338D0"/>
    <w:rsid w:val="00A361F6"/>
    <w:rsid w:val="00A42BD2"/>
    <w:rsid w:val="00A43C41"/>
    <w:rsid w:val="00A508AE"/>
    <w:rsid w:val="00A51AED"/>
    <w:rsid w:val="00A56BC5"/>
    <w:rsid w:val="00A608EE"/>
    <w:rsid w:val="00A6590F"/>
    <w:rsid w:val="00A6622D"/>
    <w:rsid w:val="00A75A53"/>
    <w:rsid w:val="00A83496"/>
    <w:rsid w:val="00A975A9"/>
    <w:rsid w:val="00AC0B45"/>
    <w:rsid w:val="00AC6864"/>
    <w:rsid w:val="00AE3112"/>
    <w:rsid w:val="00AE53C7"/>
    <w:rsid w:val="00AF1299"/>
    <w:rsid w:val="00B064C0"/>
    <w:rsid w:val="00B11907"/>
    <w:rsid w:val="00B30485"/>
    <w:rsid w:val="00B34FF4"/>
    <w:rsid w:val="00B411F9"/>
    <w:rsid w:val="00B41EA0"/>
    <w:rsid w:val="00B42919"/>
    <w:rsid w:val="00B60543"/>
    <w:rsid w:val="00B64DBC"/>
    <w:rsid w:val="00B656A1"/>
    <w:rsid w:val="00B75683"/>
    <w:rsid w:val="00B76FC7"/>
    <w:rsid w:val="00B876EE"/>
    <w:rsid w:val="00B95434"/>
    <w:rsid w:val="00B958BB"/>
    <w:rsid w:val="00B97282"/>
    <w:rsid w:val="00BB04FE"/>
    <w:rsid w:val="00BB650E"/>
    <w:rsid w:val="00BC4AEA"/>
    <w:rsid w:val="00BE1068"/>
    <w:rsid w:val="00BE62B2"/>
    <w:rsid w:val="00BF2933"/>
    <w:rsid w:val="00BF2EA2"/>
    <w:rsid w:val="00BF399D"/>
    <w:rsid w:val="00C0097E"/>
    <w:rsid w:val="00C0489D"/>
    <w:rsid w:val="00C04CC4"/>
    <w:rsid w:val="00C05074"/>
    <w:rsid w:val="00C05BF3"/>
    <w:rsid w:val="00C162F0"/>
    <w:rsid w:val="00C20727"/>
    <w:rsid w:val="00C23448"/>
    <w:rsid w:val="00C31BB0"/>
    <w:rsid w:val="00C40917"/>
    <w:rsid w:val="00C445E0"/>
    <w:rsid w:val="00C54F93"/>
    <w:rsid w:val="00C55349"/>
    <w:rsid w:val="00C70147"/>
    <w:rsid w:val="00C72BDF"/>
    <w:rsid w:val="00C746E5"/>
    <w:rsid w:val="00C759E8"/>
    <w:rsid w:val="00CA0E00"/>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32A37"/>
    <w:rsid w:val="00D34E98"/>
    <w:rsid w:val="00D36F4D"/>
    <w:rsid w:val="00D44AB3"/>
    <w:rsid w:val="00D523D9"/>
    <w:rsid w:val="00D555F5"/>
    <w:rsid w:val="00D752D6"/>
    <w:rsid w:val="00D75329"/>
    <w:rsid w:val="00D86496"/>
    <w:rsid w:val="00D905F2"/>
    <w:rsid w:val="00D92EC5"/>
    <w:rsid w:val="00DA02ED"/>
    <w:rsid w:val="00DA09E1"/>
    <w:rsid w:val="00DA29A7"/>
    <w:rsid w:val="00DA7015"/>
    <w:rsid w:val="00DB74EB"/>
    <w:rsid w:val="00DD1DC0"/>
    <w:rsid w:val="00DD1FCB"/>
    <w:rsid w:val="00DF19CF"/>
    <w:rsid w:val="00E05AD7"/>
    <w:rsid w:val="00E102E9"/>
    <w:rsid w:val="00E227DF"/>
    <w:rsid w:val="00E2470F"/>
    <w:rsid w:val="00E24F6A"/>
    <w:rsid w:val="00E279FD"/>
    <w:rsid w:val="00E27A93"/>
    <w:rsid w:val="00E3239A"/>
    <w:rsid w:val="00E35958"/>
    <w:rsid w:val="00E359DB"/>
    <w:rsid w:val="00E42A3E"/>
    <w:rsid w:val="00E443A3"/>
    <w:rsid w:val="00E44ACE"/>
    <w:rsid w:val="00E46361"/>
    <w:rsid w:val="00E47CDB"/>
    <w:rsid w:val="00E51889"/>
    <w:rsid w:val="00E54D41"/>
    <w:rsid w:val="00E61D3F"/>
    <w:rsid w:val="00E634AC"/>
    <w:rsid w:val="00E662B1"/>
    <w:rsid w:val="00E66D25"/>
    <w:rsid w:val="00E70E1E"/>
    <w:rsid w:val="00E8150B"/>
    <w:rsid w:val="00E87DFC"/>
    <w:rsid w:val="00E979DD"/>
    <w:rsid w:val="00EA1A07"/>
    <w:rsid w:val="00EA1E40"/>
    <w:rsid w:val="00EB166E"/>
    <w:rsid w:val="00EB1E3E"/>
    <w:rsid w:val="00EC6777"/>
    <w:rsid w:val="00EC6989"/>
    <w:rsid w:val="00ED4C4F"/>
    <w:rsid w:val="00ED6D04"/>
    <w:rsid w:val="00EE5D67"/>
    <w:rsid w:val="00EE6540"/>
    <w:rsid w:val="00F043A8"/>
    <w:rsid w:val="00F04A9A"/>
    <w:rsid w:val="00F11058"/>
    <w:rsid w:val="00F173C8"/>
    <w:rsid w:val="00F179C6"/>
    <w:rsid w:val="00F21142"/>
    <w:rsid w:val="00F3160B"/>
    <w:rsid w:val="00F37B78"/>
    <w:rsid w:val="00F447FF"/>
    <w:rsid w:val="00F4737F"/>
    <w:rsid w:val="00F503BB"/>
    <w:rsid w:val="00F50F50"/>
    <w:rsid w:val="00F53856"/>
    <w:rsid w:val="00F5568C"/>
    <w:rsid w:val="00F664B4"/>
    <w:rsid w:val="00F719B8"/>
    <w:rsid w:val="00F76E8E"/>
    <w:rsid w:val="00F80C67"/>
    <w:rsid w:val="00FC11CC"/>
    <w:rsid w:val="00FC1DDC"/>
    <w:rsid w:val="00FC5795"/>
    <w:rsid w:val="00FC7A0C"/>
    <w:rsid w:val="00FD11BF"/>
    <w:rsid w:val="00FD661C"/>
    <w:rsid w:val="00FE1B47"/>
    <w:rsid w:val="00FE4E48"/>
    <w:rsid w:val="00FE72A4"/>
    <w:rsid w:val="00FF0C5C"/>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A6622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customStyle="1" w:styleId="Heading3Char">
    <w:name w:val="Heading 3 Char"/>
    <w:basedOn w:val="DefaultParagraphFont"/>
    <w:link w:val="Heading3"/>
    <w:uiPriority w:val="9"/>
    <w:semiHidden/>
    <w:rsid w:val="00A6622D"/>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E1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4347</Words>
  <Characters>24783</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2026-03-09T17:47:00Z</cp:lastPrinted>
  <dcterms:created xsi:type="dcterms:W3CDTF">2026-03-12T17:59:00Z</dcterms:created>
  <dcterms:modified xsi:type="dcterms:W3CDTF">2026-03-12T17:59:00Z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