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5727F5" w14:textId="37AF3F4F" w:rsidR="00DF7D86" w:rsidRPr="00250E7B" w:rsidRDefault="00B45797" w:rsidP="00954C22">
      <w:pPr>
        <w:tabs>
          <w:tab w:val="center" w:pos="4680"/>
        </w:tabs>
        <w:jc w:val="center"/>
        <w:rPr>
          <w:rFonts w:ascii="Book Antiqua" w:eastAsia="Book Antiqua" w:hAnsi="Book Antiqua" w:cs="Book Antiqua"/>
          <w:color w:val="000000" w:themeColor="text1"/>
          <w:spacing w:val="12"/>
          <w:sz w:val="28"/>
          <w:szCs w:val="28"/>
          <w:lang w:val="es-PR"/>
        </w:rPr>
      </w:pPr>
      <w:r w:rsidRPr="00250E7B">
        <w:rPr>
          <w:rFonts w:ascii="Book Antiqua" w:eastAsia="Book Antiqua" w:hAnsi="Book Antiqua" w:cs="Book Antiqua"/>
          <w:color w:val="000000" w:themeColor="text1"/>
          <w:spacing w:val="12"/>
          <w:sz w:val="28"/>
          <w:szCs w:val="28"/>
          <w:lang w:val="es-PR"/>
        </w:rPr>
        <w:t>GOBIERNO</w:t>
      </w:r>
      <w:r w:rsidR="0038510E" w:rsidRPr="00250E7B">
        <w:rPr>
          <w:rFonts w:ascii="Book Antiqua" w:eastAsia="Book Antiqua" w:hAnsi="Book Antiqua" w:cs="Book Antiqua"/>
          <w:color w:val="000000" w:themeColor="text1"/>
          <w:spacing w:val="12"/>
          <w:sz w:val="28"/>
          <w:szCs w:val="28"/>
          <w:lang w:val="es-PR"/>
        </w:rPr>
        <w:t xml:space="preserve"> DE PUERTO RICO</w:t>
      </w:r>
    </w:p>
    <w:p w14:paraId="02A4AC1D" w14:textId="77777777" w:rsidR="00DF7D86" w:rsidRPr="001711E6" w:rsidRDefault="00DF7D86">
      <w:pPr>
        <w:tabs>
          <w:tab w:val="center" w:pos="4680"/>
        </w:tabs>
        <w:rPr>
          <w:rFonts w:ascii="Book Antiqua" w:eastAsia="Book Antiqua" w:hAnsi="Book Antiqua" w:cs="Book Antiqua"/>
          <w:color w:val="000000" w:themeColor="text1"/>
          <w:sz w:val="28"/>
          <w:szCs w:val="28"/>
          <w:lang w:val="es-PR"/>
        </w:rPr>
      </w:pPr>
    </w:p>
    <w:p w14:paraId="026B7A4E" w14:textId="78DCB0D0" w:rsidR="00DF7D86" w:rsidRPr="001711E6" w:rsidRDefault="00B45797">
      <w:pPr>
        <w:tabs>
          <w:tab w:val="left" w:pos="720"/>
          <w:tab w:val="left" w:pos="7560"/>
          <w:tab w:val="left" w:pos="8100"/>
        </w:tabs>
        <w:rPr>
          <w:rFonts w:ascii="Book Antiqua" w:eastAsia="Book Antiqua" w:hAnsi="Book Antiqua" w:cs="Book Antiqua"/>
          <w:color w:val="000000" w:themeColor="text1"/>
          <w:lang w:val="es-PR"/>
        </w:rPr>
      </w:pPr>
      <w:r w:rsidRPr="001711E6">
        <w:rPr>
          <w:rFonts w:ascii="Book Antiqua" w:eastAsia="Book Antiqua" w:hAnsi="Book Antiqua" w:cs="Book Antiqua"/>
          <w:color w:val="000000" w:themeColor="text1"/>
          <w:lang w:val="es-PR"/>
        </w:rPr>
        <w:t>20</w:t>
      </w:r>
      <w:r w:rsidR="006639CB">
        <w:rPr>
          <w:rFonts w:ascii="Book Antiqua" w:eastAsia="Book Antiqua" w:hAnsi="Book Antiqua" w:cs="Book Antiqua"/>
          <w:color w:val="000000" w:themeColor="text1"/>
          <w:lang w:val="es-PR"/>
        </w:rPr>
        <w:t>.</w:t>
      </w:r>
      <w:r w:rsidR="0038510E" w:rsidRPr="001711E6">
        <w:rPr>
          <w:rFonts w:ascii="Book Antiqua" w:eastAsia="Book Antiqua" w:hAnsi="Book Antiqua" w:cs="Book Antiqua"/>
          <w:color w:val="000000" w:themeColor="text1"/>
          <w:vertAlign w:val="superscript"/>
          <w:lang w:val="es-PR"/>
        </w:rPr>
        <w:t>a</w:t>
      </w:r>
      <w:r w:rsidR="00C54AD6" w:rsidRPr="001711E6">
        <w:rPr>
          <w:rFonts w:ascii="Book Antiqua" w:eastAsia="Book Antiqua" w:hAnsi="Book Antiqua" w:cs="Book Antiqua"/>
          <w:color w:val="000000" w:themeColor="text1"/>
          <w:lang w:val="es-PR"/>
        </w:rPr>
        <w:t xml:space="preserve"> </w:t>
      </w:r>
      <w:r w:rsidR="00596033">
        <w:rPr>
          <w:rFonts w:ascii="Book Antiqua" w:eastAsia="Book Antiqua" w:hAnsi="Book Antiqua" w:cs="Book Antiqua"/>
          <w:color w:val="000000" w:themeColor="text1"/>
          <w:lang w:val="es-PR"/>
        </w:rPr>
        <w:tab/>
      </w:r>
      <w:r w:rsidR="00C54AD6" w:rsidRPr="001711E6">
        <w:rPr>
          <w:rFonts w:ascii="Book Antiqua" w:eastAsia="Book Antiqua" w:hAnsi="Book Antiqua" w:cs="Book Antiqua"/>
          <w:color w:val="000000" w:themeColor="text1"/>
          <w:lang w:val="es-PR"/>
        </w:rPr>
        <w:t>Asamblea</w:t>
      </w:r>
      <w:r w:rsidR="00C54AD6" w:rsidRPr="001711E6">
        <w:rPr>
          <w:rFonts w:ascii="Book Antiqua" w:eastAsia="Book Antiqua" w:hAnsi="Book Antiqua" w:cs="Book Antiqua"/>
          <w:color w:val="000000" w:themeColor="text1"/>
          <w:lang w:val="es-PR"/>
        </w:rPr>
        <w:tab/>
      </w:r>
      <w:r w:rsidR="00451AB6">
        <w:rPr>
          <w:rFonts w:ascii="Book Antiqua" w:eastAsia="Book Antiqua" w:hAnsi="Book Antiqua" w:cs="Book Antiqua"/>
          <w:color w:val="000000" w:themeColor="text1"/>
          <w:lang w:val="es-PR"/>
        </w:rPr>
        <w:t>3</w:t>
      </w:r>
      <w:r w:rsidR="006639CB">
        <w:rPr>
          <w:rFonts w:ascii="Book Antiqua" w:eastAsia="Book Antiqua" w:hAnsi="Book Antiqua" w:cs="Book Antiqua"/>
          <w:color w:val="000000" w:themeColor="text1"/>
          <w:lang w:val="es-PR"/>
        </w:rPr>
        <w:t>.</w:t>
      </w:r>
      <w:r w:rsidR="0038510E" w:rsidRPr="001711E6">
        <w:rPr>
          <w:rFonts w:ascii="Book Antiqua" w:eastAsia="Book Antiqua" w:hAnsi="Book Antiqua" w:cs="Book Antiqua"/>
          <w:color w:val="000000" w:themeColor="text1"/>
          <w:vertAlign w:val="superscript"/>
          <w:lang w:val="es-PR"/>
        </w:rPr>
        <w:t>a</w:t>
      </w:r>
      <w:r w:rsidR="0038510E" w:rsidRPr="001711E6">
        <w:rPr>
          <w:rFonts w:ascii="Book Antiqua" w:eastAsia="Book Antiqua" w:hAnsi="Book Antiqua" w:cs="Book Antiqua"/>
          <w:color w:val="000000" w:themeColor="text1"/>
          <w:lang w:val="es-PR"/>
        </w:rPr>
        <w:t xml:space="preserve"> </w:t>
      </w:r>
      <w:r w:rsidR="00596033">
        <w:rPr>
          <w:rFonts w:ascii="Book Antiqua" w:eastAsia="Book Antiqua" w:hAnsi="Book Antiqua" w:cs="Book Antiqua"/>
          <w:color w:val="000000" w:themeColor="text1"/>
          <w:lang w:val="es-PR"/>
        </w:rPr>
        <w:tab/>
      </w:r>
      <w:r w:rsidR="0038510E" w:rsidRPr="001711E6">
        <w:rPr>
          <w:rFonts w:ascii="Book Antiqua" w:eastAsia="Book Antiqua" w:hAnsi="Book Antiqua" w:cs="Book Antiqua"/>
          <w:color w:val="000000" w:themeColor="text1"/>
          <w:lang w:val="es-PR"/>
        </w:rPr>
        <w:t>Sesión</w:t>
      </w:r>
    </w:p>
    <w:p w14:paraId="703FA46E" w14:textId="397C8F29" w:rsidR="00DF7D86" w:rsidRPr="001711E6" w:rsidRDefault="0038510E">
      <w:pPr>
        <w:tabs>
          <w:tab w:val="left" w:pos="720"/>
          <w:tab w:val="left" w:pos="4215"/>
          <w:tab w:val="left" w:pos="5160"/>
          <w:tab w:val="left" w:pos="8100"/>
        </w:tabs>
        <w:rPr>
          <w:rFonts w:ascii="Book Antiqua" w:eastAsia="Book Antiqua" w:hAnsi="Book Antiqua" w:cs="Book Antiqua"/>
          <w:color w:val="000000" w:themeColor="text1"/>
          <w:lang w:val="es-PR"/>
        </w:rPr>
      </w:pPr>
      <w:r w:rsidRPr="001711E6">
        <w:rPr>
          <w:rFonts w:ascii="Book Antiqua" w:eastAsia="Book Antiqua" w:hAnsi="Book Antiqua" w:cs="Book Antiqua"/>
          <w:color w:val="000000" w:themeColor="text1"/>
          <w:lang w:val="es-PR"/>
        </w:rPr>
        <w:tab/>
        <w:t>Legislativa</w:t>
      </w:r>
      <w:r w:rsidRPr="001711E6">
        <w:rPr>
          <w:rFonts w:ascii="Book Antiqua" w:eastAsia="Book Antiqua" w:hAnsi="Book Antiqua" w:cs="Book Antiqua"/>
          <w:color w:val="000000" w:themeColor="text1"/>
          <w:lang w:val="es-PR"/>
        </w:rPr>
        <w:tab/>
      </w:r>
      <w:r w:rsidRPr="001711E6">
        <w:rPr>
          <w:rFonts w:ascii="Book Antiqua" w:eastAsia="Book Antiqua" w:hAnsi="Book Antiqua" w:cs="Book Antiqua"/>
          <w:color w:val="000000" w:themeColor="text1"/>
          <w:lang w:val="es-PR"/>
        </w:rPr>
        <w:tab/>
      </w:r>
      <w:r w:rsidR="00596033">
        <w:rPr>
          <w:rFonts w:ascii="Book Antiqua" w:eastAsia="Book Antiqua" w:hAnsi="Book Antiqua" w:cs="Book Antiqua"/>
          <w:color w:val="000000" w:themeColor="text1"/>
          <w:lang w:val="es-PR"/>
        </w:rPr>
        <w:tab/>
      </w:r>
      <w:r w:rsidRPr="001711E6">
        <w:rPr>
          <w:rFonts w:ascii="Book Antiqua" w:eastAsia="Book Antiqua" w:hAnsi="Book Antiqua" w:cs="Book Antiqua"/>
          <w:color w:val="000000" w:themeColor="text1"/>
          <w:lang w:val="es-PR"/>
        </w:rPr>
        <w:t>Ordinaria</w:t>
      </w:r>
    </w:p>
    <w:p w14:paraId="5493F33C" w14:textId="77777777" w:rsidR="00DF7D86" w:rsidRPr="001711E6" w:rsidRDefault="00DF7D86">
      <w:pPr>
        <w:spacing w:line="360" w:lineRule="auto"/>
        <w:jc w:val="center"/>
        <w:rPr>
          <w:rFonts w:ascii="Book Antiqua" w:eastAsia="Book Antiqua" w:hAnsi="Book Antiqua" w:cs="Book Antiqua"/>
          <w:b/>
          <w:color w:val="000000" w:themeColor="text1"/>
          <w:sz w:val="36"/>
          <w:szCs w:val="36"/>
          <w:lang w:val="es-PR"/>
        </w:rPr>
      </w:pPr>
    </w:p>
    <w:p w14:paraId="4AE730EB" w14:textId="77777777" w:rsidR="00DF7D86" w:rsidRPr="00250E7B" w:rsidRDefault="0038510E">
      <w:pPr>
        <w:spacing w:line="360" w:lineRule="auto"/>
        <w:jc w:val="center"/>
        <w:rPr>
          <w:rFonts w:ascii="Book Antiqua" w:eastAsia="Book Antiqua" w:hAnsi="Book Antiqua" w:cs="Book Antiqua"/>
          <w:b/>
          <w:color w:val="000000" w:themeColor="text1"/>
          <w:spacing w:val="12"/>
          <w:sz w:val="36"/>
          <w:szCs w:val="36"/>
          <w:lang w:val="es-PR"/>
        </w:rPr>
      </w:pPr>
      <w:r w:rsidRPr="00250E7B">
        <w:rPr>
          <w:rFonts w:ascii="Book Antiqua" w:eastAsia="Book Antiqua" w:hAnsi="Book Antiqua" w:cs="Book Antiqua"/>
          <w:b/>
          <w:color w:val="000000" w:themeColor="text1"/>
          <w:spacing w:val="12"/>
          <w:sz w:val="36"/>
          <w:szCs w:val="36"/>
          <w:lang w:val="es-PR"/>
        </w:rPr>
        <w:t>CÁMARA DE REPRESENTANTES</w:t>
      </w:r>
    </w:p>
    <w:p w14:paraId="224C8555" w14:textId="59BCF358" w:rsidR="00DF7D86" w:rsidRPr="001711E6" w:rsidRDefault="00611979">
      <w:pPr>
        <w:spacing w:line="360" w:lineRule="auto"/>
        <w:jc w:val="center"/>
        <w:rPr>
          <w:rFonts w:ascii="Book Antiqua" w:eastAsia="Book Antiqua" w:hAnsi="Book Antiqua" w:cs="Book Antiqua"/>
          <w:b/>
          <w:color w:val="000000" w:themeColor="text1"/>
          <w:sz w:val="52"/>
          <w:szCs w:val="52"/>
          <w:lang w:val="es-PR"/>
        </w:rPr>
      </w:pPr>
      <w:r w:rsidRPr="001711E6">
        <w:rPr>
          <w:rFonts w:ascii="Book Antiqua" w:eastAsia="Book Antiqua" w:hAnsi="Book Antiqua" w:cs="Book Antiqua"/>
          <w:b/>
          <w:color w:val="000000" w:themeColor="text1"/>
          <w:sz w:val="52"/>
          <w:szCs w:val="52"/>
          <w:lang w:val="es-PR"/>
        </w:rPr>
        <w:t xml:space="preserve">P. de la C. </w:t>
      </w:r>
      <w:r w:rsidR="00451AB6">
        <w:rPr>
          <w:rFonts w:ascii="Book Antiqua" w:eastAsia="Book Antiqua" w:hAnsi="Book Antiqua" w:cs="Book Antiqua"/>
          <w:b/>
          <w:color w:val="000000" w:themeColor="text1"/>
          <w:sz w:val="52"/>
          <w:szCs w:val="52"/>
          <w:lang w:val="es-PR"/>
        </w:rPr>
        <w:t>679</w:t>
      </w:r>
    </w:p>
    <w:p w14:paraId="6CA3DF2C" w14:textId="2A3934BA" w:rsidR="00DF7D86" w:rsidRPr="00A94F9A" w:rsidRDefault="0038510E">
      <w:pPr>
        <w:spacing w:line="360" w:lineRule="auto"/>
        <w:jc w:val="center"/>
        <w:rPr>
          <w:rFonts w:ascii="Book Antiqua" w:eastAsia="Book Antiqua" w:hAnsi="Book Antiqua" w:cs="Book Antiqua"/>
          <w:bCs/>
          <w:color w:val="000000" w:themeColor="text1"/>
          <w:spacing w:val="12"/>
          <w:sz w:val="28"/>
          <w:szCs w:val="28"/>
          <w:lang w:val="es-PR"/>
        </w:rPr>
      </w:pPr>
      <w:r w:rsidRPr="00A94F9A">
        <w:rPr>
          <w:rFonts w:ascii="Book Antiqua" w:eastAsia="Book Antiqua" w:hAnsi="Book Antiqua" w:cs="Book Antiqua"/>
          <w:bCs/>
          <w:color w:val="000000" w:themeColor="text1"/>
          <w:spacing w:val="12"/>
          <w:sz w:val="28"/>
          <w:szCs w:val="28"/>
          <w:lang w:val="es-PR"/>
        </w:rPr>
        <w:t>INFORME</w:t>
      </w:r>
      <w:r w:rsidR="00451AB6" w:rsidRPr="00A94F9A">
        <w:rPr>
          <w:rFonts w:ascii="Book Antiqua" w:eastAsia="Book Antiqua" w:hAnsi="Book Antiqua" w:cs="Book Antiqua"/>
          <w:bCs/>
          <w:color w:val="000000" w:themeColor="text1"/>
          <w:spacing w:val="12"/>
          <w:sz w:val="28"/>
          <w:szCs w:val="28"/>
          <w:lang w:val="es-PR"/>
        </w:rPr>
        <w:t xml:space="preserve"> NEGATIVO</w:t>
      </w:r>
    </w:p>
    <w:p w14:paraId="65B59E42" w14:textId="2056AFC3" w:rsidR="00DF7D86" w:rsidRPr="001711E6" w:rsidRDefault="002219CD" w:rsidP="00250E7B">
      <w:pPr>
        <w:spacing w:after="240" w:line="360" w:lineRule="auto"/>
        <w:jc w:val="center"/>
        <w:rPr>
          <w:rFonts w:ascii="Book Antiqua" w:eastAsia="Book Antiqua" w:hAnsi="Book Antiqua" w:cs="Book Antiqua"/>
          <w:b/>
          <w:color w:val="000000" w:themeColor="text1"/>
          <w:lang w:val="es-PR"/>
        </w:rPr>
      </w:pPr>
      <w:r>
        <w:rPr>
          <w:rFonts w:ascii="Book Antiqua" w:eastAsia="Book Antiqua" w:hAnsi="Book Antiqua" w:cs="Book Antiqua"/>
          <w:color w:val="000000" w:themeColor="text1"/>
          <w:lang w:val="es-PR"/>
        </w:rPr>
        <w:t xml:space="preserve">13 </w:t>
      </w:r>
      <w:r w:rsidR="0038510E" w:rsidRPr="001711E6">
        <w:rPr>
          <w:rFonts w:ascii="Book Antiqua" w:eastAsia="Book Antiqua" w:hAnsi="Book Antiqua" w:cs="Book Antiqua"/>
          <w:color w:val="000000" w:themeColor="text1"/>
          <w:lang w:val="es-PR"/>
        </w:rPr>
        <w:t xml:space="preserve">de </w:t>
      </w:r>
      <w:r w:rsidR="00451AB6">
        <w:rPr>
          <w:rFonts w:ascii="Book Antiqua" w:eastAsia="Book Antiqua" w:hAnsi="Book Antiqua" w:cs="Book Antiqua"/>
          <w:color w:val="000000" w:themeColor="text1"/>
          <w:lang w:val="es-PR"/>
        </w:rPr>
        <w:t>ener</w:t>
      </w:r>
      <w:r w:rsidR="00383A2A">
        <w:rPr>
          <w:rFonts w:ascii="Book Antiqua" w:eastAsia="Book Antiqua" w:hAnsi="Book Antiqua" w:cs="Book Antiqua"/>
          <w:color w:val="000000" w:themeColor="text1"/>
          <w:lang w:val="es-PR"/>
        </w:rPr>
        <w:t>o</w:t>
      </w:r>
      <w:r w:rsidR="00C54AD6" w:rsidRPr="001711E6">
        <w:rPr>
          <w:rFonts w:ascii="Book Antiqua" w:eastAsia="Book Antiqua" w:hAnsi="Book Antiqua" w:cs="Book Antiqua"/>
          <w:color w:val="000000" w:themeColor="text1"/>
          <w:lang w:val="es-PR"/>
        </w:rPr>
        <w:t xml:space="preserve"> de 202</w:t>
      </w:r>
      <w:r w:rsidR="00451AB6">
        <w:rPr>
          <w:rFonts w:ascii="Book Antiqua" w:eastAsia="Book Antiqua" w:hAnsi="Book Antiqua" w:cs="Book Antiqua"/>
          <w:color w:val="000000" w:themeColor="text1"/>
          <w:lang w:val="es-PR"/>
        </w:rPr>
        <w:t>6</w:t>
      </w:r>
    </w:p>
    <w:p w14:paraId="2714CB15" w14:textId="67A8F709" w:rsidR="00DF7D86" w:rsidRPr="00A94F9A" w:rsidRDefault="0038510E" w:rsidP="00CD1379">
      <w:pPr>
        <w:spacing w:after="240"/>
        <w:jc w:val="both"/>
        <w:rPr>
          <w:rFonts w:ascii="Book Antiqua" w:eastAsia="Book Antiqua" w:hAnsi="Book Antiqua" w:cs="Book Antiqua"/>
          <w:bCs/>
          <w:color w:val="000000" w:themeColor="text1"/>
          <w:spacing w:val="12"/>
          <w:lang w:val="es-PR"/>
        </w:rPr>
      </w:pPr>
      <w:r w:rsidRPr="00A94F9A">
        <w:rPr>
          <w:rFonts w:ascii="Book Antiqua" w:eastAsia="Book Antiqua" w:hAnsi="Book Antiqua" w:cs="Book Antiqua"/>
          <w:bCs/>
          <w:color w:val="000000" w:themeColor="text1"/>
          <w:spacing w:val="12"/>
          <w:lang w:val="es-PR"/>
        </w:rPr>
        <w:t>A LA CÁMARA DE REPRESENTANTES DE PUERTO RICO</w:t>
      </w:r>
    </w:p>
    <w:p w14:paraId="48CACF04" w14:textId="635B5E68" w:rsidR="00DF7D86" w:rsidRPr="00CD1379" w:rsidRDefault="00F169E1" w:rsidP="00CD1379">
      <w:pPr>
        <w:spacing w:after="240" w:line="288" w:lineRule="auto"/>
        <w:ind w:firstLine="720"/>
        <w:jc w:val="both"/>
        <w:rPr>
          <w:rFonts w:ascii="Book Antiqua" w:hAnsi="Book Antiqua"/>
          <w:szCs w:val="24"/>
          <w:lang w:val="es-ES_tradnl"/>
        </w:rPr>
      </w:pPr>
      <w:r w:rsidRPr="00CD1379">
        <w:rPr>
          <w:rFonts w:ascii="Book Antiqua" w:hAnsi="Book Antiqua"/>
          <w:szCs w:val="24"/>
          <w:lang w:val="es-ES_tradnl"/>
        </w:rPr>
        <w:t>L</w:t>
      </w:r>
      <w:r w:rsidR="007B257D" w:rsidRPr="00CD1379">
        <w:rPr>
          <w:rFonts w:ascii="Book Antiqua" w:hAnsi="Book Antiqua"/>
          <w:szCs w:val="24"/>
          <w:lang w:val="es-ES_tradnl"/>
        </w:rPr>
        <w:t>a</w:t>
      </w:r>
      <w:r w:rsidR="0038510E" w:rsidRPr="00CD1379">
        <w:rPr>
          <w:rFonts w:ascii="Book Antiqua" w:hAnsi="Book Antiqua"/>
          <w:szCs w:val="24"/>
          <w:lang w:val="es-ES_tradnl"/>
        </w:rPr>
        <w:t xml:space="preserve"> Comisión </w:t>
      </w:r>
      <w:r w:rsidR="00B45797" w:rsidRPr="00CD1379">
        <w:rPr>
          <w:rFonts w:ascii="Book Antiqua" w:hAnsi="Book Antiqua"/>
          <w:szCs w:val="24"/>
          <w:lang w:val="es-ES_tradnl"/>
        </w:rPr>
        <w:t xml:space="preserve">de </w:t>
      </w:r>
      <w:r w:rsidR="001711E6" w:rsidRPr="00CD1379">
        <w:rPr>
          <w:rFonts w:ascii="Book Antiqua" w:hAnsi="Book Antiqua"/>
          <w:szCs w:val="24"/>
          <w:lang w:val="es-ES_tradnl"/>
        </w:rPr>
        <w:t>l</w:t>
      </w:r>
      <w:r w:rsidR="001015D5" w:rsidRPr="00CD1379">
        <w:rPr>
          <w:rFonts w:ascii="Book Antiqua" w:hAnsi="Book Antiqua"/>
          <w:szCs w:val="24"/>
          <w:lang w:val="es-ES_tradnl"/>
        </w:rPr>
        <w:t xml:space="preserve">o Jurídico </w:t>
      </w:r>
      <w:r w:rsidR="0038510E" w:rsidRPr="00CD1379">
        <w:rPr>
          <w:rFonts w:ascii="Book Antiqua" w:hAnsi="Book Antiqua"/>
          <w:szCs w:val="24"/>
          <w:lang w:val="es-ES_tradnl"/>
        </w:rPr>
        <w:t>de la Cámara de Representantes</w:t>
      </w:r>
      <w:r w:rsidR="007B257D" w:rsidRPr="00CD1379">
        <w:rPr>
          <w:rFonts w:ascii="Book Antiqua" w:hAnsi="Book Antiqua"/>
          <w:szCs w:val="24"/>
          <w:lang w:val="es-ES_tradnl"/>
        </w:rPr>
        <w:t xml:space="preserve"> del </w:t>
      </w:r>
      <w:r w:rsidR="00B45797" w:rsidRPr="00CD1379">
        <w:rPr>
          <w:rFonts w:ascii="Book Antiqua" w:hAnsi="Book Antiqua"/>
          <w:szCs w:val="24"/>
          <w:lang w:val="es-ES_tradnl"/>
        </w:rPr>
        <w:t>Gobierno</w:t>
      </w:r>
      <w:r w:rsidR="007B257D" w:rsidRPr="00CD1379">
        <w:rPr>
          <w:rFonts w:ascii="Book Antiqua" w:hAnsi="Book Antiqua"/>
          <w:szCs w:val="24"/>
          <w:lang w:val="es-ES_tradnl"/>
        </w:rPr>
        <w:t xml:space="preserve"> de Puerto Rico</w:t>
      </w:r>
      <w:r w:rsidR="0038510E" w:rsidRPr="00CD1379">
        <w:rPr>
          <w:rFonts w:ascii="Book Antiqua" w:hAnsi="Book Antiqua"/>
          <w:szCs w:val="24"/>
          <w:lang w:val="es-ES_tradnl"/>
        </w:rPr>
        <w:t>, previo estudio y c</w:t>
      </w:r>
      <w:r w:rsidR="00611979" w:rsidRPr="00CD1379">
        <w:rPr>
          <w:rFonts w:ascii="Book Antiqua" w:hAnsi="Book Antiqua"/>
          <w:szCs w:val="24"/>
          <w:lang w:val="es-ES_tradnl"/>
        </w:rPr>
        <w:t>onsideración del P</w:t>
      </w:r>
      <w:r w:rsidR="00954C22" w:rsidRPr="00CD1379">
        <w:rPr>
          <w:rFonts w:ascii="Book Antiqua" w:hAnsi="Book Antiqua"/>
          <w:szCs w:val="24"/>
          <w:lang w:val="es-ES_tradnl"/>
        </w:rPr>
        <w:t>royecto</w:t>
      </w:r>
      <w:r w:rsidR="00611979" w:rsidRPr="00CD1379">
        <w:rPr>
          <w:rFonts w:ascii="Book Antiqua" w:hAnsi="Book Antiqua"/>
          <w:szCs w:val="24"/>
          <w:lang w:val="es-ES_tradnl"/>
        </w:rPr>
        <w:t xml:space="preserve"> de la C</w:t>
      </w:r>
      <w:r w:rsidR="00954C22" w:rsidRPr="00CD1379">
        <w:rPr>
          <w:rFonts w:ascii="Book Antiqua" w:hAnsi="Book Antiqua"/>
          <w:szCs w:val="24"/>
          <w:lang w:val="es-ES_tradnl"/>
        </w:rPr>
        <w:t xml:space="preserve">ámara </w:t>
      </w:r>
      <w:r w:rsidR="00451AB6" w:rsidRPr="00CD1379">
        <w:rPr>
          <w:rFonts w:ascii="Book Antiqua" w:hAnsi="Book Antiqua"/>
          <w:szCs w:val="24"/>
          <w:lang w:val="es-ES_tradnl"/>
        </w:rPr>
        <w:t>679</w:t>
      </w:r>
      <w:r w:rsidR="00383A2A" w:rsidRPr="00CD1379">
        <w:rPr>
          <w:rFonts w:ascii="Book Antiqua" w:hAnsi="Book Antiqua"/>
          <w:szCs w:val="24"/>
          <w:lang w:val="es-ES_tradnl"/>
        </w:rPr>
        <w:t xml:space="preserve"> </w:t>
      </w:r>
      <w:r w:rsidR="00A22725" w:rsidRPr="00CD1379">
        <w:rPr>
          <w:rFonts w:ascii="Book Antiqua" w:hAnsi="Book Antiqua"/>
          <w:szCs w:val="24"/>
          <w:lang w:val="es-ES_tradnl"/>
        </w:rPr>
        <w:t xml:space="preserve">(P. de la C. </w:t>
      </w:r>
      <w:r w:rsidR="00451AB6" w:rsidRPr="00CD1379">
        <w:rPr>
          <w:rFonts w:ascii="Book Antiqua" w:hAnsi="Book Antiqua"/>
          <w:szCs w:val="24"/>
          <w:lang w:val="es-ES_tradnl"/>
        </w:rPr>
        <w:t>679</w:t>
      </w:r>
      <w:r w:rsidR="00A22725" w:rsidRPr="00CD1379">
        <w:rPr>
          <w:rFonts w:ascii="Book Antiqua" w:hAnsi="Book Antiqua"/>
          <w:szCs w:val="24"/>
          <w:lang w:val="es-ES_tradnl"/>
        </w:rPr>
        <w:t>)</w:t>
      </w:r>
      <w:r w:rsidR="00900740" w:rsidRPr="00CD1379">
        <w:rPr>
          <w:rFonts w:ascii="Book Antiqua" w:hAnsi="Book Antiqua"/>
          <w:szCs w:val="24"/>
          <w:lang w:val="es-ES_tradnl"/>
        </w:rPr>
        <w:t>,</w:t>
      </w:r>
      <w:r w:rsidR="0038510E" w:rsidRPr="00CD1379">
        <w:rPr>
          <w:rFonts w:ascii="Book Antiqua" w:hAnsi="Book Antiqua"/>
          <w:szCs w:val="24"/>
          <w:lang w:val="es-ES_tradnl"/>
        </w:rPr>
        <w:t xml:space="preserve"> </w:t>
      </w:r>
      <w:r w:rsidR="00451AB6" w:rsidRPr="00CD1379">
        <w:rPr>
          <w:rFonts w:ascii="Book Antiqua" w:hAnsi="Book Antiqua"/>
          <w:szCs w:val="24"/>
          <w:lang w:val="es-ES_tradnl"/>
        </w:rPr>
        <w:t xml:space="preserve">no </w:t>
      </w:r>
      <w:r w:rsidR="00D93990" w:rsidRPr="00CD1379">
        <w:rPr>
          <w:rFonts w:ascii="Book Antiqua" w:hAnsi="Book Antiqua"/>
          <w:szCs w:val="24"/>
          <w:lang w:val="es-ES_tradnl"/>
        </w:rPr>
        <w:t>recom</w:t>
      </w:r>
      <w:r w:rsidR="00250E7B" w:rsidRPr="00CD1379">
        <w:rPr>
          <w:rFonts w:ascii="Book Antiqua" w:hAnsi="Book Antiqua"/>
          <w:szCs w:val="24"/>
          <w:lang w:val="es-ES_tradnl"/>
        </w:rPr>
        <w:t>i</w:t>
      </w:r>
      <w:r w:rsidR="00D93990" w:rsidRPr="00CD1379">
        <w:rPr>
          <w:rFonts w:ascii="Book Antiqua" w:hAnsi="Book Antiqua"/>
          <w:szCs w:val="24"/>
          <w:lang w:val="es-ES_tradnl"/>
        </w:rPr>
        <w:t xml:space="preserve">enda su </w:t>
      </w:r>
      <w:r w:rsidR="007B257D" w:rsidRPr="00CD1379">
        <w:rPr>
          <w:rFonts w:ascii="Book Antiqua" w:hAnsi="Book Antiqua"/>
          <w:szCs w:val="24"/>
          <w:lang w:val="es-ES_tradnl"/>
        </w:rPr>
        <w:t>aprobación</w:t>
      </w:r>
      <w:r w:rsidR="00451AB6" w:rsidRPr="00CD1379">
        <w:rPr>
          <w:rFonts w:ascii="Book Antiqua" w:hAnsi="Book Antiqua"/>
          <w:szCs w:val="24"/>
          <w:lang w:val="es-ES_tradnl"/>
        </w:rPr>
        <w:t>. A continuación, exponemos las razones de nuestra recomendación</w:t>
      </w:r>
      <w:r w:rsidR="00B55DDB" w:rsidRPr="00CD1379">
        <w:rPr>
          <w:rFonts w:ascii="Book Antiqua" w:hAnsi="Book Antiqua"/>
          <w:szCs w:val="24"/>
          <w:lang w:val="es-ES_tradnl"/>
        </w:rPr>
        <w:t xml:space="preserve">. </w:t>
      </w:r>
      <w:r w:rsidR="0038510E" w:rsidRPr="00CD1379">
        <w:rPr>
          <w:rFonts w:ascii="Book Antiqua" w:hAnsi="Book Antiqua"/>
          <w:szCs w:val="24"/>
          <w:lang w:val="es-ES_tradnl"/>
        </w:rPr>
        <w:t xml:space="preserve"> </w:t>
      </w:r>
    </w:p>
    <w:p w14:paraId="00C5E8B9" w14:textId="77777777" w:rsidR="003B38A4" w:rsidRPr="00CD1379" w:rsidRDefault="003B38A4" w:rsidP="006116B9">
      <w:pPr>
        <w:spacing w:after="240"/>
        <w:jc w:val="center"/>
        <w:rPr>
          <w:rFonts w:ascii="Book Antiqua" w:eastAsia="Book Antiqua" w:hAnsi="Book Antiqua" w:cs="Book Antiqua"/>
          <w:color w:val="000000" w:themeColor="text1"/>
          <w:spacing w:val="12"/>
          <w:lang w:val="es-PR"/>
        </w:rPr>
      </w:pPr>
      <w:r w:rsidRPr="00CD1379">
        <w:rPr>
          <w:rFonts w:ascii="Book Antiqua" w:eastAsia="Book Antiqua" w:hAnsi="Book Antiqua" w:cs="Book Antiqua"/>
          <w:color w:val="000000" w:themeColor="text1"/>
          <w:spacing w:val="12"/>
          <w:lang w:val="es-PR"/>
        </w:rPr>
        <w:t>ALCANCE DE LA MEDIDA</w:t>
      </w:r>
    </w:p>
    <w:p w14:paraId="60451303" w14:textId="6E785837" w:rsidR="001015D5" w:rsidRDefault="003B38A4" w:rsidP="00250E7B">
      <w:pPr>
        <w:spacing w:line="288" w:lineRule="auto"/>
        <w:ind w:firstLine="720"/>
        <w:jc w:val="both"/>
        <w:rPr>
          <w:rFonts w:ascii="Book Antiqua" w:hAnsi="Book Antiqua"/>
          <w:szCs w:val="24"/>
          <w:lang w:val="es-ES_tradnl"/>
        </w:rPr>
      </w:pPr>
      <w:r w:rsidRPr="001711E6">
        <w:rPr>
          <w:rFonts w:ascii="Book Antiqua" w:eastAsia="Book Antiqua" w:hAnsi="Book Antiqua" w:cs="Book Antiqua"/>
          <w:color w:val="000000" w:themeColor="text1"/>
          <w:lang w:val="es-PR"/>
        </w:rPr>
        <w:t xml:space="preserve">El </w:t>
      </w:r>
      <w:r w:rsidR="00851E49" w:rsidRPr="001711E6">
        <w:rPr>
          <w:rFonts w:ascii="Book Antiqua" w:eastAsia="Book Antiqua" w:hAnsi="Book Antiqua" w:cs="Book Antiqua"/>
          <w:color w:val="000000" w:themeColor="text1"/>
          <w:lang w:val="es-PR"/>
        </w:rPr>
        <w:t>P</w:t>
      </w:r>
      <w:r w:rsidR="00382AD9">
        <w:rPr>
          <w:rFonts w:ascii="Book Antiqua" w:eastAsia="Book Antiqua" w:hAnsi="Book Antiqua" w:cs="Book Antiqua"/>
          <w:color w:val="000000" w:themeColor="text1"/>
          <w:lang w:val="es-PR"/>
        </w:rPr>
        <w:t xml:space="preserve">. de la C. </w:t>
      </w:r>
      <w:r w:rsidR="00451AB6">
        <w:rPr>
          <w:rFonts w:ascii="Book Antiqua" w:eastAsia="Book Antiqua" w:hAnsi="Book Antiqua" w:cs="Book Antiqua"/>
          <w:color w:val="000000" w:themeColor="text1"/>
          <w:lang w:val="es-PR"/>
        </w:rPr>
        <w:t>679</w:t>
      </w:r>
      <w:r w:rsidRPr="001711E6">
        <w:rPr>
          <w:rFonts w:ascii="Book Antiqua" w:eastAsia="Book Antiqua" w:hAnsi="Book Antiqua" w:cs="Book Antiqua"/>
          <w:color w:val="000000" w:themeColor="text1"/>
          <w:lang w:val="es-PR"/>
        </w:rPr>
        <w:t xml:space="preserve"> tiene</w:t>
      </w:r>
      <w:r w:rsidR="00954C22">
        <w:rPr>
          <w:rFonts w:ascii="Book Antiqua" w:eastAsia="Book Antiqua" w:hAnsi="Book Antiqua" w:cs="Book Antiqua"/>
          <w:color w:val="000000" w:themeColor="text1"/>
          <w:lang w:val="es-PR"/>
        </w:rPr>
        <w:t xml:space="preserve"> como </w:t>
      </w:r>
      <w:r w:rsidR="00633335">
        <w:rPr>
          <w:rFonts w:ascii="Book Antiqua" w:eastAsia="Book Antiqua" w:hAnsi="Book Antiqua" w:cs="Book Antiqua"/>
          <w:color w:val="000000" w:themeColor="text1"/>
          <w:lang w:val="es-PR"/>
        </w:rPr>
        <w:t>propósito</w:t>
      </w:r>
      <w:r w:rsidR="00A22725">
        <w:rPr>
          <w:rFonts w:ascii="Book Antiqua" w:eastAsia="Book Antiqua" w:hAnsi="Book Antiqua" w:cs="Book Antiqua"/>
          <w:color w:val="000000" w:themeColor="text1"/>
          <w:lang w:val="es-PR"/>
        </w:rPr>
        <w:t xml:space="preserve"> </w:t>
      </w:r>
      <w:r w:rsidR="00451AB6">
        <w:rPr>
          <w:rFonts w:ascii="Book Antiqua" w:hAnsi="Book Antiqua"/>
          <w:szCs w:val="24"/>
          <w:lang w:val="es-ES_tradnl"/>
        </w:rPr>
        <w:t xml:space="preserve">enmendar los artículos </w:t>
      </w:r>
      <w:r w:rsidR="00451AB6" w:rsidRPr="00A12AF0">
        <w:rPr>
          <w:rFonts w:ascii="Book Antiqua" w:hAnsi="Book Antiqua"/>
          <w:szCs w:val="24"/>
          <w:lang w:val="es-ES_tradnl"/>
        </w:rPr>
        <w:t>8</w:t>
      </w:r>
      <w:r w:rsidR="00451AB6">
        <w:rPr>
          <w:rFonts w:ascii="Book Antiqua" w:hAnsi="Book Antiqua"/>
          <w:szCs w:val="24"/>
          <w:lang w:val="es-ES_tradnl"/>
        </w:rPr>
        <w:t xml:space="preserve"> y 15</w:t>
      </w:r>
      <w:r w:rsidR="00451AB6" w:rsidRPr="00A12AF0">
        <w:rPr>
          <w:rFonts w:ascii="Book Antiqua" w:hAnsi="Book Antiqua"/>
          <w:szCs w:val="24"/>
          <w:lang w:val="es-ES_tradnl"/>
        </w:rPr>
        <w:t xml:space="preserve"> de la Ley</w:t>
      </w:r>
      <w:r w:rsidR="00CD1379">
        <w:rPr>
          <w:rFonts w:ascii="Book Antiqua" w:hAnsi="Book Antiqua"/>
          <w:szCs w:val="24"/>
          <w:lang w:val="es-ES_tradnl"/>
        </w:rPr>
        <w:t xml:space="preserve"> Núm.</w:t>
      </w:r>
      <w:r w:rsidR="00451AB6" w:rsidRPr="00A12AF0">
        <w:rPr>
          <w:rFonts w:ascii="Book Antiqua" w:hAnsi="Book Antiqua"/>
          <w:szCs w:val="24"/>
          <w:lang w:val="es-ES_tradnl"/>
        </w:rPr>
        <w:t xml:space="preserve"> 119-2011, según enmendada,</w:t>
      </w:r>
      <w:r w:rsidR="00A11747">
        <w:rPr>
          <w:rStyle w:val="FootnoteReference"/>
          <w:rFonts w:ascii="Book Antiqua" w:hAnsi="Book Antiqua"/>
          <w:szCs w:val="24"/>
          <w:lang w:val="es-ES_tradnl"/>
        </w:rPr>
        <w:footnoteReference w:id="2"/>
      </w:r>
      <w:r w:rsidR="00451AB6" w:rsidRPr="00A12AF0">
        <w:rPr>
          <w:rFonts w:ascii="Book Antiqua" w:hAnsi="Book Antiqua"/>
          <w:szCs w:val="24"/>
          <w:lang w:val="es-ES_tradnl"/>
        </w:rPr>
        <w:t xml:space="preserve"> a los fines de establecer que</w:t>
      </w:r>
      <w:r w:rsidR="00541E61">
        <w:rPr>
          <w:rFonts w:ascii="Book Antiqua" w:hAnsi="Book Antiqua"/>
          <w:szCs w:val="24"/>
          <w:lang w:val="es-ES_tradnl"/>
        </w:rPr>
        <w:t>,</w:t>
      </w:r>
      <w:r w:rsidR="00451AB6" w:rsidRPr="00A12AF0">
        <w:rPr>
          <w:rFonts w:ascii="Book Antiqua" w:hAnsi="Book Antiqua"/>
          <w:szCs w:val="24"/>
          <w:lang w:val="es-ES_tradnl"/>
        </w:rPr>
        <w:t xml:space="preserve"> cuando la acción penal resulte en una absolución, el imputado resulte exonerado o si la posibilidad que tiene el </w:t>
      </w:r>
      <w:r w:rsidR="000338DE">
        <w:rPr>
          <w:rFonts w:ascii="Book Antiqua" w:eastAsia="Book Antiqua" w:hAnsi="Book Antiqua" w:cs="Book Antiqua"/>
          <w:color w:val="000000" w:themeColor="text1"/>
          <w:szCs w:val="24"/>
          <w:lang w:val="es-PR"/>
        </w:rPr>
        <w:t>Gobierno</w:t>
      </w:r>
      <w:r w:rsidR="00451AB6" w:rsidRPr="00A12AF0">
        <w:rPr>
          <w:rFonts w:ascii="Book Antiqua" w:hAnsi="Book Antiqua"/>
          <w:szCs w:val="24"/>
          <w:lang w:val="es-ES_tradnl"/>
        </w:rPr>
        <w:t xml:space="preserve"> para encausar al imputado de delito se extingue, se aplicará la doctrina de cosa juzgada y de impedimento colateral por sentencia en todo caso de confiscación relacionado a los mismos hechos</w:t>
      </w:r>
      <w:r w:rsidR="00A11747">
        <w:rPr>
          <w:rFonts w:ascii="Book Antiqua" w:hAnsi="Book Antiqua"/>
          <w:szCs w:val="24"/>
          <w:lang w:val="es-ES_tradnl"/>
        </w:rPr>
        <w:t>.</w:t>
      </w:r>
      <w:r w:rsidR="00451AB6">
        <w:rPr>
          <w:rStyle w:val="FootnoteReference"/>
          <w:rFonts w:ascii="Book Antiqua" w:hAnsi="Book Antiqua"/>
          <w:szCs w:val="24"/>
          <w:lang w:val="es-ES_tradnl"/>
        </w:rPr>
        <w:footnoteReference w:id="3"/>
      </w:r>
    </w:p>
    <w:p w14:paraId="3878CB1C" w14:textId="77777777" w:rsidR="00A11747" w:rsidRDefault="00A11747" w:rsidP="00250E7B">
      <w:pPr>
        <w:spacing w:line="288" w:lineRule="auto"/>
        <w:ind w:firstLine="720"/>
        <w:jc w:val="both"/>
        <w:rPr>
          <w:rFonts w:ascii="Book Antiqua" w:hAnsi="Book Antiqua"/>
          <w:szCs w:val="24"/>
          <w:lang w:val="es-ES_tradnl"/>
        </w:rPr>
      </w:pPr>
    </w:p>
    <w:p w14:paraId="4019D276" w14:textId="77777777" w:rsidR="00A11747" w:rsidRDefault="00A11747" w:rsidP="00250E7B">
      <w:pPr>
        <w:spacing w:line="288" w:lineRule="auto"/>
        <w:ind w:firstLine="720"/>
        <w:jc w:val="both"/>
        <w:rPr>
          <w:rFonts w:ascii="Book Antiqua" w:hAnsi="Book Antiqua"/>
          <w:szCs w:val="24"/>
          <w:lang w:val="es-ES_tradnl"/>
        </w:rPr>
      </w:pPr>
    </w:p>
    <w:p w14:paraId="765D2DBC" w14:textId="77777777" w:rsidR="00A11747" w:rsidRDefault="00A11747" w:rsidP="00250E7B">
      <w:pPr>
        <w:spacing w:line="288" w:lineRule="auto"/>
        <w:ind w:firstLine="720"/>
        <w:jc w:val="both"/>
        <w:rPr>
          <w:rFonts w:ascii="Book Antiqua" w:hAnsi="Book Antiqua"/>
          <w:szCs w:val="24"/>
          <w:lang w:val="es-ES_tradnl"/>
        </w:rPr>
      </w:pPr>
    </w:p>
    <w:p w14:paraId="37763E32" w14:textId="77777777" w:rsidR="00A11747" w:rsidRDefault="00A11747" w:rsidP="00250E7B">
      <w:pPr>
        <w:spacing w:line="288" w:lineRule="auto"/>
        <w:ind w:firstLine="720"/>
        <w:jc w:val="both"/>
        <w:rPr>
          <w:rFonts w:ascii="Book Antiqua" w:eastAsia="Book Antiqua" w:hAnsi="Book Antiqua" w:cs="Book Antiqua"/>
          <w:color w:val="000000" w:themeColor="text1"/>
          <w:lang w:val="es-PR"/>
        </w:rPr>
      </w:pPr>
    </w:p>
    <w:p w14:paraId="1EC43553" w14:textId="77777777" w:rsidR="00593200" w:rsidRDefault="00593200" w:rsidP="00AB70A8">
      <w:pPr>
        <w:spacing w:line="288" w:lineRule="auto"/>
        <w:ind w:firstLine="720"/>
        <w:jc w:val="both"/>
        <w:rPr>
          <w:rFonts w:ascii="Book Antiqua" w:eastAsia="Book Antiqua" w:hAnsi="Book Antiqua" w:cs="Book Antiqua"/>
          <w:color w:val="000000" w:themeColor="text1"/>
          <w:lang w:val="es-PR"/>
        </w:rPr>
      </w:pPr>
    </w:p>
    <w:p w14:paraId="0AF87D7C" w14:textId="77777777" w:rsidR="0032744F" w:rsidRDefault="0032744F" w:rsidP="00AB70A8">
      <w:pPr>
        <w:spacing w:line="288" w:lineRule="auto"/>
        <w:ind w:firstLine="720"/>
        <w:jc w:val="both"/>
        <w:rPr>
          <w:rFonts w:ascii="Book Antiqua" w:eastAsia="Book Antiqua" w:hAnsi="Book Antiqua" w:cs="Book Antiqua"/>
          <w:color w:val="000000" w:themeColor="text1"/>
          <w:lang w:val="es-PR"/>
        </w:rPr>
      </w:pPr>
    </w:p>
    <w:p w14:paraId="0B26FB88" w14:textId="102588A9" w:rsidR="00015228" w:rsidRDefault="003D38A5" w:rsidP="00AB70A8">
      <w:pPr>
        <w:spacing w:line="288" w:lineRule="auto"/>
        <w:ind w:firstLine="720"/>
        <w:jc w:val="both"/>
        <w:rPr>
          <w:rFonts w:ascii="Book Antiqua" w:eastAsia="Book Antiqua" w:hAnsi="Book Antiqua" w:cs="Book Antiqua"/>
          <w:b/>
          <w:bCs/>
          <w:color w:val="000000" w:themeColor="text1"/>
          <w:lang w:val="es-PR"/>
        </w:rPr>
      </w:pPr>
      <w:r>
        <w:rPr>
          <w:rFonts w:ascii="Book Antiqua" w:eastAsia="Book Antiqua" w:hAnsi="Book Antiqua" w:cs="Book Antiqua"/>
          <w:color w:val="000000" w:themeColor="text1"/>
          <w:lang w:val="es-PR"/>
        </w:rPr>
        <w:t>E</w:t>
      </w:r>
      <w:r w:rsidR="00383A2A">
        <w:rPr>
          <w:rFonts w:ascii="Book Antiqua" w:eastAsia="Book Antiqua" w:hAnsi="Book Antiqua" w:cs="Book Antiqua"/>
          <w:color w:val="000000" w:themeColor="text1"/>
          <w:lang w:val="es-PR"/>
        </w:rPr>
        <w:t xml:space="preserve">sta intención legislativa </w:t>
      </w:r>
      <w:r>
        <w:rPr>
          <w:rFonts w:ascii="Book Antiqua" w:eastAsia="Book Antiqua" w:hAnsi="Book Antiqua" w:cs="Book Antiqua"/>
          <w:color w:val="000000" w:themeColor="text1"/>
          <w:lang w:val="es-PR"/>
        </w:rPr>
        <w:t xml:space="preserve">se </w:t>
      </w:r>
      <w:r w:rsidR="00451AB6">
        <w:rPr>
          <w:rFonts w:ascii="Book Antiqua" w:eastAsia="Book Antiqua" w:hAnsi="Book Antiqua" w:cs="Book Antiqua"/>
          <w:color w:val="000000" w:themeColor="text1"/>
          <w:lang w:val="es-PR"/>
        </w:rPr>
        <w:t xml:space="preserve">ha presentado en al menos tres asambleas legislativas distintas: </w:t>
      </w:r>
      <w:r w:rsidR="00593200">
        <w:rPr>
          <w:rFonts w:ascii="Book Antiqua" w:eastAsia="Book Antiqua" w:hAnsi="Book Antiqua" w:cs="Book Antiqua"/>
          <w:color w:val="000000" w:themeColor="text1"/>
          <w:lang w:val="es-PR"/>
        </w:rPr>
        <w:t>(1) el P. de la C. 679, (2) e</w:t>
      </w:r>
      <w:r w:rsidR="00383A2A">
        <w:rPr>
          <w:rFonts w:ascii="Book Antiqua" w:eastAsia="Book Antiqua" w:hAnsi="Book Antiqua" w:cs="Book Antiqua"/>
          <w:color w:val="000000" w:themeColor="text1"/>
          <w:lang w:val="es-PR"/>
        </w:rPr>
        <w:t xml:space="preserve">l P. de la C. </w:t>
      </w:r>
      <w:r w:rsidR="00451AB6">
        <w:rPr>
          <w:rFonts w:ascii="Book Antiqua" w:eastAsia="Book Antiqua" w:hAnsi="Book Antiqua" w:cs="Book Antiqua"/>
          <w:color w:val="000000" w:themeColor="text1"/>
          <w:lang w:val="es-PR"/>
        </w:rPr>
        <w:t>989</w:t>
      </w:r>
      <w:r w:rsidR="00383A2A">
        <w:rPr>
          <w:rFonts w:ascii="Book Antiqua" w:eastAsia="Book Antiqua" w:hAnsi="Book Antiqua" w:cs="Book Antiqua"/>
          <w:color w:val="000000" w:themeColor="text1"/>
          <w:lang w:val="es-PR"/>
        </w:rPr>
        <w:t xml:space="preserve"> (</w:t>
      </w:r>
      <w:r w:rsidR="00F00CBF">
        <w:rPr>
          <w:rFonts w:ascii="Book Antiqua" w:eastAsia="Book Antiqua" w:hAnsi="Book Antiqua" w:cs="Book Antiqua"/>
          <w:color w:val="000000" w:themeColor="text1"/>
          <w:lang w:val="es-PR"/>
        </w:rPr>
        <w:t>present</w:t>
      </w:r>
      <w:r w:rsidR="00383A2A">
        <w:rPr>
          <w:rFonts w:ascii="Book Antiqua" w:eastAsia="Book Antiqua" w:hAnsi="Book Antiqua" w:cs="Book Antiqua"/>
          <w:color w:val="000000" w:themeColor="text1"/>
          <w:lang w:val="es-PR"/>
        </w:rPr>
        <w:t xml:space="preserve">ado </w:t>
      </w:r>
      <w:r w:rsidR="00F00CBF">
        <w:rPr>
          <w:rFonts w:ascii="Book Antiqua" w:eastAsia="Book Antiqua" w:hAnsi="Book Antiqua" w:cs="Book Antiqua"/>
          <w:color w:val="000000" w:themeColor="text1"/>
          <w:lang w:val="es-PR"/>
        </w:rPr>
        <w:t>el</w:t>
      </w:r>
      <w:r w:rsidR="00451AB6">
        <w:rPr>
          <w:rFonts w:ascii="Book Antiqua" w:eastAsia="Book Antiqua" w:hAnsi="Book Antiqua" w:cs="Book Antiqua"/>
          <w:color w:val="000000" w:themeColor="text1"/>
          <w:lang w:val="es-PR"/>
        </w:rPr>
        <w:t xml:space="preserve"> 21 de septiembre de 2021</w:t>
      </w:r>
      <w:r w:rsidR="00383A2A">
        <w:rPr>
          <w:rFonts w:ascii="Book Antiqua" w:eastAsia="Book Antiqua" w:hAnsi="Book Antiqua" w:cs="Book Antiqua"/>
          <w:color w:val="000000" w:themeColor="text1"/>
          <w:lang w:val="es-PR"/>
        </w:rPr>
        <w:t>)</w:t>
      </w:r>
      <w:r w:rsidR="00F00CBF">
        <w:rPr>
          <w:rFonts w:ascii="Book Antiqua" w:eastAsia="Book Antiqua" w:hAnsi="Book Antiqua" w:cs="Book Antiqua"/>
          <w:color w:val="000000" w:themeColor="text1"/>
          <w:lang w:val="es-PR"/>
        </w:rPr>
        <w:t>;</w:t>
      </w:r>
      <w:r w:rsidR="00383A2A">
        <w:rPr>
          <w:rFonts w:ascii="Book Antiqua" w:eastAsia="Book Antiqua" w:hAnsi="Book Antiqua" w:cs="Book Antiqua"/>
          <w:color w:val="000000" w:themeColor="text1"/>
          <w:lang w:val="es-PR"/>
        </w:rPr>
        <w:t xml:space="preserve"> </w:t>
      </w:r>
      <w:r w:rsidR="00593200">
        <w:rPr>
          <w:rFonts w:ascii="Book Antiqua" w:eastAsia="Book Antiqua" w:hAnsi="Book Antiqua" w:cs="Book Antiqua"/>
          <w:color w:val="000000" w:themeColor="text1"/>
          <w:lang w:val="es-PR"/>
        </w:rPr>
        <w:t xml:space="preserve">(3) </w:t>
      </w:r>
      <w:r w:rsidR="00451AB6">
        <w:rPr>
          <w:rFonts w:ascii="Book Antiqua" w:eastAsia="Book Antiqua" w:hAnsi="Book Antiqua" w:cs="Book Antiqua"/>
          <w:color w:val="000000" w:themeColor="text1"/>
          <w:lang w:val="es-PR"/>
        </w:rPr>
        <w:t xml:space="preserve">también había sido presentado como el P. de la C. 776 </w:t>
      </w:r>
      <w:r w:rsidR="00383A2A">
        <w:rPr>
          <w:rFonts w:ascii="Book Antiqua" w:eastAsia="Book Antiqua" w:hAnsi="Book Antiqua" w:cs="Book Antiqua"/>
          <w:color w:val="000000" w:themeColor="text1"/>
          <w:lang w:val="es-PR"/>
        </w:rPr>
        <w:t>(</w:t>
      </w:r>
      <w:r w:rsidR="00D62A5D">
        <w:rPr>
          <w:rFonts w:ascii="Book Antiqua" w:eastAsia="Book Antiqua" w:hAnsi="Book Antiqua" w:cs="Book Antiqua"/>
          <w:color w:val="000000" w:themeColor="text1"/>
          <w:lang w:val="es-PR"/>
        </w:rPr>
        <w:t>present</w:t>
      </w:r>
      <w:r w:rsidR="00383A2A">
        <w:rPr>
          <w:rFonts w:ascii="Book Antiqua" w:eastAsia="Book Antiqua" w:hAnsi="Book Antiqua" w:cs="Book Antiqua"/>
          <w:color w:val="000000" w:themeColor="text1"/>
          <w:lang w:val="es-PR"/>
        </w:rPr>
        <w:t>ado</w:t>
      </w:r>
      <w:r w:rsidR="00D62A5D">
        <w:rPr>
          <w:rFonts w:ascii="Book Antiqua" w:eastAsia="Book Antiqua" w:hAnsi="Book Antiqua" w:cs="Book Antiqua"/>
          <w:color w:val="000000" w:themeColor="text1"/>
          <w:lang w:val="es-PR"/>
        </w:rPr>
        <w:t xml:space="preserve"> el 1</w:t>
      </w:r>
      <w:r w:rsidR="006A2B1A">
        <w:rPr>
          <w:rFonts w:ascii="Book Antiqua" w:eastAsia="Book Antiqua" w:hAnsi="Book Antiqua" w:cs="Book Antiqua"/>
          <w:color w:val="000000" w:themeColor="text1"/>
          <w:lang w:val="es-PR"/>
        </w:rPr>
        <w:t>0</w:t>
      </w:r>
      <w:r w:rsidR="00D62A5D">
        <w:rPr>
          <w:rFonts w:ascii="Book Antiqua" w:eastAsia="Book Antiqua" w:hAnsi="Book Antiqua" w:cs="Book Antiqua"/>
          <w:color w:val="000000" w:themeColor="text1"/>
          <w:lang w:val="es-PR"/>
        </w:rPr>
        <w:t xml:space="preserve"> de febrero de 20</w:t>
      </w:r>
      <w:r w:rsidR="006A2B1A">
        <w:rPr>
          <w:rFonts w:ascii="Book Antiqua" w:eastAsia="Book Antiqua" w:hAnsi="Book Antiqua" w:cs="Book Antiqua"/>
          <w:color w:val="000000" w:themeColor="text1"/>
          <w:lang w:val="es-PR"/>
        </w:rPr>
        <w:t>17). En ambas anteriores instancias fue presentado por varios grupos de miembros de este cuerpo, de los cuales s</w:t>
      </w:r>
      <w:r w:rsidR="00DD6D02">
        <w:rPr>
          <w:rFonts w:ascii="Book Antiqua" w:eastAsia="Book Antiqua" w:hAnsi="Book Antiqua" w:cs="Book Antiqua"/>
          <w:color w:val="000000" w:themeColor="text1"/>
          <w:lang w:val="es-PR"/>
        </w:rPr>
        <w:t>o</w:t>
      </w:r>
      <w:r w:rsidR="006A2B1A">
        <w:rPr>
          <w:rFonts w:ascii="Book Antiqua" w:eastAsia="Book Antiqua" w:hAnsi="Book Antiqua" w:cs="Book Antiqua"/>
          <w:color w:val="000000" w:themeColor="text1"/>
          <w:lang w:val="es-PR"/>
        </w:rPr>
        <w:t>lo continúa siendo legislador el compañero autor de la versión actual</w:t>
      </w:r>
      <w:r w:rsidR="00383A2A">
        <w:rPr>
          <w:rFonts w:ascii="Book Antiqua" w:eastAsia="Book Antiqua" w:hAnsi="Book Antiqua" w:cs="Book Antiqua"/>
          <w:color w:val="000000" w:themeColor="text1"/>
          <w:lang w:val="es-PR"/>
        </w:rPr>
        <w:t xml:space="preserve">. </w:t>
      </w:r>
      <w:r w:rsidR="006A2B1A">
        <w:rPr>
          <w:rFonts w:ascii="Book Antiqua" w:eastAsia="Book Antiqua" w:hAnsi="Book Antiqua" w:cs="Book Antiqua"/>
          <w:color w:val="000000" w:themeColor="text1"/>
          <w:lang w:val="es-PR"/>
        </w:rPr>
        <w:t xml:space="preserve">El P. de la C. 989 de 2021 recibió un veto expreso el 27 de febrero de 2023, mientras el P. de la C. 776 de 2017 no fue atendido en la Comisión de lo Jurídico de la 18va. Asamblea Legislativa. </w:t>
      </w:r>
      <w:r w:rsidR="00383A2A">
        <w:rPr>
          <w:rFonts w:ascii="Book Antiqua" w:eastAsia="Book Antiqua" w:hAnsi="Book Antiqua" w:cs="Book Antiqua"/>
          <w:color w:val="000000" w:themeColor="text1"/>
          <w:lang w:val="es-PR"/>
        </w:rPr>
        <w:t xml:space="preserve">Sin embargo, </w:t>
      </w:r>
      <w:r w:rsidR="00451AB6">
        <w:rPr>
          <w:rFonts w:ascii="Book Antiqua" w:eastAsia="Book Antiqua" w:hAnsi="Book Antiqua" w:cs="Book Antiqua"/>
          <w:color w:val="000000" w:themeColor="text1"/>
          <w:lang w:val="es-PR"/>
        </w:rPr>
        <w:t xml:space="preserve">como en ocasiones anteriores, </w:t>
      </w:r>
      <w:r w:rsidR="00C92DB1">
        <w:rPr>
          <w:rFonts w:ascii="Book Antiqua" w:eastAsia="Book Antiqua" w:hAnsi="Book Antiqua" w:cs="Book Antiqua"/>
          <w:color w:val="000000" w:themeColor="text1"/>
          <w:lang w:val="es-PR"/>
        </w:rPr>
        <w:t xml:space="preserve">asumimos </w:t>
      </w:r>
      <w:r w:rsidR="00451AB6">
        <w:rPr>
          <w:rFonts w:ascii="Book Antiqua" w:eastAsia="Book Antiqua" w:hAnsi="Book Antiqua" w:cs="Book Antiqua"/>
          <w:color w:val="000000" w:themeColor="text1"/>
          <w:lang w:val="es-PR"/>
        </w:rPr>
        <w:t>nuestra responsabilidad de atender la legislación que es referida a vuestra Comisión</w:t>
      </w:r>
      <w:r w:rsidR="00383A2A">
        <w:rPr>
          <w:rFonts w:ascii="Book Antiqua" w:eastAsia="Book Antiqua" w:hAnsi="Book Antiqua" w:cs="Book Antiqua"/>
          <w:color w:val="000000" w:themeColor="text1"/>
          <w:lang w:val="es-PR"/>
        </w:rPr>
        <w:t xml:space="preserve">. </w:t>
      </w:r>
    </w:p>
    <w:p w14:paraId="1C9D566C" w14:textId="6A1EA68D" w:rsidR="000A6E42" w:rsidRPr="00FB0100" w:rsidRDefault="003B38A4" w:rsidP="00A310CE">
      <w:pPr>
        <w:spacing w:after="240" w:line="360" w:lineRule="auto"/>
        <w:jc w:val="center"/>
        <w:rPr>
          <w:rFonts w:ascii="Book Antiqua" w:eastAsia="Book Antiqua" w:hAnsi="Book Antiqua" w:cs="Book Antiqua"/>
          <w:color w:val="000000" w:themeColor="text1"/>
          <w:lang w:val="es-PR"/>
        </w:rPr>
      </w:pPr>
      <w:r w:rsidRPr="00FB0100">
        <w:rPr>
          <w:rFonts w:ascii="Book Antiqua" w:eastAsia="Book Antiqua" w:hAnsi="Book Antiqua" w:cs="Book Antiqua"/>
          <w:color w:val="000000" w:themeColor="text1"/>
          <w:spacing w:val="12"/>
          <w:lang w:val="es-PR"/>
        </w:rPr>
        <w:t>ANÁLISIS DE LA MEDIDA</w:t>
      </w:r>
    </w:p>
    <w:p w14:paraId="69754F88" w14:textId="4C00B86F" w:rsidR="00F8237D" w:rsidRDefault="006A2B1A" w:rsidP="00FB0100">
      <w:pPr>
        <w:spacing w:after="240"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El P. de la C. 679, así como sus versiones anteriores</w:t>
      </w:r>
      <w:r w:rsidR="00593200">
        <w:rPr>
          <w:rFonts w:ascii="Book Antiqua" w:eastAsia="Book Antiqua" w:hAnsi="Book Antiqua" w:cs="Book Antiqua"/>
          <w:color w:val="000000" w:themeColor="text1"/>
          <w:lang w:val="es-PR"/>
        </w:rPr>
        <w:t>,</w:t>
      </w:r>
      <w:r>
        <w:rPr>
          <w:rFonts w:ascii="Book Antiqua" w:eastAsia="Book Antiqua" w:hAnsi="Book Antiqua" w:cs="Book Antiqua"/>
          <w:color w:val="000000" w:themeColor="text1"/>
          <w:lang w:val="es-PR"/>
        </w:rPr>
        <w:t xml:space="preserve"> tiene como intención</w:t>
      </w:r>
      <w:r w:rsidR="000852EF">
        <w:rPr>
          <w:rFonts w:ascii="Book Antiqua" w:eastAsia="Book Antiqua" w:hAnsi="Book Antiqua" w:cs="Book Antiqua"/>
          <w:color w:val="000000" w:themeColor="text1"/>
          <w:lang w:val="es-PR"/>
        </w:rPr>
        <w:t xml:space="preserve"> lograr</w:t>
      </w:r>
      <w:r>
        <w:rPr>
          <w:rFonts w:ascii="Book Antiqua" w:eastAsia="Book Antiqua" w:hAnsi="Book Antiqua" w:cs="Book Antiqua"/>
          <w:color w:val="000000" w:themeColor="text1"/>
          <w:lang w:val="es-PR"/>
        </w:rPr>
        <w:t xml:space="preserve"> </w:t>
      </w:r>
      <w:r w:rsidR="000852EF">
        <w:rPr>
          <w:rFonts w:ascii="Book Antiqua" w:eastAsia="Book Antiqua" w:hAnsi="Book Antiqua" w:cs="Book Antiqua"/>
          <w:color w:val="000000" w:themeColor="text1"/>
          <w:lang w:val="es-PR"/>
        </w:rPr>
        <w:t xml:space="preserve">que </w:t>
      </w:r>
      <w:r w:rsidR="000852EF" w:rsidRPr="00A12AF0">
        <w:rPr>
          <w:rFonts w:ascii="Book Antiqua" w:hAnsi="Book Antiqua"/>
          <w:color w:val="000000"/>
          <w:szCs w:val="24"/>
          <w:lang w:val="es-PR"/>
        </w:rPr>
        <w:t>e</w:t>
      </w:r>
      <w:r w:rsidR="000852EF" w:rsidRPr="00A12AF0">
        <w:rPr>
          <w:rFonts w:ascii="Book Antiqua" w:hAnsi="Book Antiqua"/>
          <w:szCs w:val="24"/>
          <w:lang w:val="es-PR"/>
        </w:rPr>
        <w:t>n aquellos casos de naturaleza penal en que</w:t>
      </w:r>
      <w:r w:rsidR="00A56260">
        <w:rPr>
          <w:rFonts w:ascii="Book Antiqua" w:hAnsi="Book Antiqua"/>
          <w:szCs w:val="24"/>
          <w:lang w:val="es-PR"/>
        </w:rPr>
        <w:t>:</w:t>
      </w:r>
      <w:r w:rsidR="000852EF" w:rsidRPr="00A12AF0">
        <w:rPr>
          <w:rFonts w:ascii="Book Antiqua" w:hAnsi="Book Antiqua"/>
          <w:szCs w:val="24"/>
          <w:lang w:val="es-PR"/>
        </w:rPr>
        <w:t xml:space="preserve"> luego de una adjudicación de los hechos en sus méritos, la acción penal no prospere, resulte en una absolución, el imputado de delito obtenga un resultado final favorable por cualquier fundamento, se cumpla con un contrato de desvío o la posibilidad que tiene el </w:t>
      </w:r>
      <w:r w:rsidR="0054202D">
        <w:rPr>
          <w:rFonts w:ascii="Book Antiqua" w:hAnsi="Book Antiqua"/>
          <w:szCs w:val="24"/>
          <w:lang w:val="es-PR"/>
        </w:rPr>
        <w:t>Gobierno</w:t>
      </w:r>
      <w:r w:rsidR="000852EF" w:rsidRPr="00A12AF0">
        <w:rPr>
          <w:rFonts w:ascii="Book Antiqua" w:hAnsi="Book Antiqua"/>
          <w:szCs w:val="24"/>
          <w:lang w:val="es-PR"/>
        </w:rPr>
        <w:t xml:space="preserve"> para encausar a la persona imputándole la comisión del delito se extinga, se apli</w:t>
      </w:r>
      <w:r w:rsidR="00FA1CAF">
        <w:rPr>
          <w:rFonts w:ascii="Book Antiqua" w:hAnsi="Book Antiqua"/>
          <w:szCs w:val="24"/>
          <w:lang w:val="es-PR"/>
        </w:rPr>
        <w:t>que</w:t>
      </w:r>
      <w:r w:rsidR="000852EF" w:rsidRPr="00A12AF0">
        <w:rPr>
          <w:rFonts w:ascii="Book Antiqua" w:hAnsi="Book Antiqua"/>
          <w:szCs w:val="24"/>
          <w:lang w:val="es-PR"/>
        </w:rPr>
        <w:t xml:space="preserve"> la doctrina de cosa juzgada e impedimento colateral por sentencia.</w:t>
      </w:r>
      <w:r w:rsidR="00596033">
        <w:rPr>
          <w:rFonts w:ascii="Book Antiqua" w:eastAsia="Book Antiqua" w:hAnsi="Book Antiqua" w:cs="Book Antiqua"/>
          <w:color w:val="000000" w:themeColor="text1"/>
          <w:lang w:val="es-PR"/>
        </w:rPr>
        <w:t xml:space="preserve"> </w:t>
      </w:r>
      <w:r w:rsidR="00F8237D">
        <w:rPr>
          <w:rFonts w:ascii="Book Antiqua" w:eastAsia="Book Antiqua" w:hAnsi="Book Antiqua" w:cs="Book Antiqua"/>
          <w:color w:val="000000" w:themeColor="text1"/>
          <w:lang w:val="es-PR"/>
        </w:rPr>
        <w:t xml:space="preserve">Según </w:t>
      </w:r>
      <w:r w:rsidR="00593200">
        <w:rPr>
          <w:rFonts w:ascii="Book Antiqua" w:eastAsia="Book Antiqua" w:hAnsi="Book Antiqua" w:cs="Book Antiqua"/>
          <w:color w:val="000000" w:themeColor="text1"/>
          <w:lang w:val="es-PR"/>
        </w:rPr>
        <w:t>establece</w:t>
      </w:r>
      <w:r w:rsidR="00F8237D">
        <w:rPr>
          <w:rFonts w:ascii="Book Antiqua" w:eastAsia="Book Antiqua" w:hAnsi="Book Antiqua" w:cs="Book Antiqua"/>
          <w:color w:val="000000" w:themeColor="text1"/>
          <w:lang w:val="es-PR"/>
        </w:rPr>
        <w:t xml:space="preserve"> </w:t>
      </w:r>
      <w:r w:rsidR="001925F8">
        <w:rPr>
          <w:rFonts w:ascii="Book Antiqua" w:eastAsia="Book Antiqua" w:hAnsi="Book Antiqua" w:cs="Book Antiqua"/>
          <w:color w:val="000000" w:themeColor="text1"/>
          <w:lang w:val="es-PR"/>
        </w:rPr>
        <w:t xml:space="preserve">la medida </w:t>
      </w:r>
      <w:r w:rsidR="00F8237D">
        <w:rPr>
          <w:rFonts w:ascii="Book Antiqua" w:eastAsia="Book Antiqua" w:hAnsi="Book Antiqua" w:cs="Book Antiqua"/>
          <w:color w:val="000000" w:themeColor="text1"/>
          <w:lang w:val="es-PR"/>
        </w:rPr>
        <w:t xml:space="preserve">en su Exposición de Motivos: </w:t>
      </w:r>
    </w:p>
    <w:p w14:paraId="75ED626E" w14:textId="76CFD417" w:rsidR="00F8237D" w:rsidRPr="00FB0100" w:rsidRDefault="000852EF" w:rsidP="00A310CE">
      <w:pPr>
        <w:pStyle w:val="CommentText"/>
        <w:spacing w:after="0" w:line="276" w:lineRule="auto"/>
        <w:ind w:left="720" w:right="720"/>
        <w:jc w:val="both"/>
        <w:rPr>
          <w:rFonts w:ascii="Book Antiqua" w:eastAsia="Book Antiqua" w:hAnsi="Book Antiqua" w:cs="Times New Roman"/>
          <w:sz w:val="24"/>
          <w:szCs w:val="24"/>
          <w:lang w:val="es-PR"/>
        </w:rPr>
      </w:pPr>
      <w:r w:rsidRPr="00FB0100">
        <w:rPr>
          <w:rFonts w:ascii="Book Antiqua" w:hAnsi="Book Antiqua"/>
          <w:color w:val="000000"/>
          <w:sz w:val="24"/>
          <w:szCs w:val="24"/>
          <w:lang w:val="es-PR"/>
        </w:rPr>
        <w:t>[en] las enmiendas introducidas por la Ley 287-2018</w:t>
      </w:r>
      <w:r w:rsidR="00593200" w:rsidRPr="00FB0100">
        <w:rPr>
          <w:rFonts w:ascii="Book Antiqua" w:hAnsi="Book Antiqua"/>
          <w:color w:val="000000"/>
          <w:sz w:val="24"/>
          <w:szCs w:val="24"/>
          <w:lang w:val="es-PR"/>
        </w:rPr>
        <w:t xml:space="preserve"> [que enmendó la Ley 119-2011]</w:t>
      </w:r>
      <w:r w:rsidRPr="00FB0100">
        <w:rPr>
          <w:rFonts w:ascii="Book Antiqua" w:hAnsi="Book Antiqua"/>
          <w:color w:val="000000"/>
          <w:sz w:val="24"/>
          <w:szCs w:val="24"/>
          <w:lang w:val="es-PR"/>
        </w:rPr>
        <w:t>, no se reconoce la figura de impedimento colateral por sentencia en las distintas circunstancias previamente reconocidas por el Tribunal Supremo.</w:t>
      </w:r>
    </w:p>
    <w:p w14:paraId="512FF624" w14:textId="77777777" w:rsidR="00F8237D" w:rsidRDefault="00F8237D" w:rsidP="00F8237D">
      <w:pPr>
        <w:pStyle w:val="CommentText"/>
        <w:spacing w:after="0"/>
        <w:ind w:firstLine="706"/>
        <w:jc w:val="both"/>
        <w:rPr>
          <w:rFonts w:ascii="Book Antiqua" w:eastAsia="Book Antiqua" w:hAnsi="Book Antiqua" w:cs="Times New Roman"/>
          <w:sz w:val="24"/>
          <w:szCs w:val="24"/>
          <w:lang w:val="es-PR"/>
        </w:rPr>
      </w:pPr>
    </w:p>
    <w:p w14:paraId="45E08CBB" w14:textId="0A93D869" w:rsidR="000852EF" w:rsidRDefault="000852EF" w:rsidP="00A310CE">
      <w:pPr>
        <w:spacing w:after="120" w:line="360"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Como parte de estas circunstancias esta medida nos refiere a los siguientes casos, según resueltos por nuestra máxima corte. Son los siguientes: </w:t>
      </w:r>
    </w:p>
    <w:p w14:paraId="5B16D750" w14:textId="77777777" w:rsidR="000852EF" w:rsidRPr="00D514EA" w:rsidRDefault="000852EF" w:rsidP="00D15827">
      <w:pPr>
        <w:widowControl w:val="0"/>
        <w:numPr>
          <w:ilvl w:val="0"/>
          <w:numId w:val="22"/>
        </w:numPr>
        <w:autoSpaceDE w:val="0"/>
        <w:autoSpaceDN w:val="0"/>
        <w:adjustRightInd w:val="0"/>
        <w:jc w:val="both"/>
        <w:rPr>
          <w:rFonts w:ascii="Book Antiqua" w:hAnsi="Book Antiqua"/>
          <w:color w:val="000000"/>
          <w:szCs w:val="24"/>
          <w:lang w:val="es-PR"/>
        </w:rPr>
      </w:pPr>
      <w:r w:rsidRPr="00D514EA">
        <w:rPr>
          <w:rFonts w:ascii="Book Antiqua" w:hAnsi="Book Antiqua"/>
          <w:i/>
          <w:color w:val="000000"/>
          <w:szCs w:val="24"/>
          <w:lang w:val="es-PR"/>
        </w:rPr>
        <w:t>Del Toro Lugo v. E.L.A.</w:t>
      </w:r>
      <w:r w:rsidRPr="00D514EA">
        <w:rPr>
          <w:rFonts w:ascii="Book Antiqua" w:hAnsi="Book Antiqua"/>
          <w:color w:val="000000"/>
          <w:szCs w:val="24"/>
          <w:lang w:val="es-PR"/>
        </w:rPr>
        <w:t xml:space="preserve">, 136 DPR 973 (1994), donde no se encontró causa para arresto contra la persona imputada del delito que dio base a la confiscación de un vehículo y el Tribunal Supremo reconoció la doctrina de impedimento colateral. </w:t>
      </w:r>
    </w:p>
    <w:p w14:paraId="164EF820" w14:textId="77777777" w:rsidR="000852EF" w:rsidRPr="00D514EA" w:rsidRDefault="000852EF" w:rsidP="00D15827">
      <w:pPr>
        <w:widowControl w:val="0"/>
        <w:numPr>
          <w:ilvl w:val="0"/>
          <w:numId w:val="22"/>
        </w:numPr>
        <w:autoSpaceDE w:val="0"/>
        <w:autoSpaceDN w:val="0"/>
        <w:adjustRightInd w:val="0"/>
        <w:jc w:val="both"/>
        <w:rPr>
          <w:rFonts w:ascii="Book Antiqua" w:hAnsi="Book Antiqua"/>
          <w:color w:val="000000"/>
          <w:szCs w:val="24"/>
          <w:lang w:val="es-PR"/>
        </w:rPr>
      </w:pPr>
      <w:r w:rsidRPr="00D514EA">
        <w:rPr>
          <w:rFonts w:ascii="Book Antiqua" w:hAnsi="Book Antiqua"/>
          <w:i/>
          <w:color w:val="000000"/>
          <w:szCs w:val="24"/>
          <w:lang w:val="es-PR"/>
        </w:rPr>
        <w:t>Suárez v. E.L.A.,</w:t>
      </w:r>
      <w:r w:rsidRPr="00D514EA">
        <w:rPr>
          <w:rFonts w:ascii="Book Antiqua" w:hAnsi="Book Antiqua"/>
          <w:color w:val="000000"/>
          <w:szCs w:val="24"/>
          <w:lang w:val="es-PR"/>
        </w:rPr>
        <w:t xml:space="preserve"> 162 DPR 43 (2004), se determinó que la desestimación de los cargos criminales por incumplimiento con los términos de juicio rápido constituía impedimento colateral por sentencia.</w:t>
      </w:r>
    </w:p>
    <w:p w14:paraId="6E9191DA" w14:textId="77777777" w:rsidR="000852EF" w:rsidRPr="00D514EA" w:rsidRDefault="000852EF" w:rsidP="00D15827">
      <w:pPr>
        <w:widowControl w:val="0"/>
        <w:numPr>
          <w:ilvl w:val="0"/>
          <w:numId w:val="22"/>
        </w:numPr>
        <w:autoSpaceDE w:val="0"/>
        <w:autoSpaceDN w:val="0"/>
        <w:adjustRightInd w:val="0"/>
        <w:jc w:val="both"/>
        <w:rPr>
          <w:rFonts w:ascii="Book Antiqua" w:hAnsi="Book Antiqua"/>
          <w:color w:val="000000"/>
          <w:szCs w:val="24"/>
          <w:lang w:val="es-PR"/>
        </w:rPr>
      </w:pPr>
      <w:r w:rsidRPr="00D514EA">
        <w:rPr>
          <w:rFonts w:ascii="Book Antiqua" w:hAnsi="Book Antiqua"/>
          <w:i/>
          <w:color w:val="000000"/>
          <w:szCs w:val="24"/>
          <w:lang w:val="es-ES"/>
        </w:rPr>
        <w:t>Ford Motor Credit v. E.L.A</w:t>
      </w:r>
      <w:r w:rsidRPr="00D514EA">
        <w:rPr>
          <w:rFonts w:ascii="Book Antiqua" w:hAnsi="Book Antiqua"/>
          <w:color w:val="000000"/>
          <w:szCs w:val="24"/>
          <w:lang w:val="es-ES"/>
        </w:rPr>
        <w:t xml:space="preserve">., </w:t>
      </w:r>
      <w:r w:rsidRPr="00D514EA">
        <w:rPr>
          <w:rFonts w:ascii="Book Antiqua" w:hAnsi="Book Antiqua" w:cs="Tahoma"/>
          <w:color w:val="000000"/>
          <w:szCs w:val="24"/>
          <w:lang w:val="es-ES"/>
        </w:rPr>
        <w:t>174 DPR 735</w:t>
      </w:r>
      <w:r w:rsidRPr="00D514EA">
        <w:rPr>
          <w:rFonts w:ascii="Book Antiqua" w:hAnsi="Book Antiqua"/>
          <w:color w:val="000000"/>
          <w:szCs w:val="24"/>
          <w:lang w:val="es-ES"/>
        </w:rPr>
        <w:t xml:space="preserve"> (2008), </w:t>
      </w:r>
      <w:r w:rsidRPr="00D514EA">
        <w:rPr>
          <w:rFonts w:ascii="Book Antiqua" w:hAnsi="Book Antiqua"/>
          <w:color w:val="000000"/>
          <w:szCs w:val="24"/>
          <w:lang w:val="es-PR"/>
        </w:rPr>
        <w:t xml:space="preserve">se resolvió que procedía la devolución del vehículo incautado dado el archivo de una causa criminal al </w:t>
      </w:r>
      <w:r w:rsidRPr="00D514EA">
        <w:rPr>
          <w:rFonts w:ascii="Book Antiqua" w:hAnsi="Book Antiqua"/>
          <w:color w:val="000000"/>
          <w:szCs w:val="24"/>
          <w:lang w:val="es-PR"/>
        </w:rPr>
        <w:lastRenderedPageBreak/>
        <w:t xml:space="preserve">amparo de la Regla 247.1 de Procedimiento Criminal, tras confrontar la naturaleza rehabilitadora de la citada Regla y la confiscación que “sirve de castigo” se determinó que el archivo y sobreseimiento de la causa criminal, tras la declaración de rehabilitación, constituía una exoneración en los méritos, por lo que se reconocía que aplicaba el impedimento colateral por sentencia. </w:t>
      </w:r>
    </w:p>
    <w:p w14:paraId="61955B2B" w14:textId="77777777" w:rsidR="000852EF" w:rsidRPr="00D514EA" w:rsidRDefault="000852EF" w:rsidP="00D15827">
      <w:pPr>
        <w:widowControl w:val="0"/>
        <w:numPr>
          <w:ilvl w:val="0"/>
          <w:numId w:val="22"/>
        </w:numPr>
        <w:autoSpaceDE w:val="0"/>
        <w:autoSpaceDN w:val="0"/>
        <w:adjustRightInd w:val="0"/>
        <w:jc w:val="both"/>
        <w:rPr>
          <w:rFonts w:ascii="Book Antiqua" w:hAnsi="Book Antiqua"/>
          <w:color w:val="000000"/>
          <w:szCs w:val="24"/>
          <w:lang w:val="es-PR"/>
        </w:rPr>
      </w:pPr>
      <w:r w:rsidRPr="00D514EA">
        <w:rPr>
          <w:rFonts w:ascii="Book Antiqua" w:hAnsi="Book Antiqua"/>
          <w:i/>
          <w:color w:val="000000"/>
          <w:szCs w:val="24"/>
          <w:lang w:val="es-PR"/>
        </w:rPr>
        <w:t xml:space="preserve">Díaz Morales v. Depto. de Justicia, </w:t>
      </w:r>
      <w:r w:rsidRPr="00D514EA">
        <w:rPr>
          <w:rFonts w:ascii="Book Antiqua" w:hAnsi="Book Antiqua"/>
          <w:color w:val="000000"/>
          <w:szCs w:val="24"/>
          <w:lang w:val="es-PR"/>
        </w:rPr>
        <w:t>174 DPR 956 (2008)</w:t>
      </w:r>
      <w:r w:rsidRPr="00D514EA">
        <w:rPr>
          <w:rFonts w:ascii="Book Antiqua" w:hAnsi="Book Antiqua"/>
          <w:i/>
          <w:color w:val="000000"/>
          <w:szCs w:val="24"/>
          <w:lang w:val="es-PR"/>
        </w:rPr>
        <w:t>,</w:t>
      </w:r>
      <w:r w:rsidRPr="004946A7">
        <w:rPr>
          <w:rFonts w:ascii="Book Antiqua" w:hAnsi="Book Antiqua"/>
          <w:iCs/>
          <w:color w:val="000000"/>
          <w:szCs w:val="24"/>
          <w:lang w:val="es-PR"/>
        </w:rPr>
        <w:t xml:space="preserve"> s</w:t>
      </w:r>
      <w:r w:rsidRPr="00D514EA">
        <w:rPr>
          <w:rFonts w:ascii="Book Antiqua" w:hAnsi="Book Antiqua"/>
          <w:color w:val="000000"/>
          <w:szCs w:val="24"/>
          <w:lang w:val="es-PR"/>
        </w:rPr>
        <w:t xml:space="preserve">e reconoció la figura de impedimento colateral por sentencia una vez el menor cumpliera con el contrato de desvío. </w:t>
      </w:r>
    </w:p>
    <w:p w14:paraId="39D76DF1" w14:textId="77777777" w:rsidR="000852EF" w:rsidRPr="00D514EA" w:rsidRDefault="000852EF" w:rsidP="00D15827">
      <w:pPr>
        <w:widowControl w:val="0"/>
        <w:numPr>
          <w:ilvl w:val="0"/>
          <w:numId w:val="22"/>
        </w:numPr>
        <w:autoSpaceDE w:val="0"/>
        <w:autoSpaceDN w:val="0"/>
        <w:adjustRightInd w:val="0"/>
        <w:jc w:val="both"/>
        <w:rPr>
          <w:rFonts w:ascii="Book Antiqua" w:hAnsi="Book Antiqua"/>
          <w:color w:val="000000"/>
          <w:szCs w:val="24"/>
          <w:lang w:val="es-PR"/>
        </w:rPr>
      </w:pPr>
      <w:r w:rsidRPr="00D514EA">
        <w:rPr>
          <w:rFonts w:ascii="Book Antiqua" w:hAnsi="Book Antiqua"/>
          <w:i/>
          <w:color w:val="000000"/>
          <w:szCs w:val="24"/>
          <w:lang w:val="es-PR"/>
        </w:rPr>
        <w:t>Coop. Seguros Múltiples v. E.L.A.,</w:t>
      </w:r>
      <w:r w:rsidRPr="00D514EA">
        <w:rPr>
          <w:rFonts w:ascii="Book Antiqua" w:hAnsi="Book Antiqua"/>
          <w:color w:val="000000"/>
          <w:szCs w:val="24"/>
          <w:lang w:val="es-PR"/>
        </w:rPr>
        <w:t xml:space="preserve"> 180 DPR 655 (2011), se reconoció la figura de impedimento colateral cuando la muerte de la persona imputada de delito tiene como resultado que se extinga la acción penal. </w:t>
      </w:r>
    </w:p>
    <w:p w14:paraId="18A190EB" w14:textId="77777777" w:rsidR="000852EF" w:rsidRPr="00D514EA" w:rsidRDefault="000852EF" w:rsidP="00D15827">
      <w:pPr>
        <w:widowControl w:val="0"/>
        <w:numPr>
          <w:ilvl w:val="0"/>
          <w:numId w:val="22"/>
        </w:numPr>
        <w:autoSpaceDE w:val="0"/>
        <w:autoSpaceDN w:val="0"/>
        <w:adjustRightInd w:val="0"/>
        <w:spacing w:after="240"/>
        <w:jc w:val="both"/>
        <w:rPr>
          <w:rFonts w:ascii="Book Antiqua" w:hAnsi="Book Antiqua"/>
          <w:color w:val="000000"/>
          <w:szCs w:val="24"/>
          <w:lang w:val="es-PR"/>
        </w:rPr>
      </w:pPr>
      <w:r w:rsidRPr="00D514EA">
        <w:rPr>
          <w:rFonts w:ascii="Book Antiqua" w:eastAsia="Calibri" w:hAnsi="Book Antiqua"/>
          <w:bCs/>
          <w:i/>
          <w:iCs/>
          <w:szCs w:val="24"/>
          <w:lang w:val="es-ES"/>
        </w:rPr>
        <w:t>Santini Casiano v. E.L.A.</w:t>
      </w:r>
      <w:r w:rsidRPr="00D514EA">
        <w:rPr>
          <w:rFonts w:ascii="Book Antiqua" w:eastAsia="Calibri" w:hAnsi="Book Antiqua"/>
          <w:bCs/>
          <w:szCs w:val="24"/>
          <w:lang w:val="es-ES"/>
        </w:rPr>
        <w:t>, 199 DPR 389 (2017), se resolvió que procede la impugnación de la confiscación, luego de una determinación de no causa para acusar.</w:t>
      </w:r>
      <w:r w:rsidRPr="00D514EA">
        <w:rPr>
          <w:rFonts w:ascii="Book Antiqua" w:hAnsi="Book Antiqua"/>
          <w:color w:val="000000"/>
          <w:szCs w:val="24"/>
          <w:lang w:val="es-PR"/>
        </w:rPr>
        <w:t xml:space="preserve"> </w:t>
      </w:r>
      <w:r w:rsidRPr="00D514EA">
        <w:rPr>
          <w:rFonts w:ascii="Book Antiqua" w:eastAsia="Calibri" w:hAnsi="Book Antiqua"/>
          <w:bCs/>
          <w:szCs w:val="24"/>
          <w:lang w:val="es-ES"/>
        </w:rPr>
        <w:t xml:space="preserve">Así, nuestro más Alto Foro, validó la aplicación de la doctrina de impedimento colateral por sentencia en los casos de confiscaciones tan reciente como en el año 2017. </w:t>
      </w:r>
    </w:p>
    <w:p w14:paraId="54868DDF" w14:textId="38D7C842" w:rsidR="00AF449A" w:rsidRPr="00FE4E67" w:rsidRDefault="009E5945" w:rsidP="00E14A31">
      <w:pPr>
        <w:spacing w:after="240" w:line="288" w:lineRule="auto"/>
        <w:ind w:firstLine="720"/>
        <w:jc w:val="both"/>
        <w:rPr>
          <w:rFonts w:ascii="Book Antiqua" w:eastAsia="Book Antiqua" w:hAnsi="Book Antiqua" w:cs="Book Antiqua"/>
          <w:color w:val="000000" w:themeColor="text1"/>
          <w:lang w:val="es-PR"/>
        </w:rPr>
      </w:pPr>
      <w:r w:rsidRPr="00FE4E67">
        <w:rPr>
          <w:rFonts w:ascii="Book Antiqua" w:eastAsia="Book Antiqua" w:hAnsi="Book Antiqua" w:cs="Book Antiqua"/>
          <w:color w:val="000000" w:themeColor="text1"/>
          <w:lang w:val="es-PR"/>
        </w:rPr>
        <w:t>Examinados lo</w:t>
      </w:r>
      <w:r w:rsidR="000852EF">
        <w:rPr>
          <w:rFonts w:ascii="Book Antiqua" w:eastAsia="Book Antiqua" w:hAnsi="Book Antiqua" w:cs="Book Antiqua"/>
          <w:color w:val="000000" w:themeColor="text1"/>
          <w:lang w:val="es-PR"/>
        </w:rPr>
        <w:t>s</w:t>
      </w:r>
      <w:r w:rsidRPr="00FE4E67">
        <w:rPr>
          <w:rFonts w:ascii="Book Antiqua" w:eastAsia="Book Antiqua" w:hAnsi="Book Antiqua" w:cs="Book Antiqua"/>
          <w:color w:val="000000" w:themeColor="text1"/>
          <w:lang w:val="es-PR"/>
        </w:rPr>
        <w:t xml:space="preserve"> </w:t>
      </w:r>
      <w:r w:rsidR="000852EF">
        <w:rPr>
          <w:rFonts w:ascii="Book Antiqua" w:eastAsia="Book Antiqua" w:hAnsi="Book Antiqua" w:cs="Book Antiqua"/>
          <w:color w:val="000000" w:themeColor="text1"/>
          <w:lang w:val="es-PR"/>
        </w:rPr>
        <w:t xml:space="preserve">motivos de esta legislación, </w:t>
      </w:r>
      <w:r w:rsidRPr="00FE4E67">
        <w:rPr>
          <w:rFonts w:ascii="Book Antiqua" w:eastAsia="Book Antiqua" w:hAnsi="Book Antiqua" w:cs="Book Antiqua"/>
          <w:color w:val="000000" w:themeColor="text1"/>
          <w:lang w:val="es-PR"/>
        </w:rPr>
        <w:t xml:space="preserve">procedemos a discutir los puntos más importantes de </w:t>
      </w:r>
      <w:r w:rsidR="000852EF">
        <w:rPr>
          <w:rFonts w:ascii="Book Antiqua" w:eastAsia="Book Antiqua" w:hAnsi="Book Antiqua" w:cs="Book Antiqua"/>
          <w:color w:val="000000" w:themeColor="text1"/>
          <w:lang w:val="es-PR"/>
        </w:rPr>
        <w:t xml:space="preserve">documentos que obran en nuestro expediente sobre este proyecto </w:t>
      </w:r>
      <w:r w:rsidR="00225E03">
        <w:rPr>
          <w:rFonts w:ascii="Book Antiqua" w:eastAsia="Book Antiqua" w:hAnsi="Book Antiqua" w:cs="Book Antiqua"/>
          <w:color w:val="000000" w:themeColor="text1"/>
          <w:lang w:val="es-PR"/>
        </w:rPr>
        <w:t xml:space="preserve">de ley </w:t>
      </w:r>
      <w:r w:rsidR="000852EF">
        <w:rPr>
          <w:rFonts w:ascii="Book Antiqua" w:eastAsia="Book Antiqua" w:hAnsi="Book Antiqua" w:cs="Book Antiqua"/>
          <w:color w:val="000000" w:themeColor="text1"/>
          <w:lang w:val="es-PR"/>
        </w:rPr>
        <w:t>y sus versiones anteriores.</w:t>
      </w:r>
      <w:r w:rsidRPr="00FE4E67">
        <w:rPr>
          <w:rFonts w:ascii="Book Antiqua" w:eastAsia="Book Antiqua" w:hAnsi="Book Antiqua" w:cs="Book Antiqua"/>
          <w:color w:val="000000" w:themeColor="text1"/>
          <w:lang w:val="es-PR"/>
        </w:rPr>
        <w:t xml:space="preserve"> </w:t>
      </w:r>
    </w:p>
    <w:p w14:paraId="6414F118" w14:textId="2F7320A0" w:rsidR="00675201" w:rsidRDefault="00AA613A" w:rsidP="00A310CE">
      <w:pPr>
        <w:spacing w:after="120" w:line="360"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En 2017 el </w:t>
      </w:r>
      <w:r w:rsidRPr="00E14A31">
        <w:rPr>
          <w:rFonts w:ascii="Book Antiqua" w:eastAsia="Book Antiqua" w:hAnsi="Book Antiqua" w:cs="Book Antiqua"/>
          <w:b/>
          <w:bCs/>
          <w:color w:val="000000" w:themeColor="text1"/>
          <w:lang w:val="es-PR"/>
        </w:rPr>
        <w:t>Departamento de Justicia</w:t>
      </w:r>
      <w:r>
        <w:rPr>
          <w:rFonts w:ascii="Book Antiqua" w:eastAsia="Book Antiqua" w:hAnsi="Book Antiqua" w:cs="Book Antiqua"/>
          <w:color w:val="000000" w:themeColor="text1"/>
          <w:lang w:val="es-PR"/>
        </w:rPr>
        <w:t xml:space="preserve"> nos indicó, sobre el P. de la C. 776 los siguientes puntos de derecho sobre esta intención legislativa:</w:t>
      </w:r>
      <w:r w:rsidR="00CC558C">
        <w:rPr>
          <w:rStyle w:val="FootnoteReference"/>
          <w:rFonts w:ascii="Book Antiqua" w:hAnsi="Book Antiqua"/>
          <w:bCs/>
          <w:color w:val="000000"/>
          <w:szCs w:val="24"/>
          <w:shd w:val="clear" w:color="auto" w:fill="FFFFFF"/>
          <w:lang w:val="es-PR"/>
        </w:rPr>
        <w:footnoteReference w:id="4"/>
      </w:r>
    </w:p>
    <w:p w14:paraId="0E3785DF" w14:textId="372A1A9A" w:rsidR="00BA4A48" w:rsidRPr="006B7157" w:rsidRDefault="00AA613A" w:rsidP="00D15827">
      <w:pPr>
        <w:pStyle w:val="ListParagraph"/>
        <w:numPr>
          <w:ilvl w:val="0"/>
          <w:numId w:val="22"/>
        </w:numPr>
        <w:spacing w:after="120"/>
        <w:jc w:val="both"/>
        <w:rPr>
          <w:rFonts w:ascii="Book Antiqua" w:eastAsia="Book Antiqua" w:hAnsi="Book Antiqua" w:cs="Book Antiqua"/>
          <w:color w:val="000000" w:themeColor="text1"/>
          <w:szCs w:val="24"/>
          <w:lang w:val="es-PR"/>
        </w:rPr>
      </w:pPr>
      <w:r w:rsidRPr="006B7157">
        <w:rPr>
          <w:rFonts w:ascii="Book Antiqua" w:eastAsia="Book Antiqua" w:hAnsi="Book Antiqua" w:cs="Book Antiqua"/>
          <w:color w:val="000000" w:themeColor="text1"/>
          <w:szCs w:val="24"/>
          <w:lang w:val="es-PR"/>
        </w:rPr>
        <w:t xml:space="preserve">El Tribunal Supremo de los Estados Unidos ha determinado en varias ocasiones que una acción civil no se ve impedida por la absolución previa del imputado, acusado de contrabando e incumplimiento por los procedimientos aduaneros. El Tribunal ha razonado que la diferencia entre el peso de la prueba en los casos penales y civiles impide la aplicación de la doctrina de impedimento colateral por sentencia. </w:t>
      </w:r>
      <w:proofErr w:type="gramStart"/>
      <w:r w:rsidRPr="006B7157">
        <w:rPr>
          <w:rFonts w:ascii="Book Antiqua" w:eastAsia="Book Antiqua" w:hAnsi="Book Antiqua" w:cs="Book Antiqua"/>
          <w:color w:val="000000" w:themeColor="text1"/>
          <w:szCs w:val="24"/>
          <w:lang w:val="es-PR"/>
        </w:rPr>
        <w:t>Igualmente</w:t>
      </w:r>
      <w:proofErr w:type="gramEnd"/>
      <w:r w:rsidRPr="006B7157">
        <w:rPr>
          <w:rFonts w:ascii="Book Antiqua" w:eastAsia="Book Antiqua" w:hAnsi="Book Antiqua" w:cs="Book Antiqua"/>
          <w:color w:val="000000" w:themeColor="text1"/>
          <w:szCs w:val="24"/>
          <w:lang w:val="es-PR"/>
        </w:rPr>
        <w:t xml:space="preserve"> la doctrina de cosa juzgada estaría fuera de lugar, ello, pues, la acción de confiscación era una civil, no penal. </w:t>
      </w:r>
    </w:p>
    <w:p w14:paraId="374DF83B" w14:textId="38530097" w:rsidR="004926E4" w:rsidRPr="006B7157" w:rsidRDefault="00AA613A" w:rsidP="00D15827">
      <w:pPr>
        <w:pStyle w:val="ListParagraph"/>
        <w:numPr>
          <w:ilvl w:val="0"/>
          <w:numId w:val="22"/>
        </w:numPr>
        <w:spacing w:after="120"/>
        <w:jc w:val="both"/>
        <w:rPr>
          <w:rFonts w:ascii="Book Antiqua" w:eastAsia="Book Antiqua" w:hAnsi="Book Antiqua" w:cs="Book Antiqua"/>
          <w:color w:val="000000" w:themeColor="text1"/>
          <w:szCs w:val="24"/>
          <w:lang w:val="es-PR"/>
        </w:rPr>
      </w:pPr>
      <w:r w:rsidRPr="006B7157">
        <w:rPr>
          <w:rFonts w:ascii="Book Antiqua" w:eastAsia="Book Antiqua" w:hAnsi="Book Antiqua" w:cs="Book Antiqua"/>
          <w:color w:val="000000" w:themeColor="text1"/>
          <w:szCs w:val="24"/>
          <w:lang w:val="es-PR"/>
        </w:rPr>
        <w:t>El Proyecto [de la Cámara 776] considerado plasma la normativa esbozada por el Tribunal Supremo [de Puerto Rico] en su sentencia</w:t>
      </w:r>
      <w:r w:rsidR="004926E4" w:rsidRPr="006B7157">
        <w:rPr>
          <w:rFonts w:ascii="Book Antiqua" w:eastAsia="Book Antiqua" w:hAnsi="Book Antiqua" w:cs="Book Antiqua"/>
          <w:color w:val="000000" w:themeColor="text1"/>
          <w:szCs w:val="24"/>
          <w:lang w:val="es-PR"/>
        </w:rPr>
        <w:t xml:space="preserve">. Reiteramos que la aprobación de cualquier medida legislativa, que limite la facultad del </w:t>
      </w:r>
      <w:r w:rsidR="0054202D">
        <w:rPr>
          <w:rFonts w:ascii="Book Antiqua" w:eastAsia="Book Antiqua" w:hAnsi="Book Antiqua" w:cs="Book Antiqua"/>
          <w:color w:val="000000" w:themeColor="text1"/>
          <w:szCs w:val="24"/>
          <w:lang w:val="es-PR"/>
        </w:rPr>
        <w:t>Gobierno</w:t>
      </w:r>
      <w:r w:rsidR="004926E4" w:rsidRPr="006B7157">
        <w:rPr>
          <w:rFonts w:ascii="Book Antiqua" w:eastAsia="Book Antiqua" w:hAnsi="Book Antiqua" w:cs="Book Antiqua"/>
          <w:color w:val="000000" w:themeColor="text1"/>
          <w:szCs w:val="24"/>
          <w:lang w:val="es-PR"/>
        </w:rPr>
        <w:t xml:space="preserve"> supeditando la acción por confiscación a los resultados del caso criminal tendría el efecto de convertir la confiscación en una criminal. </w:t>
      </w:r>
      <w:r w:rsidR="004926E4" w:rsidRPr="006B7157">
        <w:rPr>
          <w:rFonts w:ascii="Book Antiqua" w:eastAsia="Book Antiqua" w:hAnsi="Book Antiqua" w:cs="Book Antiqua"/>
          <w:b/>
          <w:bCs/>
          <w:color w:val="000000" w:themeColor="text1"/>
          <w:szCs w:val="24"/>
          <w:lang w:val="es-PR"/>
        </w:rPr>
        <w:t xml:space="preserve">Ello resultaría contrario a los propósitos de la Ley Núm. 119-2011 y convertiría en letra muerta tanto el primer párrafo del </w:t>
      </w:r>
      <w:r w:rsidR="00955F61">
        <w:rPr>
          <w:rFonts w:ascii="Book Antiqua" w:eastAsia="Book Antiqua" w:hAnsi="Book Antiqua" w:cs="Book Antiqua"/>
          <w:b/>
          <w:bCs/>
          <w:color w:val="000000" w:themeColor="text1"/>
          <w:szCs w:val="24"/>
          <w:lang w:val="es-PR"/>
        </w:rPr>
        <w:t>a</w:t>
      </w:r>
      <w:r w:rsidR="004926E4" w:rsidRPr="006B7157">
        <w:rPr>
          <w:rFonts w:ascii="Book Antiqua" w:eastAsia="Book Antiqua" w:hAnsi="Book Antiqua" w:cs="Book Antiqua"/>
          <w:b/>
          <w:bCs/>
          <w:color w:val="000000" w:themeColor="text1"/>
          <w:szCs w:val="24"/>
          <w:lang w:val="es-PR"/>
        </w:rPr>
        <w:t xml:space="preserve">rtículo 8, como el </w:t>
      </w:r>
      <w:r w:rsidR="00955F61">
        <w:rPr>
          <w:rFonts w:ascii="Book Antiqua" w:eastAsia="Book Antiqua" w:hAnsi="Book Antiqua" w:cs="Book Antiqua"/>
          <w:b/>
          <w:bCs/>
          <w:color w:val="000000" w:themeColor="text1"/>
          <w:szCs w:val="24"/>
          <w:lang w:val="es-PR"/>
        </w:rPr>
        <w:t>a</w:t>
      </w:r>
      <w:r w:rsidR="004926E4" w:rsidRPr="006B7157">
        <w:rPr>
          <w:rFonts w:ascii="Book Antiqua" w:eastAsia="Book Antiqua" w:hAnsi="Book Antiqua" w:cs="Book Antiqua"/>
          <w:b/>
          <w:bCs/>
          <w:color w:val="000000" w:themeColor="text1"/>
          <w:szCs w:val="24"/>
          <w:lang w:val="es-PR"/>
        </w:rPr>
        <w:t>rtículo 15 de la Ley Núm. 119-2011, dejando de esta manera sin efecto la actual Ley Uniforme de Confiscaciones</w:t>
      </w:r>
      <w:r w:rsidR="004926E4" w:rsidRPr="006B7157">
        <w:rPr>
          <w:rFonts w:ascii="Book Antiqua" w:eastAsia="Book Antiqua" w:hAnsi="Book Antiqua" w:cs="Book Antiqua"/>
          <w:color w:val="000000" w:themeColor="text1"/>
          <w:szCs w:val="24"/>
          <w:lang w:val="es-PR"/>
        </w:rPr>
        <w:t>.</w:t>
      </w:r>
    </w:p>
    <w:p w14:paraId="4C10A6BF" w14:textId="50389FD0" w:rsidR="00AA613A" w:rsidRPr="006B7157" w:rsidRDefault="004926E4" w:rsidP="00D15827">
      <w:pPr>
        <w:pStyle w:val="ListParagraph"/>
        <w:numPr>
          <w:ilvl w:val="0"/>
          <w:numId w:val="22"/>
        </w:numPr>
        <w:spacing w:after="120"/>
        <w:jc w:val="both"/>
        <w:rPr>
          <w:rFonts w:ascii="Book Antiqua" w:eastAsia="Book Antiqua" w:hAnsi="Book Antiqua" w:cs="Book Antiqua"/>
          <w:color w:val="000000" w:themeColor="text1"/>
          <w:szCs w:val="24"/>
          <w:lang w:val="es-PR"/>
        </w:rPr>
      </w:pPr>
      <w:r w:rsidRPr="006B7157">
        <w:rPr>
          <w:rFonts w:ascii="Book Antiqua" w:eastAsia="Book Antiqua" w:hAnsi="Book Antiqua" w:cs="Book Antiqua"/>
          <w:color w:val="000000" w:themeColor="text1"/>
          <w:szCs w:val="24"/>
          <w:lang w:val="es-PR"/>
        </w:rPr>
        <w:lastRenderedPageBreak/>
        <w:t xml:space="preserve">En aras de cumplir con esta política pública, indudablemente el </w:t>
      </w:r>
      <w:r w:rsidR="0020003E">
        <w:rPr>
          <w:rFonts w:ascii="Book Antiqua" w:eastAsia="Book Antiqua" w:hAnsi="Book Antiqua" w:cs="Book Antiqua"/>
          <w:color w:val="000000" w:themeColor="text1"/>
          <w:szCs w:val="24"/>
          <w:lang w:val="es-PR"/>
        </w:rPr>
        <w:t>Gobierno</w:t>
      </w:r>
      <w:r w:rsidRPr="006B7157">
        <w:rPr>
          <w:rFonts w:ascii="Book Antiqua" w:eastAsia="Book Antiqua" w:hAnsi="Book Antiqua" w:cs="Book Antiqua"/>
          <w:color w:val="000000" w:themeColor="text1"/>
          <w:szCs w:val="24"/>
          <w:lang w:val="es-PR"/>
        </w:rPr>
        <w:t xml:space="preserve"> sostuvo y se reafirmó, por medio de la Ley Núm. 119-2011, la naturaleza </w:t>
      </w:r>
      <w:r w:rsidRPr="006B7157">
        <w:rPr>
          <w:rFonts w:ascii="Book Antiqua" w:eastAsia="Book Antiqua" w:hAnsi="Book Antiqua" w:cs="Book Antiqua"/>
          <w:i/>
          <w:iCs/>
          <w:color w:val="000000" w:themeColor="text1"/>
          <w:szCs w:val="24"/>
          <w:lang w:val="es-PR"/>
        </w:rPr>
        <w:t>in rem</w:t>
      </w:r>
      <w:r w:rsidRPr="006B7157">
        <w:rPr>
          <w:rFonts w:ascii="Book Antiqua" w:eastAsia="Book Antiqua" w:hAnsi="Book Antiqua" w:cs="Book Antiqua"/>
          <w:color w:val="000000" w:themeColor="text1"/>
          <w:szCs w:val="24"/>
          <w:lang w:val="es-PR"/>
        </w:rPr>
        <w:t xml:space="preserve"> de las confiscaciones, independiente de cualquier otra acción ya sea penal, civil, administrativa o de cualquier otra naturaleza. Y es que sujetar el procedimiento civil de la confiscación al desenlace de la causa criminal claramente contradice el resto de las disposiciones de la Ley Núm. 119-2011 y su política pública. Además de que va en contra de la presunción de legalidad y corrección a favor del Estado antes mencionada y opera en contra de la política pública del Gobierno de Puerto Rico, toda vez que la confiscación tiene la función manifiesta de servir de disuasivo a la actividad criminal que socava la paz y sosiego de la sociedad, debido al temor que infunde la pérdida de la propiedad.</w:t>
      </w:r>
    </w:p>
    <w:p w14:paraId="6F2B83DA" w14:textId="3C1B5F4B" w:rsidR="004926E4" w:rsidRPr="006B7157" w:rsidRDefault="007C2430" w:rsidP="00D15827">
      <w:pPr>
        <w:pStyle w:val="ListParagraph"/>
        <w:numPr>
          <w:ilvl w:val="0"/>
          <w:numId w:val="22"/>
        </w:numPr>
        <w:spacing w:after="240"/>
        <w:jc w:val="both"/>
        <w:rPr>
          <w:rFonts w:ascii="Book Antiqua" w:eastAsia="Book Antiqua" w:hAnsi="Book Antiqua" w:cs="Book Antiqua"/>
          <w:color w:val="000000" w:themeColor="text1"/>
          <w:szCs w:val="24"/>
          <w:lang w:val="es-PR"/>
        </w:rPr>
      </w:pPr>
      <w:r>
        <w:rPr>
          <w:rFonts w:ascii="Book Antiqua" w:eastAsia="Book Antiqua" w:hAnsi="Book Antiqua" w:cs="Book Antiqua"/>
          <w:color w:val="000000" w:themeColor="text1"/>
          <w:szCs w:val="24"/>
          <w:lang w:val="es-PR"/>
        </w:rPr>
        <w:t>S</w:t>
      </w:r>
      <w:r w:rsidR="004926E4" w:rsidRPr="006B7157">
        <w:rPr>
          <w:rFonts w:ascii="Book Antiqua" w:eastAsia="Book Antiqua" w:hAnsi="Book Antiqua" w:cs="Book Antiqua"/>
          <w:color w:val="000000" w:themeColor="text1"/>
          <w:szCs w:val="24"/>
          <w:lang w:val="es-PR"/>
        </w:rPr>
        <w:t xml:space="preserve">i el enjuiciamiento criminal culmina sin determinar la inocencia o culpabilidad del acusado, o cualquier determinación </w:t>
      </w:r>
      <w:r w:rsidR="00494D5B" w:rsidRPr="006B7157">
        <w:rPr>
          <w:rFonts w:ascii="Book Antiqua" w:eastAsia="Book Antiqua" w:hAnsi="Book Antiqua" w:cs="Book Antiqua"/>
          <w:color w:val="000000" w:themeColor="text1"/>
          <w:szCs w:val="24"/>
          <w:lang w:val="es-PR"/>
        </w:rPr>
        <w:t xml:space="preserve">de derecho sobre la constitucionalidad de la confiscación, queda meridianamente claro que la doctrina de cosa juzgada e impedimento colateral por sentencia no impone trabas para comenzar cualquier procedimiento civil confiscatorio. Es y ha sido la política pública del </w:t>
      </w:r>
      <w:r w:rsidR="0054202D">
        <w:rPr>
          <w:rFonts w:ascii="Book Antiqua" w:eastAsia="Book Antiqua" w:hAnsi="Book Antiqua" w:cs="Book Antiqua"/>
          <w:color w:val="000000" w:themeColor="text1"/>
          <w:szCs w:val="24"/>
          <w:lang w:val="es-PR"/>
        </w:rPr>
        <w:t>Gobierno</w:t>
      </w:r>
      <w:r w:rsidR="00494D5B" w:rsidRPr="006B7157">
        <w:rPr>
          <w:rFonts w:ascii="Book Antiqua" w:eastAsia="Book Antiqua" w:hAnsi="Book Antiqua" w:cs="Book Antiqua"/>
          <w:color w:val="000000" w:themeColor="text1"/>
          <w:szCs w:val="24"/>
          <w:lang w:val="es-PR"/>
        </w:rPr>
        <w:t xml:space="preserve"> crear mecanismos que faciliten y agilicen el proceso de confiscación; y que estos mecanismos velen por los reclamos y derechos de las personas afectadas por una confiscación. </w:t>
      </w:r>
    </w:p>
    <w:p w14:paraId="527F2C58" w14:textId="4EC0211E" w:rsidR="0028343B" w:rsidRDefault="00494D5B" w:rsidP="00A310CE">
      <w:pPr>
        <w:autoSpaceDE w:val="0"/>
        <w:autoSpaceDN w:val="0"/>
        <w:adjustRightInd w:val="0"/>
        <w:spacing w:after="120" w:line="360" w:lineRule="auto"/>
        <w:ind w:firstLine="720"/>
        <w:jc w:val="both"/>
        <w:rPr>
          <w:rFonts w:ascii="Book Antiqua" w:eastAsia="Book Antiqua" w:hAnsi="Book Antiqua" w:cs="Book Antiqua"/>
          <w:color w:val="000000" w:themeColor="text1"/>
          <w:szCs w:val="24"/>
          <w:lang w:val="es-PR"/>
        </w:rPr>
      </w:pPr>
      <w:r>
        <w:rPr>
          <w:rFonts w:ascii="Book Antiqua" w:hAnsi="Book Antiqua"/>
          <w:color w:val="000000"/>
          <w:szCs w:val="24"/>
          <w:shd w:val="clear" w:color="auto" w:fill="FFFFFF"/>
          <w:lang w:val="es-PR"/>
        </w:rPr>
        <w:t>Tenemos dos documentos de la</w:t>
      </w:r>
      <w:r w:rsidR="006B7157">
        <w:rPr>
          <w:rFonts w:ascii="Book Antiqua" w:hAnsi="Book Antiqua"/>
          <w:color w:val="000000"/>
          <w:szCs w:val="24"/>
          <w:shd w:val="clear" w:color="auto" w:fill="FFFFFF"/>
          <w:lang w:val="es-PR"/>
        </w:rPr>
        <w:t xml:space="preserve"> </w:t>
      </w:r>
      <w:r w:rsidR="006B7157">
        <w:rPr>
          <w:rFonts w:ascii="Book Antiqua" w:hAnsi="Book Antiqua"/>
          <w:b/>
          <w:bCs/>
          <w:color w:val="000000"/>
          <w:szCs w:val="24"/>
          <w:shd w:val="clear" w:color="auto" w:fill="FFFFFF"/>
          <w:lang w:val="es-PR"/>
        </w:rPr>
        <w:t>Oficina de Servicios Legislativos</w:t>
      </w:r>
      <w:r>
        <w:rPr>
          <w:rFonts w:ascii="Book Antiqua" w:hAnsi="Book Antiqua"/>
          <w:color w:val="000000"/>
          <w:szCs w:val="24"/>
          <w:shd w:val="clear" w:color="auto" w:fill="FFFFFF"/>
          <w:lang w:val="es-PR"/>
        </w:rPr>
        <w:t xml:space="preserve"> </w:t>
      </w:r>
      <w:r w:rsidR="006B7157">
        <w:rPr>
          <w:rFonts w:ascii="Book Antiqua" w:hAnsi="Book Antiqua"/>
          <w:color w:val="000000"/>
          <w:szCs w:val="24"/>
          <w:shd w:val="clear" w:color="auto" w:fill="FFFFFF"/>
          <w:lang w:val="es-PR"/>
        </w:rPr>
        <w:t>(</w:t>
      </w:r>
      <w:r>
        <w:rPr>
          <w:rFonts w:ascii="Book Antiqua" w:hAnsi="Book Antiqua"/>
          <w:color w:val="000000"/>
          <w:szCs w:val="24"/>
          <w:shd w:val="clear" w:color="auto" w:fill="FFFFFF"/>
          <w:lang w:val="es-PR"/>
        </w:rPr>
        <w:t>OSL</w:t>
      </w:r>
      <w:r w:rsidR="006B7157">
        <w:rPr>
          <w:rFonts w:ascii="Book Antiqua" w:hAnsi="Book Antiqua"/>
          <w:color w:val="000000"/>
          <w:szCs w:val="24"/>
          <w:shd w:val="clear" w:color="auto" w:fill="FFFFFF"/>
          <w:lang w:val="es-PR"/>
        </w:rPr>
        <w:t>)</w:t>
      </w:r>
      <w:r>
        <w:rPr>
          <w:rFonts w:ascii="Book Antiqua" w:hAnsi="Book Antiqua"/>
          <w:color w:val="000000"/>
          <w:szCs w:val="24"/>
          <w:shd w:val="clear" w:color="auto" w:fill="FFFFFF"/>
          <w:lang w:val="es-PR"/>
        </w:rPr>
        <w:t xml:space="preserve"> con respecto a esta intención legislativa: sobre el P. de la C. 776 y el P. de la C. 989. </w:t>
      </w:r>
    </w:p>
    <w:p w14:paraId="09BD5B32" w14:textId="1E76A1F5" w:rsidR="00594224" w:rsidRDefault="00594224" w:rsidP="004E1BD8">
      <w:pPr>
        <w:spacing w:after="240" w:line="360" w:lineRule="auto"/>
        <w:jc w:val="both"/>
        <w:rPr>
          <w:rFonts w:ascii="Book Antiqua" w:hAnsi="Book Antiqua"/>
          <w:szCs w:val="24"/>
        </w:rPr>
      </w:pPr>
      <w:r>
        <w:rPr>
          <w:rFonts w:ascii="Book Antiqua" w:hAnsi="Book Antiqua"/>
          <w:szCs w:val="24"/>
        </w:rPr>
        <w:tab/>
      </w:r>
      <w:r w:rsidR="00201829">
        <w:rPr>
          <w:rFonts w:ascii="Book Antiqua" w:hAnsi="Book Antiqua"/>
          <w:szCs w:val="24"/>
        </w:rPr>
        <w:t>En el 2018, l</w:t>
      </w:r>
      <w:r>
        <w:rPr>
          <w:rFonts w:ascii="Book Antiqua" w:hAnsi="Book Antiqua"/>
          <w:szCs w:val="24"/>
        </w:rPr>
        <w:t xml:space="preserve">a OSL </w:t>
      </w:r>
      <w:r w:rsidR="00201829">
        <w:rPr>
          <w:rFonts w:ascii="Book Antiqua" w:hAnsi="Book Antiqua"/>
          <w:szCs w:val="24"/>
        </w:rPr>
        <w:t xml:space="preserve">señaló </w:t>
      </w:r>
      <w:r>
        <w:rPr>
          <w:rFonts w:ascii="Book Antiqua" w:hAnsi="Book Antiqua"/>
          <w:szCs w:val="24"/>
        </w:rPr>
        <w:t>varios aspectos sobre puntos de derechos relacionadas con este proyecto de ley. En particular menciona</w:t>
      </w:r>
      <w:r w:rsidR="00201829">
        <w:rPr>
          <w:rFonts w:ascii="Book Antiqua" w:hAnsi="Book Antiqua"/>
          <w:szCs w:val="24"/>
        </w:rPr>
        <w:t>ron</w:t>
      </w:r>
      <w:r>
        <w:rPr>
          <w:rFonts w:ascii="Book Antiqua" w:hAnsi="Book Antiqua"/>
          <w:szCs w:val="24"/>
        </w:rPr>
        <w:t>:</w:t>
      </w:r>
      <w:r w:rsidR="005E6846" w:rsidRPr="005E6846">
        <w:rPr>
          <w:rStyle w:val="FootnoteReference"/>
          <w:rFonts w:ascii="Book Antiqua" w:hAnsi="Book Antiqua"/>
          <w:szCs w:val="24"/>
        </w:rPr>
        <w:footnoteReference w:id="5"/>
      </w:r>
    </w:p>
    <w:p w14:paraId="73F41ABB" w14:textId="3CE3F6E6" w:rsidR="00594224" w:rsidRPr="005E6846" w:rsidRDefault="00594224" w:rsidP="004E1BD8">
      <w:pPr>
        <w:pStyle w:val="ListParagraph"/>
        <w:numPr>
          <w:ilvl w:val="0"/>
          <w:numId w:val="22"/>
        </w:numPr>
        <w:spacing w:after="240"/>
        <w:jc w:val="both"/>
        <w:rPr>
          <w:rFonts w:ascii="Book Antiqua" w:hAnsi="Book Antiqua"/>
          <w:szCs w:val="24"/>
        </w:rPr>
      </w:pPr>
      <w:r w:rsidRPr="005E6846">
        <w:rPr>
          <w:rFonts w:ascii="Book Antiqua" w:hAnsi="Book Antiqua"/>
          <w:szCs w:val="24"/>
        </w:rPr>
        <w:t xml:space="preserve">Impedimento Colateral por Sentencia. Entre las doctrinas de cosa juzgada, nuestro más Alto Foro ha reconocido la figura del impedimento colateral por sentencia. Esta figura jurídica cobra vigencia cuando en el pronunciamiento de una sentencia válida y final se adjudica </w:t>
      </w:r>
      <w:r w:rsidRPr="005E6846">
        <w:rPr>
          <w:rFonts w:ascii="Book Antiqua" w:hAnsi="Book Antiqua"/>
          <w:b/>
          <w:bCs/>
          <w:szCs w:val="24"/>
        </w:rPr>
        <w:t>un hecho esencial, de manera tal que la determinación se torna concluyente en el segundo pleito</w:t>
      </w:r>
      <w:r w:rsidRPr="005E6846">
        <w:rPr>
          <w:rFonts w:ascii="Book Antiqua" w:hAnsi="Book Antiqua"/>
          <w:szCs w:val="24"/>
        </w:rPr>
        <w:t xml:space="preserve"> entre las mismas partes, aunque estén implicadas causas de acción distintas. Por tanto, no se requiere que el segundo proceso sea virtualmente idéntico al anterior, pues basta con la previa adjudicación de un hecho esencial. </w:t>
      </w:r>
    </w:p>
    <w:p w14:paraId="62D344BC" w14:textId="166C1B63" w:rsidR="003D5ABF" w:rsidRPr="005E6846" w:rsidRDefault="003D5ABF" w:rsidP="004E1BD8">
      <w:pPr>
        <w:pStyle w:val="ListParagraph"/>
        <w:numPr>
          <w:ilvl w:val="0"/>
          <w:numId w:val="22"/>
        </w:numPr>
        <w:spacing w:after="240"/>
        <w:jc w:val="both"/>
        <w:rPr>
          <w:rFonts w:ascii="Book Antiqua" w:hAnsi="Book Antiqua"/>
          <w:szCs w:val="24"/>
        </w:rPr>
      </w:pPr>
      <w:r w:rsidRPr="005E6846">
        <w:rPr>
          <w:rFonts w:ascii="Book Antiqua" w:hAnsi="Book Antiqua"/>
          <w:szCs w:val="24"/>
        </w:rPr>
        <w:t xml:space="preserve">Proceso de Confiscación. [Mediante la Ley Núm. 119] la Asamblea Legislativa mantuvo intacta la política pública que ha regido en nuestra jurisdicción en cuanto a la naturaleza </w:t>
      </w:r>
      <w:r w:rsidRPr="005E6846">
        <w:rPr>
          <w:rFonts w:ascii="Book Antiqua" w:hAnsi="Book Antiqua"/>
          <w:i/>
          <w:iCs/>
          <w:szCs w:val="24"/>
        </w:rPr>
        <w:t>in rem</w:t>
      </w:r>
      <w:r w:rsidRPr="005E6846">
        <w:rPr>
          <w:rFonts w:ascii="Book Antiqua" w:hAnsi="Book Antiqua"/>
          <w:szCs w:val="24"/>
        </w:rPr>
        <w:t xml:space="preserve"> de las confiscaciones. En varios artículos de la Ley Núm. 119 el legislador ratificó que la confiscación es un proceso civil que va </w:t>
      </w:r>
      <w:r w:rsidRPr="005E6846">
        <w:rPr>
          <w:rFonts w:ascii="Book Antiqua" w:hAnsi="Book Antiqua"/>
          <w:szCs w:val="24"/>
        </w:rPr>
        <w:lastRenderedPageBreak/>
        <w:t xml:space="preserve">dirigido contra la misma cosa y, por consiguiente, es independiente de cualquier otro proceso que se pueda llevar contra el dueño o el poseedor de los bienes ocupados…. [La] Ley 119 es una excepción al mandato constitucional que prohíbe tomar propiedad </w:t>
      </w:r>
      <w:r w:rsidR="00500A81" w:rsidRPr="005E6846">
        <w:rPr>
          <w:rFonts w:ascii="Book Antiqua" w:hAnsi="Book Antiqua"/>
          <w:szCs w:val="24"/>
        </w:rPr>
        <w:t xml:space="preserve">privada sin justa compensación. No obstante, está sujeta al mandato constitucional de que nadie será privado de su propiedad sin el debido proceso de ley. En el proceso de confiscación </w:t>
      </w:r>
      <w:r w:rsidR="00500A81" w:rsidRPr="005E6846">
        <w:rPr>
          <w:rFonts w:ascii="Book Antiqua" w:hAnsi="Book Antiqua"/>
          <w:i/>
          <w:iCs/>
          <w:szCs w:val="24"/>
        </w:rPr>
        <w:t>in rem</w:t>
      </w:r>
      <w:r w:rsidR="00500A81" w:rsidRPr="005E6846">
        <w:rPr>
          <w:rFonts w:ascii="Book Antiqua" w:hAnsi="Book Antiqua"/>
          <w:szCs w:val="24"/>
        </w:rPr>
        <w:t xml:space="preserve"> se permite que el </w:t>
      </w:r>
      <w:r w:rsidR="0020003E">
        <w:rPr>
          <w:rFonts w:ascii="Book Antiqua" w:eastAsia="Book Antiqua" w:hAnsi="Book Antiqua" w:cs="Book Antiqua"/>
          <w:color w:val="000000" w:themeColor="text1"/>
          <w:szCs w:val="24"/>
          <w:lang w:val="es-PR"/>
        </w:rPr>
        <w:t>Gobierno</w:t>
      </w:r>
      <w:r w:rsidR="00500A81" w:rsidRPr="005E6846">
        <w:rPr>
          <w:rFonts w:ascii="Book Antiqua" w:hAnsi="Book Antiqua"/>
          <w:szCs w:val="24"/>
        </w:rPr>
        <w:t xml:space="preserve"> vaya directamente contra la propiedad como parte de una ficción jurídica que considera que a la cosa se le pueda fijar responsabilidad independiente a la del autor del delito. Esa ficción jurídica justifica un proceso civil separado en el que se pretende confiscar una propiedad utilizada para cometer un delito, aun </w:t>
      </w:r>
      <w:r w:rsidR="00500A81" w:rsidRPr="005E6846">
        <w:rPr>
          <w:rFonts w:ascii="Book Antiqua" w:hAnsi="Book Antiqua"/>
          <w:b/>
          <w:bCs/>
          <w:szCs w:val="24"/>
        </w:rPr>
        <w:t>cuando su dueño reclama inocencia y argumenta que no se le puede privar de su propiedad por la conducta criminal de un tercero</w:t>
      </w:r>
      <w:r w:rsidR="00500A81" w:rsidRPr="005E6846">
        <w:rPr>
          <w:rFonts w:ascii="Book Antiqua" w:hAnsi="Book Antiqua"/>
          <w:szCs w:val="24"/>
        </w:rPr>
        <w:t>.</w:t>
      </w:r>
      <w:r w:rsidR="00FD4CE7" w:rsidRPr="005E6846">
        <w:rPr>
          <w:rFonts w:ascii="Book Antiqua" w:hAnsi="Book Antiqua"/>
          <w:szCs w:val="24"/>
        </w:rPr>
        <w:t xml:space="preserve"> De esta situación surge la doctrina del tercero inocente, uno de los temas que más se trata en la jurisprudencia sobre el proceso </w:t>
      </w:r>
      <w:r w:rsidR="00FD4CE7" w:rsidRPr="005E6846">
        <w:rPr>
          <w:rFonts w:ascii="Book Antiqua" w:hAnsi="Book Antiqua"/>
          <w:i/>
          <w:iCs/>
          <w:szCs w:val="24"/>
        </w:rPr>
        <w:t xml:space="preserve">in rem </w:t>
      </w:r>
      <w:r w:rsidR="00FD4CE7" w:rsidRPr="005E6846">
        <w:rPr>
          <w:rFonts w:ascii="Book Antiqua" w:hAnsi="Book Antiqua"/>
          <w:szCs w:val="24"/>
        </w:rPr>
        <w:t xml:space="preserve">de confiscación. </w:t>
      </w:r>
    </w:p>
    <w:p w14:paraId="273CD542" w14:textId="77777777" w:rsidR="00FD4CE7" w:rsidRPr="005E6846" w:rsidRDefault="00FD4CE7" w:rsidP="004E1BD8">
      <w:pPr>
        <w:pStyle w:val="ListParagraph"/>
        <w:numPr>
          <w:ilvl w:val="0"/>
          <w:numId w:val="22"/>
        </w:numPr>
        <w:spacing w:after="240"/>
        <w:jc w:val="both"/>
        <w:rPr>
          <w:rFonts w:ascii="Book Antiqua" w:hAnsi="Book Antiqua"/>
          <w:szCs w:val="24"/>
        </w:rPr>
      </w:pPr>
      <w:r w:rsidRPr="005E6846">
        <w:rPr>
          <w:rFonts w:ascii="Book Antiqua" w:hAnsi="Book Antiqua"/>
          <w:szCs w:val="24"/>
        </w:rPr>
        <w:t xml:space="preserve">Una absolución en los méritos de un caso criminal sobre el delito que motivó la confiscación </w:t>
      </w:r>
      <w:r w:rsidRPr="005E6846">
        <w:rPr>
          <w:rFonts w:ascii="Book Antiqua" w:hAnsi="Book Antiqua"/>
          <w:b/>
          <w:bCs/>
          <w:szCs w:val="24"/>
        </w:rPr>
        <w:t xml:space="preserve">adjudica con finalidad irreversible el hecho central, tanto del caso criminal como el de confiscación: que la propiedad de la cual se trate no se utilizó para la comisión del delito. </w:t>
      </w:r>
      <w:r w:rsidRPr="005E6846">
        <w:rPr>
          <w:rFonts w:ascii="Book Antiqua" w:hAnsi="Book Antiqua"/>
          <w:szCs w:val="24"/>
        </w:rPr>
        <w:t xml:space="preserve">Nuestro más Alto Foro judicial ha resuelto que procede la aplicación de la doctrina de impedimento colateral por sentencia en un pleito de impugnación de confiscación en las siguientes instancias: (1) la absolución </w:t>
      </w:r>
      <w:r w:rsidRPr="005E6846">
        <w:rPr>
          <w:rFonts w:ascii="Book Antiqua" w:hAnsi="Book Antiqua"/>
          <w:b/>
          <w:bCs/>
          <w:szCs w:val="24"/>
        </w:rPr>
        <w:t>en los méritos</w:t>
      </w:r>
      <w:r w:rsidRPr="005E6846">
        <w:rPr>
          <w:rFonts w:ascii="Book Antiqua" w:hAnsi="Book Antiqua"/>
          <w:szCs w:val="24"/>
        </w:rPr>
        <w:t xml:space="preserve"> durante un juicio en su fondo; (2) </w:t>
      </w:r>
      <w:r w:rsidRPr="005E6846">
        <w:rPr>
          <w:rFonts w:ascii="Book Antiqua" w:hAnsi="Book Antiqua"/>
          <w:b/>
          <w:bCs/>
          <w:szCs w:val="24"/>
        </w:rPr>
        <w:t>la exoneración del imputado al advenir final y firme la determinación de no causa probable para acusar</w:t>
      </w:r>
      <w:r w:rsidRPr="005E6846">
        <w:rPr>
          <w:rFonts w:ascii="Book Antiqua" w:hAnsi="Book Antiqua"/>
          <w:szCs w:val="24"/>
        </w:rPr>
        <w:t xml:space="preserve">; y (3) la supresión de la única evidencia incriminatoria durante el procedimiento criminal. </w:t>
      </w:r>
    </w:p>
    <w:p w14:paraId="5FB6CAD9" w14:textId="77777777" w:rsidR="00FD4CE7" w:rsidRPr="005E6846" w:rsidRDefault="00FD4CE7" w:rsidP="004E1BD8">
      <w:pPr>
        <w:pStyle w:val="ListParagraph"/>
        <w:numPr>
          <w:ilvl w:val="0"/>
          <w:numId w:val="22"/>
        </w:numPr>
        <w:spacing w:after="240"/>
        <w:jc w:val="both"/>
        <w:rPr>
          <w:rFonts w:ascii="Book Antiqua" w:hAnsi="Book Antiqua"/>
          <w:szCs w:val="24"/>
        </w:rPr>
      </w:pPr>
      <w:r w:rsidRPr="005E6846">
        <w:rPr>
          <w:rFonts w:ascii="Book Antiqua" w:hAnsi="Book Antiqua"/>
          <w:szCs w:val="24"/>
        </w:rPr>
        <w:t>El impedimento colateral por sentencia también aplica cuando, a pesar de que no se dilucidaron los méritos según lo dispongan las Reglas de Procedimiento Criminal y su jurisprudencia interpretativa. En estos casos, se exige “la desestimación del segundo proceso, aun cuando tenga por objeto un delito distinto, si al resolverse el caso anterior se adjudicaron y determinaron hechos necesariamente decisivos para el segundo.”</w:t>
      </w:r>
    </w:p>
    <w:p w14:paraId="50F41356" w14:textId="40A3DF58" w:rsidR="00500A81" w:rsidRPr="005E6846" w:rsidRDefault="00FD4CE7" w:rsidP="004E1BD8">
      <w:pPr>
        <w:pStyle w:val="ListParagraph"/>
        <w:numPr>
          <w:ilvl w:val="0"/>
          <w:numId w:val="22"/>
        </w:numPr>
        <w:spacing w:after="240"/>
        <w:jc w:val="both"/>
        <w:rPr>
          <w:rFonts w:ascii="Book Antiqua" w:hAnsi="Book Antiqua"/>
          <w:szCs w:val="24"/>
        </w:rPr>
      </w:pPr>
      <w:r w:rsidRPr="005E6846">
        <w:rPr>
          <w:rFonts w:ascii="Book Antiqua" w:hAnsi="Book Antiqua"/>
          <w:szCs w:val="24"/>
        </w:rPr>
        <w:t xml:space="preserve">Ante </w:t>
      </w:r>
      <w:proofErr w:type="gramStart"/>
      <w:r w:rsidRPr="005E6846">
        <w:rPr>
          <w:rFonts w:ascii="Book Antiqua" w:hAnsi="Book Antiqua"/>
          <w:szCs w:val="24"/>
        </w:rPr>
        <w:t>todo</w:t>
      </w:r>
      <w:proofErr w:type="gramEnd"/>
      <w:r w:rsidRPr="005E6846">
        <w:rPr>
          <w:rFonts w:ascii="Book Antiqua" w:hAnsi="Book Antiqua"/>
          <w:szCs w:val="24"/>
        </w:rPr>
        <w:t xml:space="preserve"> lo anterior, la OSL determinó que no existe impedimento legal para la aprobación de la medida</w:t>
      </w:r>
      <w:r w:rsidR="00537CF7" w:rsidRPr="005E6846">
        <w:rPr>
          <w:rFonts w:ascii="Book Antiqua" w:hAnsi="Book Antiqua"/>
          <w:szCs w:val="24"/>
        </w:rPr>
        <w:t>. Asimismo</w:t>
      </w:r>
      <w:r w:rsidR="00254965" w:rsidRPr="005E6846">
        <w:rPr>
          <w:rFonts w:ascii="Book Antiqua" w:hAnsi="Book Antiqua"/>
          <w:szCs w:val="24"/>
        </w:rPr>
        <w:t>,</w:t>
      </w:r>
      <w:r w:rsidR="00537CF7" w:rsidRPr="005E6846">
        <w:rPr>
          <w:rFonts w:ascii="Book Antiqua" w:hAnsi="Book Antiqua"/>
          <w:szCs w:val="24"/>
        </w:rPr>
        <w:t xml:space="preserve"> concluyeron que la pieza legislativa aquí examinada atempera la Ley 119 con las normas jurisprudenciales más recientes en torno al impacto de la confiscación cuando se extingue la acción penal que dio base para ello. </w:t>
      </w:r>
      <w:r w:rsidRPr="005E6846">
        <w:rPr>
          <w:rFonts w:ascii="Book Antiqua" w:hAnsi="Book Antiqua"/>
          <w:szCs w:val="24"/>
        </w:rPr>
        <w:t xml:space="preserve"> </w:t>
      </w:r>
    </w:p>
    <w:p w14:paraId="5ED6D47F" w14:textId="61167B17" w:rsidR="00537CF7" w:rsidRDefault="007F34C6" w:rsidP="00537CF7">
      <w:pPr>
        <w:spacing w:after="240"/>
        <w:ind w:firstLine="720"/>
        <w:jc w:val="both"/>
        <w:rPr>
          <w:rFonts w:ascii="Book Antiqua" w:hAnsi="Book Antiqua"/>
          <w:szCs w:val="24"/>
        </w:rPr>
      </w:pPr>
      <w:r>
        <w:rPr>
          <w:rFonts w:ascii="Book Antiqua" w:hAnsi="Book Antiqua"/>
          <w:szCs w:val="24"/>
        </w:rPr>
        <w:t xml:space="preserve">En el 2021, </w:t>
      </w:r>
      <w:r w:rsidR="00254965">
        <w:rPr>
          <w:rFonts w:ascii="Book Antiqua" w:hAnsi="Book Antiqua"/>
          <w:szCs w:val="24"/>
        </w:rPr>
        <w:t xml:space="preserve">y refiriéndose al </w:t>
      </w:r>
      <w:r w:rsidR="00537CF7">
        <w:rPr>
          <w:rFonts w:ascii="Book Antiqua" w:hAnsi="Book Antiqua"/>
          <w:szCs w:val="24"/>
        </w:rPr>
        <w:t>P. de la C. 989</w:t>
      </w:r>
      <w:r w:rsidR="00254965">
        <w:rPr>
          <w:rFonts w:ascii="Book Antiqua" w:hAnsi="Book Antiqua"/>
          <w:szCs w:val="24"/>
        </w:rPr>
        <w:t>, la OSL</w:t>
      </w:r>
      <w:r w:rsidR="00537CF7">
        <w:rPr>
          <w:rFonts w:ascii="Book Antiqua" w:hAnsi="Book Antiqua"/>
          <w:szCs w:val="24"/>
        </w:rPr>
        <w:t xml:space="preserve"> informó lo siguiente</w:t>
      </w:r>
      <w:r>
        <w:rPr>
          <w:rFonts w:ascii="Book Antiqua" w:hAnsi="Book Antiqua"/>
          <w:szCs w:val="24"/>
        </w:rPr>
        <w:t>:</w:t>
      </w:r>
      <w:r w:rsidRPr="007F34C6">
        <w:rPr>
          <w:rStyle w:val="FootnoteReference"/>
          <w:rFonts w:ascii="Book Antiqua" w:hAnsi="Book Antiqua"/>
          <w:szCs w:val="24"/>
        </w:rPr>
        <w:footnoteReference w:id="6"/>
      </w:r>
    </w:p>
    <w:p w14:paraId="37241524" w14:textId="1AB6CB05" w:rsidR="00537CF7" w:rsidRPr="007F34C6" w:rsidRDefault="00537CF7" w:rsidP="004E1BD8">
      <w:pPr>
        <w:pStyle w:val="ListParagraph"/>
        <w:numPr>
          <w:ilvl w:val="0"/>
          <w:numId w:val="22"/>
        </w:numPr>
        <w:spacing w:after="240"/>
        <w:jc w:val="both"/>
        <w:rPr>
          <w:rFonts w:ascii="Book Antiqua" w:hAnsi="Book Antiqua"/>
          <w:szCs w:val="24"/>
        </w:rPr>
      </w:pPr>
      <w:r w:rsidRPr="007F34C6">
        <w:rPr>
          <w:rFonts w:ascii="Book Antiqua" w:hAnsi="Book Antiqua"/>
          <w:szCs w:val="24"/>
        </w:rPr>
        <w:t>La Asamblea Legislativa aprobó la Ley Núm. 119</w:t>
      </w:r>
      <w:r w:rsidR="00A83335">
        <w:rPr>
          <w:rFonts w:ascii="Book Antiqua" w:hAnsi="Book Antiqua"/>
          <w:szCs w:val="24"/>
        </w:rPr>
        <w:t>-</w:t>
      </w:r>
      <w:r w:rsidRPr="007F34C6">
        <w:rPr>
          <w:rFonts w:ascii="Book Antiqua" w:hAnsi="Book Antiqua"/>
          <w:szCs w:val="24"/>
        </w:rPr>
        <w:t>2011, según enmendada</w:t>
      </w:r>
      <w:r w:rsidR="00A83335">
        <w:rPr>
          <w:rFonts w:ascii="Book Antiqua" w:hAnsi="Book Antiqua"/>
          <w:szCs w:val="24"/>
        </w:rPr>
        <w:t>,</w:t>
      </w:r>
      <w:r w:rsidRPr="007F34C6">
        <w:rPr>
          <w:rFonts w:ascii="Book Antiqua" w:hAnsi="Book Antiqua"/>
          <w:szCs w:val="24"/>
        </w:rPr>
        <w:t xml:space="preserve"> con el propósito de regular todo lo relacionado a los procesos de confiscaciones. El </w:t>
      </w:r>
      <w:r w:rsidRPr="007F34C6">
        <w:rPr>
          <w:rFonts w:ascii="Book Antiqua" w:hAnsi="Book Antiqua"/>
          <w:szCs w:val="24"/>
        </w:rPr>
        <w:lastRenderedPageBreak/>
        <w:t xml:space="preserve">estatuto antes citado, derogó </w:t>
      </w:r>
      <w:r w:rsidR="00BB4B2C" w:rsidRPr="007F34C6">
        <w:rPr>
          <w:rFonts w:ascii="Book Antiqua" w:hAnsi="Book Antiqua"/>
          <w:szCs w:val="24"/>
        </w:rPr>
        <w:t xml:space="preserve">la Ley Núm. 93 de 13 de julio de 1988, según enmendada, conocida como “Ley Uniforme de Confiscaciones de 1988”. El </w:t>
      </w:r>
      <w:r w:rsidR="00362594">
        <w:rPr>
          <w:rFonts w:ascii="Book Antiqua" w:hAnsi="Book Antiqua"/>
          <w:szCs w:val="24"/>
        </w:rPr>
        <w:t>a</w:t>
      </w:r>
      <w:r w:rsidR="00BB4B2C" w:rsidRPr="007F34C6">
        <w:rPr>
          <w:rFonts w:ascii="Book Antiqua" w:hAnsi="Book Antiqua"/>
          <w:szCs w:val="24"/>
        </w:rPr>
        <w:t xml:space="preserve">rtículo 30 de la Ley Núm. 119-2011 dispuso que la misma comenzaba a regir inmediatamente después de su aprobación y su aplicación es de carácter retroactivo. No obstante, en la nueva legislación, el Tribunal Supremo de Puerto Rico siguió reconociendo que la extinción de la acción penal era impedimento a la confiscación de los bienes de naturaleza lícita. </w:t>
      </w:r>
    </w:p>
    <w:p w14:paraId="136C5DB9" w14:textId="059A8D09" w:rsidR="00BB4B2C" w:rsidRPr="007F34C6" w:rsidRDefault="00BB4B2C" w:rsidP="004E1BD8">
      <w:pPr>
        <w:pStyle w:val="ListParagraph"/>
        <w:numPr>
          <w:ilvl w:val="0"/>
          <w:numId w:val="22"/>
        </w:numPr>
        <w:spacing w:after="240"/>
        <w:jc w:val="both"/>
        <w:rPr>
          <w:rFonts w:ascii="Book Antiqua" w:hAnsi="Book Antiqua"/>
          <w:szCs w:val="24"/>
        </w:rPr>
      </w:pPr>
      <w:r w:rsidRPr="007F34C6">
        <w:rPr>
          <w:rFonts w:ascii="Book Antiqua" w:hAnsi="Book Antiqua"/>
          <w:szCs w:val="24"/>
        </w:rPr>
        <w:t xml:space="preserve">Tras aprobarse la Ley Núm. 287-2018, se dejó sin efecto la doctrina elaborada por el Tribunal Supremo en las distintas circunstancias que aquí reseñamos. De esta forma, la legislatura alteraba el axioma de carácter constitucional…enmendando la sentencia, como modalidad de la figura de cosa juzgada. El impedimento colateral por sentencia es una figura del derecho civil que opera cuando un hecho esencial para el pronunciamiento de la </w:t>
      </w:r>
      <w:proofErr w:type="gramStart"/>
      <w:r w:rsidRPr="007F34C6">
        <w:rPr>
          <w:rFonts w:ascii="Book Antiqua" w:hAnsi="Book Antiqua"/>
          <w:szCs w:val="24"/>
        </w:rPr>
        <w:t>sentencia,</w:t>
      </w:r>
      <w:proofErr w:type="gramEnd"/>
      <w:r w:rsidRPr="007F34C6">
        <w:rPr>
          <w:rFonts w:ascii="Book Antiqua" w:hAnsi="Book Antiqua"/>
          <w:szCs w:val="24"/>
        </w:rPr>
        <w:t xml:space="preserve"> se dilucida y determina mediante sentencia válida y final y tal determinación es concluyente en un segundo pleito entre las mismas partes, aunque estén envueltas causas de acción distintas. </w:t>
      </w:r>
    </w:p>
    <w:p w14:paraId="429A9722" w14:textId="5E5E57B1" w:rsidR="00BB4B2C" w:rsidRPr="007F34C6" w:rsidRDefault="00BB4B2C" w:rsidP="004E1BD8">
      <w:pPr>
        <w:pStyle w:val="ListParagraph"/>
        <w:numPr>
          <w:ilvl w:val="0"/>
          <w:numId w:val="22"/>
        </w:numPr>
        <w:spacing w:after="240"/>
        <w:jc w:val="both"/>
        <w:rPr>
          <w:rFonts w:ascii="Book Antiqua" w:hAnsi="Book Antiqua"/>
          <w:szCs w:val="24"/>
        </w:rPr>
      </w:pPr>
      <w:r w:rsidRPr="007F34C6">
        <w:rPr>
          <w:rFonts w:ascii="Book Antiqua" w:hAnsi="Book Antiqua"/>
          <w:szCs w:val="24"/>
        </w:rPr>
        <w:t xml:space="preserve">Las enmiendas propuestas por esta medida no son ajenas a nuestro ordenamiento jurídico. La OSL entiende que este proyecto debe aprobarse, ya que reivindica las garantías sustantivas y procesales reconocidas por nuestro más alto foro judicial. </w:t>
      </w:r>
    </w:p>
    <w:p w14:paraId="588FD849" w14:textId="0FFEAF22" w:rsidR="00A10981" w:rsidRDefault="001009AB" w:rsidP="00235BD9">
      <w:pPr>
        <w:spacing w:after="240" w:line="288" w:lineRule="auto"/>
        <w:ind w:firstLine="720"/>
        <w:jc w:val="both"/>
        <w:rPr>
          <w:rFonts w:ascii="Book Antiqua" w:hAnsi="Book Antiqua"/>
          <w:color w:val="000000"/>
          <w:szCs w:val="24"/>
          <w:shd w:val="clear" w:color="auto" w:fill="FFFFFF"/>
          <w:lang w:val="es-PR"/>
        </w:rPr>
      </w:pPr>
      <w:r w:rsidRPr="001009AB">
        <w:rPr>
          <w:rFonts w:ascii="Book Antiqua" w:hAnsi="Book Antiqua"/>
          <w:bCs/>
          <w:color w:val="000000"/>
          <w:szCs w:val="24"/>
          <w:shd w:val="clear" w:color="auto" w:fill="FFFFFF"/>
          <w:lang w:val="es-PR"/>
        </w:rPr>
        <w:t xml:space="preserve">La </w:t>
      </w:r>
      <w:r>
        <w:rPr>
          <w:rFonts w:ascii="Book Antiqua" w:hAnsi="Book Antiqua"/>
          <w:b/>
          <w:color w:val="000000"/>
          <w:szCs w:val="24"/>
          <w:shd w:val="clear" w:color="auto" w:fill="FFFFFF"/>
          <w:lang w:val="es-PR"/>
        </w:rPr>
        <w:t xml:space="preserve">Asociación de Bancos de Puerto Rico </w:t>
      </w:r>
      <w:r w:rsidRPr="000E30B7">
        <w:rPr>
          <w:rFonts w:ascii="Book Antiqua" w:hAnsi="Book Antiqua"/>
          <w:bCs/>
          <w:color w:val="000000"/>
          <w:szCs w:val="24"/>
          <w:shd w:val="clear" w:color="auto" w:fill="FFFFFF"/>
          <w:lang w:val="es-PR"/>
        </w:rPr>
        <w:t>(</w:t>
      </w:r>
      <w:r>
        <w:rPr>
          <w:rFonts w:ascii="Book Antiqua" w:hAnsi="Book Antiqua"/>
          <w:bCs/>
          <w:color w:val="000000"/>
          <w:szCs w:val="24"/>
          <w:shd w:val="clear" w:color="auto" w:fill="FFFFFF"/>
          <w:lang w:val="es-PR"/>
        </w:rPr>
        <w:t>ABPR</w:t>
      </w:r>
      <w:r w:rsidRPr="000E30B7">
        <w:rPr>
          <w:rFonts w:ascii="Book Antiqua" w:hAnsi="Book Antiqua"/>
          <w:bCs/>
          <w:color w:val="000000"/>
          <w:szCs w:val="24"/>
          <w:shd w:val="clear" w:color="auto" w:fill="FFFFFF"/>
          <w:lang w:val="es-PR"/>
        </w:rPr>
        <w:t>)</w:t>
      </w:r>
      <w:r w:rsidR="00254965">
        <w:rPr>
          <w:rFonts w:ascii="Book Antiqua" w:hAnsi="Book Antiqua"/>
          <w:color w:val="000000"/>
          <w:szCs w:val="24"/>
          <w:shd w:val="clear" w:color="auto" w:fill="FFFFFF"/>
          <w:lang w:val="es-PR"/>
        </w:rPr>
        <w:t xml:space="preserve"> nos expresa,</w:t>
      </w:r>
      <w:r w:rsidR="0021380A">
        <w:rPr>
          <w:rStyle w:val="FootnoteReference"/>
          <w:rFonts w:ascii="Book Antiqua" w:hAnsi="Book Antiqua"/>
          <w:bCs/>
          <w:color w:val="000000"/>
          <w:szCs w:val="24"/>
          <w:shd w:val="clear" w:color="auto" w:fill="FFFFFF"/>
          <w:lang w:val="es-PR"/>
        </w:rPr>
        <w:footnoteReference w:id="7"/>
      </w:r>
      <w:r w:rsidR="0021380A">
        <w:rPr>
          <w:rFonts w:ascii="Book Antiqua" w:hAnsi="Book Antiqua"/>
          <w:color w:val="000000"/>
          <w:szCs w:val="24"/>
          <w:shd w:val="clear" w:color="auto" w:fill="FFFFFF"/>
          <w:lang w:val="es-PR"/>
        </w:rPr>
        <w:t xml:space="preserve"> </w:t>
      </w:r>
      <w:r w:rsidR="00254965">
        <w:rPr>
          <w:rFonts w:ascii="Book Antiqua" w:hAnsi="Book Antiqua"/>
          <w:color w:val="000000"/>
          <w:szCs w:val="24"/>
          <w:shd w:val="clear" w:color="auto" w:fill="FFFFFF"/>
          <w:lang w:val="es-PR"/>
        </w:rPr>
        <w:t xml:space="preserve">en síntesis, que “hasta el presente no se han aprobado enmiendas a la Ley Núm. 119-2011 que en efecto incorporen la doctrina consistentemente aprobada por el Tribunal Supremo de Puerto Rico reconociendo la figura del impedimento colateral por sentencia en el contexto de dicha ley, asunto que es la clara intención de las enmiendas propuestas por el Proyecto. La aprobación del [P. de la C. 989] permitirá que lo dispuesto en el </w:t>
      </w:r>
      <w:r w:rsidR="00362594">
        <w:rPr>
          <w:rFonts w:ascii="Book Antiqua" w:hAnsi="Book Antiqua"/>
          <w:color w:val="000000"/>
          <w:szCs w:val="24"/>
          <w:shd w:val="clear" w:color="auto" w:fill="FFFFFF"/>
          <w:lang w:val="es-PR"/>
        </w:rPr>
        <w:t>a</w:t>
      </w:r>
      <w:r w:rsidR="00254965">
        <w:rPr>
          <w:rFonts w:ascii="Book Antiqua" w:hAnsi="Book Antiqua"/>
          <w:color w:val="000000"/>
          <w:szCs w:val="24"/>
          <w:shd w:val="clear" w:color="auto" w:fill="FFFFFF"/>
          <w:lang w:val="es-PR"/>
        </w:rPr>
        <w:t xml:space="preserve">rtículo 8 de la Ley Núm. 119-2011 sobre el proceso de confiscación armonice con lo dispuesto en su </w:t>
      </w:r>
      <w:r w:rsidR="00B62E5E">
        <w:rPr>
          <w:rFonts w:ascii="Book Antiqua" w:hAnsi="Book Antiqua"/>
          <w:color w:val="000000"/>
          <w:szCs w:val="24"/>
          <w:shd w:val="clear" w:color="auto" w:fill="FFFFFF"/>
          <w:lang w:val="es-PR"/>
        </w:rPr>
        <w:t>a</w:t>
      </w:r>
      <w:r w:rsidR="00254965">
        <w:rPr>
          <w:rFonts w:ascii="Book Antiqua" w:hAnsi="Book Antiqua"/>
          <w:color w:val="000000"/>
          <w:szCs w:val="24"/>
          <w:shd w:val="clear" w:color="auto" w:fill="FFFFFF"/>
          <w:lang w:val="es-PR"/>
        </w:rPr>
        <w:t>rtículo 9 sobre los bienes que están sujetos a</w:t>
      </w:r>
      <w:r w:rsidR="00895ED0">
        <w:rPr>
          <w:rFonts w:ascii="Book Antiqua" w:hAnsi="Book Antiqua"/>
          <w:color w:val="000000"/>
          <w:szCs w:val="24"/>
          <w:shd w:val="clear" w:color="auto" w:fill="FFFFFF"/>
          <w:lang w:val="es-PR"/>
        </w:rPr>
        <w:t xml:space="preserve"> confiscación, corrigiendo así una situación que se viene arrastrando desde la aprobación de dicha ley que ha causado la radicación de múltiples pleitos en nuestros tribunales.” </w:t>
      </w:r>
    </w:p>
    <w:p w14:paraId="4B57A80D" w14:textId="122516D6" w:rsidR="00895ED0" w:rsidRDefault="00895ED0" w:rsidP="004E1BD8">
      <w:pPr>
        <w:autoSpaceDE w:val="0"/>
        <w:autoSpaceDN w:val="0"/>
        <w:adjustRightInd w:val="0"/>
        <w:spacing w:after="120" w:line="288" w:lineRule="auto"/>
        <w:ind w:firstLine="720"/>
        <w:jc w:val="both"/>
        <w:rPr>
          <w:rFonts w:ascii="Book Antiqua" w:hAnsi="Book Antiqua"/>
          <w:color w:val="000000"/>
          <w:szCs w:val="24"/>
          <w:shd w:val="clear" w:color="auto" w:fill="FFFFFF"/>
        </w:rPr>
      </w:pPr>
      <w:r>
        <w:rPr>
          <w:rFonts w:ascii="Book Antiqua" w:hAnsi="Book Antiqua"/>
          <w:color w:val="000000"/>
          <w:szCs w:val="24"/>
          <w:shd w:val="clear" w:color="auto" w:fill="FFFFFF"/>
          <w:lang w:val="es-PR"/>
        </w:rPr>
        <w:t>La ABPR recomendó a la Asamblea Legislativa la aprobación del P. de la C. 989; que como dijimos es una de las versiones anteriores de la intención legislativa del P. de la C. 679 el cual es el objeto de este Informe.</w:t>
      </w:r>
    </w:p>
    <w:p w14:paraId="55896AC6" w14:textId="0BB4A19E" w:rsidR="007100C8" w:rsidRPr="00895ED0" w:rsidRDefault="00881200" w:rsidP="00145FF5">
      <w:pPr>
        <w:spacing w:line="360" w:lineRule="auto"/>
        <w:ind w:firstLine="720"/>
        <w:rPr>
          <w:rFonts w:ascii="Book Antiqua" w:hAnsi="Book Antiqua"/>
          <w:color w:val="000000"/>
          <w:szCs w:val="24"/>
          <w:shd w:val="clear" w:color="auto" w:fill="FFFFFF"/>
          <w:lang w:val="es-PR"/>
        </w:rPr>
      </w:pPr>
      <w:r w:rsidRPr="00881200">
        <w:rPr>
          <w:rFonts w:ascii="Book Antiqua" w:hAnsi="Book Antiqua"/>
          <w:bCs/>
          <w:color w:val="000000"/>
          <w:szCs w:val="24"/>
          <w:shd w:val="clear" w:color="auto" w:fill="FFFFFF"/>
          <w:lang w:val="es-PR"/>
        </w:rPr>
        <w:lastRenderedPageBreak/>
        <w:t>La</w:t>
      </w:r>
      <w:r>
        <w:rPr>
          <w:rFonts w:ascii="Book Antiqua" w:hAnsi="Book Antiqua"/>
          <w:b/>
          <w:color w:val="000000"/>
          <w:szCs w:val="24"/>
          <w:shd w:val="clear" w:color="auto" w:fill="FFFFFF"/>
          <w:lang w:val="es-PR"/>
        </w:rPr>
        <w:t xml:space="preserve"> </w:t>
      </w:r>
      <w:r w:rsidRPr="00895ED0">
        <w:rPr>
          <w:rFonts w:ascii="Book Antiqua" w:hAnsi="Book Antiqua"/>
          <w:b/>
          <w:color w:val="000000"/>
          <w:szCs w:val="24"/>
          <w:shd w:val="clear" w:color="auto" w:fill="FFFFFF"/>
          <w:lang w:val="es-PR"/>
        </w:rPr>
        <w:t xml:space="preserve">Asociación de Compañías de Seguro </w:t>
      </w:r>
      <w:r w:rsidRPr="00895ED0">
        <w:rPr>
          <w:rFonts w:ascii="Book Antiqua" w:hAnsi="Book Antiqua"/>
          <w:bCs/>
          <w:color w:val="000000"/>
          <w:szCs w:val="24"/>
          <w:shd w:val="clear" w:color="auto" w:fill="FFFFFF"/>
          <w:lang w:val="es-PR"/>
        </w:rPr>
        <w:t>(ACODESE)</w:t>
      </w:r>
      <w:r>
        <w:rPr>
          <w:rFonts w:ascii="Book Antiqua" w:hAnsi="Book Antiqua"/>
          <w:bCs/>
          <w:color w:val="000000"/>
          <w:szCs w:val="24"/>
          <w:shd w:val="clear" w:color="auto" w:fill="FFFFFF"/>
          <w:lang w:val="es-PR"/>
        </w:rPr>
        <w:t xml:space="preserve"> </w:t>
      </w:r>
      <w:r w:rsidR="00895ED0">
        <w:rPr>
          <w:rFonts w:ascii="Book Antiqua" w:hAnsi="Book Antiqua"/>
          <w:color w:val="000000"/>
          <w:szCs w:val="24"/>
          <w:shd w:val="clear" w:color="auto" w:fill="FFFFFF"/>
          <w:lang w:val="es-PR"/>
        </w:rPr>
        <w:t>se expresó en 2022 sobre la aprobación d</w:t>
      </w:r>
      <w:r w:rsidR="00464403" w:rsidRPr="00895ED0">
        <w:rPr>
          <w:rFonts w:ascii="Book Antiqua" w:hAnsi="Book Antiqua"/>
          <w:color w:val="000000"/>
          <w:szCs w:val="24"/>
          <w:shd w:val="clear" w:color="auto" w:fill="FFFFFF"/>
          <w:lang w:val="es-PR"/>
        </w:rPr>
        <w:t xml:space="preserve">el P. de la C. </w:t>
      </w:r>
      <w:r w:rsidR="00895ED0">
        <w:rPr>
          <w:rFonts w:ascii="Book Antiqua" w:hAnsi="Book Antiqua"/>
          <w:color w:val="000000"/>
          <w:szCs w:val="24"/>
          <w:shd w:val="clear" w:color="auto" w:fill="FFFFFF"/>
          <w:lang w:val="es-PR"/>
        </w:rPr>
        <w:t>989</w:t>
      </w:r>
      <w:r w:rsidR="00464403" w:rsidRPr="00895ED0">
        <w:rPr>
          <w:rFonts w:ascii="Book Antiqua" w:hAnsi="Book Antiqua"/>
          <w:color w:val="000000"/>
          <w:szCs w:val="24"/>
          <w:shd w:val="clear" w:color="auto" w:fill="FFFFFF"/>
          <w:lang w:val="es-PR"/>
        </w:rPr>
        <w:t>.</w:t>
      </w:r>
      <w:r w:rsidR="00145FF5">
        <w:rPr>
          <w:rStyle w:val="FootnoteReference"/>
          <w:rFonts w:ascii="Book Antiqua" w:hAnsi="Book Antiqua"/>
          <w:bCs/>
          <w:color w:val="000000"/>
          <w:szCs w:val="24"/>
          <w:shd w:val="clear" w:color="auto" w:fill="FFFFFF"/>
          <w:lang w:val="es-PR"/>
        </w:rPr>
        <w:footnoteReference w:id="8"/>
      </w:r>
      <w:r w:rsidR="00145FF5">
        <w:rPr>
          <w:rFonts w:ascii="Book Antiqua" w:hAnsi="Book Antiqua"/>
          <w:color w:val="000000"/>
          <w:szCs w:val="24"/>
          <w:shd w:val="clear" w:color="auto" w:fill="FFFFFF"/>
          <w:lang w:val="es-PR"/>
        </w:rPr>
        <w:t xml:space="preserve"> </w:t>
      </w:r>
      <w:r w:rsidR="00895ED0">
        <w:rPr>
          <w:rFonts w:ascii="Book Antiqua" w:hAnsi="Book Antiqua"/>
          <w:color w:val="000000"/>
          <w:szCs w:val="24"/>
          <w:shd w:val="clear" w:color="auto" w:fill="FFFFFF"/>
          <w:lang w:val="es-PR"/>
        </w:rPr>
        <w:t>En síntesis, nos plantean que:</w:t>
      </w:r>
    </w:p>
    <w:p w14:paraId="513BC5AB" w14:textId="3CF13DCF" w:rsidR="00895ED0" w:rsidRPr="00907F44" w:rsidRDefault="00895ED0" w:rsidP="008F1EEB">
      <w:pPr>
        <w:pStyle w:val="BodyText"/>
        <w:spacing w:before="120" w:line="240" w:lineRule="auto"/>
        <w:ind w:left="720" w:right="720"/>
        <w:jc w:val="both"/>
        <w:rPr>
          <w:rFonts w:ascii="Book Antiqua" w:hAnsi="Book Antiqua"/>
          <w:sz w:val="24"/>
          <w:szCs w:val="24"/>
        </w:rPr>
      </w:pPr>
      <w:r w:rsidRPr="00907F44">
        <w:rPr>
          <w:rFonts w:ascii="Book Antiqua" w:hAnsi="Book Antiqua"/>
          <w:sz w:val="24"/>
          <w:szCs w:val="24"/>
        </w:rPr>
        <w:t xml:space="preserve">Ordenar al Estado devolver la propiedad </w:t>
      </w:r>
      <w:proofErr w:type="spellStart"/>
      <w:r w:rsidRPr="00907F44">
        <w:rPr>
          <w:rFonts w:ascii="Book Antiqua" w:hAnsi="Book Antiqua"/>
          <w:sz w:val="24"/>
          <w:szCs w:val="24"/>
        </w:rPr>
        <w:t>aún</w:t>
      </w:r>
      <w:proofErr w:type="spellEnd"/>
      <w:r w:rsidRPr="00907F44">
        <w:rPr>
          <w:rFonts w:ascii="Book Antiqua" w:hAnsi="Book Antiqua"/>
          <w:sz w:val="24"/>
          <w:szCs w:val="24"/>
        </w:rPr>
        <w:t xml:space="preserve"> cuando nadie ha impugnado la confiscación, puede atentar contra la naturaleza de la misma confiscación civil o </w:t>
      </w:r>
      <w:r w:rsidRPr="00907F44">
        <w:rPr>
          <w:rFonts w:ascii="Book Antiqua" w:hAnsi="Book Antiqua"/>
          <w:i/>
          <w:iCs/>
          <w:sz w:val="24"/>
          <w:szCs w:val="24"/>
        </w:rPr>
        <w:t>in rem</w:t>
      </w:r>
      <w:r w:rsidRPr="00907F44">
        <w:rPr>
          <w:rFonts w:ascii="Book Antiqua" w:hAnsi="Book Antiqua"/>
          <w:sz w:val="24"/>
          <w:szCs w:val="24"/>
        </w:rPr>
        <w:t xml:space="preserve">. Además, el lenguaje citado presenta un conflicto con la presunción de corrección y legalidad de la confiscación dispuesta en el </w:t>
      </w:r>
      <w:r w:rsidR="00955F61">
        <w:rPr>
          <w:rFonts w:ascii="Book Antiqua" w:hAnsi="Book Antiqua"/>
          <w:sz w:val="24"/>
          <w:szCs w:val="24"/>
        </w:rPr>
        <w:t>a</w:t>
      </w:r>
      <w:r w:rsidRPr="00907F44">
        <w:rPr>
          <w:rFonts w:ascii="Book Antiqua" w:hAnsi="Book Antiqua"/>
          <w:sz w:val="24"/>
          <w:szCs w:val="24"/>
        </w:rPr>
        <w:t xml:space="preserve">rtículo 15. Si el interés de esta Asamblea Legislativa es impedir que el Estado </w:t>
      </w:r>
      <w:r w:rsidR="00E343B4" w:rsidRPr="00907F44">
        <w:rPr>
          <w:rFonts w:ascii="Book Antiqua" w:hAnsi="Book Antiqua"/>
          <w:sz w:val="24"/>
          <w:szCs w:val="24"/>
        </w:rPr>
        <w:t xml:space="preserve">ocupe y confisque para sí una propiedad privada si no prevalece el proceso penal, el Tribunal Supremo podría concluir que entonces no existe una confiscación civil y que lo que corresponde es una confiscación penal o </w:t>
      </w:r>
      <w:r w:rsidR="00E343B4" w:rsidRPr="00907F44">
        <w:rPr>
          <w:rFonts w:ascii="Book Antiqua" w:hAnsi="Book Antiqua"/>
          <w:i/>
          <w:iCs/>
          <w:sz w:val="24"/>
          <w:szCs w:val="24"/>
        </w:rPr>
        <w:t xml:space="preserve">in </w:t>
      </w:r>
      <w:proofErr w:type="spellStart"/>
      <w:r w:rsidR="00E343B4" w:rsidRPr="00907F44">
        <w:rPr>
          <w:rFonts w:ascii="Book Antiqua" w:hAnsi="Book Antiqua"/>
          <w:i/>
          <w:iCs/>
          <w:sz w:val="24"/>
          <w:szCs w:val="24"/>
        </w:rPr>
        <w:t>personam</w:t>
      </w:r>
      <w:proofErr w:type="spellEnd"/>
      <w:r w:rsidR="00E343B4" w:rsidRPr="00907F44">
        <w:rPr>
          <w:rFonts w:ascii="Book Antiqua" w:hAnsi="Book Antiqua"/>
          <w:i/>
          <w:iCs/>
          <w:sz w:val="24"/>
          <w:szCs w:val="24"/>
        </w:rPr>
        <w:t>.</w:t>
      </w:r>
      <w:r w:rsidR="00E343B4" w:rsidRPr="00907F44">
        <w:rPr>
          <w:rFonts w:ascii="Book Antiqua" w:hAnsi="Book Antiqua"/>
          <w:sz w:val="24"/>
          <w:szCs w:val="24"/>
        </w:rPr>
        <w:t xml:space="preserve"> Recordemos que nuestro derecho es uno rogado y corresponde a la persona afectada por la confiscación ejercer su derecho de impugnarla. </w:t>
      </w:r>
    </w:p>
    <w:p w14:paraId="60F7046D" w14:textId="035F4862" w:rsidR="00E343B4" w:rsidRPr="00907F44" w:rsidRDefault="00E343B4" w:rsidP="001526F8">
      <w:pPr>
        <w:pStyle w:val="BodyText"/>
        <w:spacing w:before="270" w:line="240" w:lineRule="auto"/>
        <w:ind w:left="720" w:right="720"/>
        <w:jc w:val="both"/>
        <w:rPr>
          <w:rFonts w:ascii="Book Antiqua" w:hAnsi="Book Antiqua"/>
          <w:sz w:val="24"/>
          <w:szCs w:val="24"/>
        </w:rPr>
      </w:pPr>
      <w:r w:rsidRPr="00907F44">
        <w:rPr>
          <w:rFonts w:ascii="Book Antiqua" w:hAnsi="Book Antiqua"/>
          <w:sz w:val="24"/>
          <w:szCs w:val="24"/>
        </w:rPr>
        <w:t xml:space="preserve">Es importante que se aclare si es necesario o si debe interpretarse que se está eliminando la presunción de corrección al instruir al Gobierno que debe devolver la propiedad independientemente de lo que acontezca en [el] proceso penal, aún sin existir una acción de impugnación. </w:t>
      </w:r>
    </w:p>
    <w:p w14:paraId="3878E949" w14:textId="41EEBB23" w:rsidR="00E343B4" w:rsidRDefault="00E343B4" w:rsidP="001526F8">
      <w:pPr>
        <w:pStyle w:val="BodyText"/>
        <w:spacing w:before="270" w:line="240" w:lineRule="auto"/>
        <w:ind w:left="720" w:right="720"/>
        <w:jc w:val="both"/>
        <w:rPr>
          <w:rFonts w:ascii="Book Antiqua" w:hAnsi="Book Antiqua"/>
          <w:sz w:val="24"/>
          <w:szCs w:val="24"/>
        </w:rPr>
      </w:pPr>
      <w:r w:rsidRPr="00907F44">
        <w:rPr>
          <w:rFonts w:ascii="Book Antiqua" w:hAnsi="Book Antiqua"/>
          <w:sz w:val="24"/>
          <w:szCs w:val="24"/>
        </w:rPr>
        <w:t xml:space="preserve">Por otro lado, puede ser el caso que se solicite que la sentencia sea final y firme, contrario a lo que se propone en la medida, antes de poder aplicar la doctrina de cosa juzgada y aplique el impedimento colateral por sentencia. Lo anterior, toda vez que ordenar </w:t>
      </w:r>
      <w:r w:rsidR="005F1DF8" w:rsidRPr="00907F44">
        <w:rPr>
          <w:rFonts w:ascii="Book Antiqua" w:hAnsi="Book Antiqua"/>
          <w:sz w:val="24"/>
          <w:szCs w:val="24"/>
        </w:rPr>
        <w:t xml:space="preserve">la devolución del vehículo y concluir el proceso de confiscación a la espera de una </w:t>
      </w:r>
      <w:proofErr w:type="gramStart"/>
      <w:r w:rsidR="005F1DF8" w:rsidRPr="00907F44">
        <w:rPr>
          <w:rFonts w:ascii="Book Antiqua" w:hAnsi="Book Antiqua"/>
          <w:sz w:val="24"/>
          <w:szCs w:val="24"/>
        </w:rPr>
        <w:t>conclusión final</w:t>
      </w:r>
      <w:proofErr w:type="gramEnd"/>
      <w:r w:rsidR="005F1DF8" w:rsidRPr="00907F44">
        <w:rPr>
          <w:rFonts w:ascii="Book Antiqua" w:hAnsi="Book Antiqua"/>
          <w:sz w:val="24"/>
          <w:szCs w:val="24"/>
        </w:rPr>
        <w:t xml:space="preserve"> y firme del proceso penal, y facultar al Estado a iniciar otro proceso de confiscación acarrea serias dificultades. Por ejemplo, ¿qué pasaría si antes de recaer la sentencia desfavorable, el vehículo que ha sido </w:t>
      </w:r>
      <w:proofErr w:type="gramStart"/>
      <w:r w:rsidR="005F1DF8" w:rsidRPr="00907F44">
        <w:rPr>
          <w:rFonts w:ascii="Book Antiqua" w:hAnsi="Book Antiqua"/>
          <w:sz w:val="24"/>
          <w:szCs w:val="24"/>
        </w:rPr>
        <w:t>devuelto,</w:t>
      </w:r>
      <w:proofErr w:type="gramEnd"/>
      <w:r w:rsidR="005F1DF8" w:rsidRPr="00907F44">
        <w:rPr>
          <w:rFonts w:ascii="Book Antiqua" w:hAnsi="Book Antiqua"/>
          <w:sz w:val="24"/>
          <w:szCs w:val="24"/>
        </w:rPr>
        <w:t xml:space="preserve"> es vendido a un tercero? ¿Procedería prohibir disponer del vehículo en todos o en algunos casos? ¿Podrá confiscarse? ¿Cómo afecta esta instrucción a los casos en que se consigna fianza y se recupera el vehículo al inicio de los procedimientos?</w:t>
      </w:r>
    </w:p>
    <w:p w14:paraId="46BD1A86" w14:textId="77777777" w:rsidR="001526F8" w:rsidRDefault="001526F8" w:rsidP="00A310CE">
      <w:pPr>
        <w:pStyle w:val="BodyText"/>
        <w:spacing w:before="270"/>
        <w:ind w:left="720" w:right="720"/>
        <w:jc w:val="both"/>
        <w:rPr>
          <w:rFonts w:ascii="Book Antiqua" w:hAnsi="Book Antiqua"/>
          <w:sz w:val="24"/>
          <w:szCs w:val="24"/>
        </w:rPr>
      </w:pPr>
    </w:p>
    <w:p w14:paraId="2E6B8797" w14:textId="77777777" w:rsidR="001526F8" w:rsidRDefault="001526F8" w:rsidP="00A310CE">
      <w:pPr>
        <w:pStyle w:val="BodyText"/>
        <w:spacing w:before="270"/>
        <w:ind w:left="720" w:right="720"/>
        <w:jc w:val="both"/>
        <w:rPr>
          <w:rFonts w:ascii="Book Antiqua" w:hAnsi="Book Antiqua"/>
          <w:sz w:val="24"/>
          <w:szCs w:val="24"/>
        </w:rPr>
      </w:pPr>
    </w:p>
    <w:p w14:paraId="50BEFE0F" w14:textId="77777777" w:rsidR="001526F8" w:rsidRDefault="001526F8" w:rsidP="00A310CE">
      <w:pPr>
        <w:pStyle w:val="BodyText"/>
        <w:spacing w:before="270"/>
        <w:ind w:left="720" w:right="720"/>
        <w:jc w:val="both"/>
        <w:rPr>
          <w:rFonts w:ascii="Book Antiqua" w:hAnsi="Book Antiqua"/>
          <w:sz w:val="24"/>
          <w:szCs w:val="24"/>
        </w:rPr>
      </w:pPr>
    </w:p>
    <w:p w14:paraId="77057FAC" w14:textId="77777777" w:rsidR="001526F8" w:rsidRPr="00907F44" w:rsidRDefault="001526F8" w:rsidP="00A310CE">
      <w:pPr>
        <w:pStyle w:val="BodyText"/>
        <w:spacing w:before="270"/>
        <w:ind w:left="720" w:right="720"/>
        <w:jc w:val="both"/>
        <w:rPr>
          <w:rFonts w:ascii="Book Antiqua" w:hAnsi="Book Antiqua"/>
          <w:sz w:val="24"/>
          <w:szCs w:val="24"/>
        </w:rPr>
      </w:pPr>
    </w:p>
    <w:p w14:paraId="29A9C09A" w14:textId="09A59DFA" w:rsidR="00E343B4" w:rsidRPr="005F1DF8" w:rsidRDefault="005F1DF8" w:rsidP="001526F8">
      <w:pPr>
        <w:pStyle w:val="BodyText"/>
        <w:spacing w:before="270" w:line="288" w:lineRule="auto"/>
        <w:ind w:right="720" w:firstLine="720"/>
        <w:jc w:val="both"/>
        <w:rPr>
          <w:rFonts w:ascii="Book Antiqua" w:hAnsi="Book Antiqua"/>
          <w:sz w:val="24"/>
          <w:szCs w:val="24"/>
        </w:rPr>
      </w:pPr>
      <w:r>
        <w:rPr>
          <w:rFonts w:ascii="Book Antiqua" w:hAnsi="Book Antiqua"/>
          <w:sz w:val="24"/>
          <w:szCs w:val="24"/>
        </w:rPr>
        <w:lastRenderedPageBreak/>
        <w:t xml:space="preserve">La ACODESE entiende [y recomienda] que lo que se debe procurar es mantener la práctica de tener que esperar por una sentencia final y firme para poder levantar cualquier planteamiento de impedimento colateral por sentencia y que sea necesario impugnar por la confiscación por la vía judicial o administrativa para dicha defensa. </w:t>
      </w:r>
    </w:p>
    <w:p w14:paraId="286BE12F" w14:textId="642E5AB0" w:rsidR="00124911" w:rsidRDefault="000526D4" w:rsidP="004D4D0A">
      <w:pPr>
        <w:spacing w:after="120" w:line="288" w:lineRule="auto"/>
        <w:ind w:firstLine="720"/>
        <w:jc w:val="both"/>
        <w:rPr>
          <w:rFonts w:ascii="Book Antiqua" w:hAnsi="Book Antiqua"/>
          <w:color w:val="000000"/>
          <w:szCs w:val="24"/>
          <w:shd w:val="clear" w:color="auto" w:fill="FFFFFF"/>
        </w:rPr>
      </w:pPr>
      <w:r>
        <w:rPr>
          <w:rFonts w:ascii="Book Antiqua" w:eastAsia="Book Antiqua" w:hAnsi="Book Antiqua" w:cs="Book Antiqua"/>
          <w:color w:val="000000" w:themeColor="text1"/>
          <w:szCs w:val="24"/>
        </w:rPr>
        <w:t>Según nos plantea el</w:t>
      </w:r>
      <w:r w:rsidR="001526F8">
        <w:rPr>
          <w:rFonts w:ascii="Book Antiqua" w:eastAsia="Book Antiqua" w:hAnsi="Book Antiqua" w:cs="Book Antiqua"/>
          <w:color w:val="000000" w:themeColor="text1"/>
          <w:szCs w:val="24"/>
        </w:rPr>
        <w:t xml:space="preserve"> </w:t>
      </w:r>
      <w:r w:rsidR="001526F8">
        <w:rPr>
          <w:rFonts w:ascii="Book Antiqua" w:hAnsi="Book Antiqua"/>
          <w:b/>
          <w:color w:val="000000"/>
          <w:szCs w:val="24"/>
          <w:shd w:val="clear" w:color="auto" w:fill="FFFFFF"/>
          <w:lang w:val="es-ES"/>
        </w:rPr>
        <w:t xml:space="preserve">Departamento de Seguridad Pública </w:t>
      </w:r>
      <w:r w:rsidR="001526F8" w:rsidRPr="001526F8">
        <w:rPr>
          <w:rFonts w:ascii="Book Antiqua" w:hAnsi="Book Antiqua"/>
          <w:bCs/>
          <w:color w:val="000000"/>
          <w:szCs w:val="24"/>
          <w:shd w:val="clear" w:color="auto" w:fill="FFFFFF"/>
          <w:lang w:val="es-ES"/>
        </w:rPr>
        <w:t>(</w:t>
      </w:r>
      <w:r>
        <w:rPr>
          <w:rFonts w:ascii="Book Antiqua" w:eastAsia="Book Antiqua" w:hAnsi="Book Antiqua" w:cs="Book Antiqua"/>
          <w:color w:val="000000" w:themeColor="text1"/>
          <w:szCs w:val="24"/>
        </w:rPr>
        <w:t>DSP</w:t>
      </w:r>
      <w:r w:rsidR="001526F8">
        <w:rPr>
          <w:rFonts w:ascii="Book Antiqua" w:eastAsia="Book Antiqua" w:hAnsi="Book Antiqua" w:cs="Book Antiqua"/>
          <w:color w:val="000000" w:themeColor="text1"/>
          <w:szCs w:val="24"/>
        </w:rPr>
        <w:t>)</w:t>
      </w:r>
      <w:r>
        <w:rPr>
          <w:rFonts w:ascii="Book Antiqua" w:eastAsia="Book Antiqua" w:hAnsi="Book Antiqua" w:cs="Book Antiqua"/>
          <w:color w:val="000000" w:themeColor="text1"/>
          <w:szCs w:val="24"/>
        </w:rPr>
        <w:t xml:space="preserve"> (sobre el P. de la C. 989)</w:t>
      </w:r>
      <w:r w:rsidR="00971B72">
        <w:rPr>
          <w:rFonts w:ascii="Book Antiqua" w:eastAsia="Book Antiqua" w:hAnsi="Book Antiqua" w:cs="Book Antiqua"/>
          <w:color w:val="000000" w:themeColor="text1"/>
          <w:szCs w:val="24"/>
        </w:rPr>
        <w:t>:</w:t>
      </w:r>
    </w:p>
    <w:p w14:paraId="39C3DFB0" w14:textId="39C4575C" w:rsidR="00124911" w:rsidRPr="001526F8" w:rsidRDefault="000526D4" w:rsidP="001526F8">
      <w:pPr>
        <w:spacing w:after="240"/>
        <w:ind w:left="806" w:right="720"/>
        <w:jc w:val="both"/>
        <w:rPr>
          <w:rFonts w:ascii="Book Antiqua" w:hAnsi="Book Antiqua"/>
          <w:color w:val="000000"/>
          <w:szCs w:val="24"/>
          <w:shd w:val="clear" w:color="auto" w:fill="FFFFFF"/>
        </w:rPr>
      </w:pPr>
      <w:r w:rsidRPr="001526F8">
        <w:rPr>
          <w:rFonts w:ascii="Book Antiqua" w:hAnsi="Book Antiqua"/>
          <w:color w:val="000000"/>
          <w:szCs w:val="24"/>
          <w:shd w:val="clear" w:color="auto" w:fill="FFFFFF"/>
        </w:rPr>
        <w:t xml:space="preserve">En nuestro ordenamiento jurídico, la confiscación, es el acto de ocupación que lleva a cabo el Estado de todo derecho de propiedad sobre cualesquiera bienes que hayan sido utilizados en relación con la comisión de determinados delitos. Esta facultad del Estado de apropiarse de bienes relacionados con la actividad criminal puede concretizarse como parte del proceso judicial que se efectúa en contra del propietario o poseedor de la propiedad confiscada, así como también mediante una acción contra la cosa u objeto mismo. La primera de estas vertientes se conoce como confiscación criminal, la cual se realiza como parte de la acción </w:t>
      </w:r>
      <w:r w:rsidRPr="001526F8">
        <w:rPr>
          <w:rFonts w:ascii="Book Antiqua" w:hAnsi="Book Antiqua"/>
          <w:i/>
          <w:iCs/>
          <w:color w:val="000000"/>
          <w:szCs w:val="24"/>
          <w:shd w:val="clear" w:color="auto" w:fill="FFFFFF"/>
        </w:rPr>
        <w:t xml:space="preserve">in </w:t>
      </w:r>
      <w:proofErr w:type="spellStart"/>
      <w:r w:rsidRPr="001526F8">
        <w:rPr>
          <w:rFonts w:ascii="Book Antiqua" w:hAnsi="Book Antiqua"/>
          <w:i/>
          <w:iCs/>
          <w:color w:val="000000"/>
          <w:szCs w:val="24"/>
          <w:shd w:val="clear" w:color="auto" w:fill="FFFFFF"/>
        </w:rPr>
        <w:t>personam</w:t>
      </w:r>
      <w:proofErr w:type="spellEnd"/>
      <w:r w:rsidRPr="001526F8">
        <w:rPr>
          <w:rFonts w:ascii="Book Antiqua" w:hAnsi="Book Antiqua"/>
          <w:color w:val="000000"/>
          <w:szCs w:val="24"/>
          <w:shd w:val="clear" w:color="auto" w:fill="FFFFFF"/>
        </w:rPr>
        <w:t xml:space="preserve"> contra un imputado en un caso criminal, y se impone la confiscación como una pena adicional. Dicha confiscación criminal forma parte integral del procedimiento penal contra el propietario de la cosa a ser incautada y la convicción de éste es el fundamento que origina la confiscación. </w:t>
      </w:r>
    </w:p>
    <w:p w14:paraId="212858B4" w14:textId="17DC810B" w:rsidR="000526D4" w:rsidRPr="001526F8" w:rsidRDefault="000526D4" w:rsidP="001526F8">
      <w:pPr>
        <w:spacing w:after="240"/>
        <w:ind w:left="806" w:right="720"/>
        <w:jc w:val="both"/>
        <w:rPr>
          <w:rFonts w:ascii="Book Antiqua" w:hAnsi="Book Antiqua"/>
          <w:color w:val="000000"/>
          <w:szCs w:val="24"/>
          <w:shd w:val="clear" w:color="auto" w:fill="FFFFFF"/>
        </w:rPr>
      </w:pPr>
      <w:r w:rsidRPr="001526F8">
        <w:rPr>
          <w:rFonts w:ascii="Book Antiqua" w:hAnsi="Book Antiqua"/>
          <w:color w:val="000000"/>
          <w:szCs w:val="24"/>
          <w:shd w:val="clear" w:color="auto" w:fill="FFFFFF"/>
        </w:rPr>
        <w:t xml:space="preserve">La segunda vertiente es la confiscación civil, que es una acción </w:t>
      </w:r>
      <w:r w:rsidRPr="001526F8">
        <w:rPr>
          <w:rFonts w:ascii="Book Antiqua" w:hAnsi="Book Antiqua"/>
          <w:i/>
          <w:iCs/>
          <w:color w:val="000000"/>
          <w:szCs w:val="24"/>
          <w:shd w:val="clear" w:color="auto" w:fill="FFFFFF"/>
        </w:rPr>
        <w:t>in rem</w:t>
      </w:r>
      <w:r w:rsidRPr="001526F8">
        <w:rPr>
          <w:rFonts w:ascii="Book Antiqua" w:hAnsi="Book Antiqua"/>
          <w:color w:val="000000"/>
          <w:szCs w:val="24"/>
          <w:shd w:val="clear" w:color="auto" w:fill="FFFFFF"/>
        </w:rPr>
        <w:t xml:space="preserve">, mediante la cual se imputa la utilización de una propiedad </w:t>
      </w:r>
      <w:r w:rsidR="00971B72" w:rsidRPr="001526F8">
        <w:rPr>
          <w:rFonts w:ascii="Book Antiqua" w:hAnsi="Book Antiqua"/>
          <w:color w:val="000000"/>
          <w:szCs w:val="24"/>
          <w:shd w:val="clear" w:color="auto" w:fill="FFFFFF"/>
        </w:rPr>
        <w:t>c</w:t>
      </w:r>
      <w:r w:rsidRPr="001526F8">
        <w:rPr>
          <w:rFonts w:ascii="Book Antiqua" w:hAnsi="Book Antiqua"/>
          <w:color w:val="000000"/>
          <w:szCs w:val="24"/>
          <w:shd w:val="clear" w:color="auto" w:fill="FFFFFF"/>
        </w:rPr>
        <w:t>onfiscada con la comisión del delito. El Tribunal Supremo de Pu</w:t>
      </w:r>
      <w:r w:rsidR="00971B72" w:rsidRPr="001526F8">
        <w:rPr>
          <w:rFonts w:ascii="Book Antiqua" w:hAnsi="Book Antiqua"/>
          <w:color w:val="000000"/>
          <w:szCs w:val="24"/>
          <w:shd w:val="clear" w:color="auto" w:fill="FFFFFF"/>
        </w:rPr>
        <w:t xml:space="preserve">erto Rico se refiere a esta ficción jurídica que permite ir directamente contra la cosa como si esta fuese responsable por el delito. El indebido uso que se le </w:t>
      </w:r>
      <w:proofErr w:type="spellStart"/>
      <w:r w:rsidR="00971B72" w:rsidRPr="001526F8">
        <w:rPr>
          <w:rFonts w:ascii="Book Antiqua" w:hAnsi="Book Antiqua"/>
          <w:color w:val="000000"/>
          <w:szCs w:val="24"/>
          <w:shd w:val="clear" w:color="auto" w:fill="FFFFFF"/>
        </w:rPr>
        <w:t>de</w:t>
      </w:r>
      <w:proofErr w:type="spellEnd"/>
      <w:r w:rsidR="00971B72" w:rsidRPr="001526F8">
        <w:rPr>
          <w:rFonts w:ascii="Book Antiqua" w:hAnsi="Book Antiqua"/>
          <w:color w:val="000000"/>
          <w:szCs w:val="24"/>
          <w:shd w:val="clear" w:color="auto" w:fill="FFFFFF"/>
        </w:rPr>
        <w:t xml:space="preserve"> a la misma, le da la potestad al Estado de tomar posesión sobre ésta. Los elementos necesarios para concluir si procede este tipo de confiscación civil es: (1) la existencia de prueba suficiente y preponderante de que se ha cometido un delito; (2) que exista un nexo entre la comisión de delito y la propiedad confiscada. La confiscación civil constituye una acción independiente del resultado de la acción penal que el Estado pueda presentar por el mismo delito contra un sospechoso particular. </w:t>
      </w:r>
    </w:p>
    <w:p w14:paraId="563D1963" w14:textId="741EEEF3" w:rsidR="00971B72" w:rsidRPr="001526F8" w:rsidRDefault="00971B72" w:rsidP="001526F8">
      <w:pPr>
        <w:spacing w:after="240"/>
        <w:ind w:left="806" w:right="720"/>
        <w:jc w:val="both"/>
        <w:rPr>
          <w:rFonts w:ascii="Book Antiqua" w:hAnsi="Book Antiqua"/>
          <w:color w:val="000000"/>
          <w:szCs w:val="24"/>
          <w:shd w:val="clear" w:color="auto" w:fill="FFFFFF"/>
        </w:rPr>
      </w:pPr>
      <w:r w:rsidRPr="001526F8">
        <w:rPr>
          <w:rFonts w:ascii="Book Antiqua" w:hAnsi="Book Antiqua"/>
          <w:color w:val="000000"/>
          <w:szCs w:val="24"/>
          <w:shd w:val="clear" w:color="auto" w:fill="FFFFFF"/>
        </w:rPr>
        <w:t xml:space="preserve">Por otra parte, en nuestro ordenamiento jurídico, el impedimento colateral por sentencia, modalidad de la doctrina de cosa juzgada, tiene el propósito de promover la economía procesal y judicial, proteger a los litigantes de defenderse o probar sus reclamaciones en repetidas ocasiones tratándose de la misma controversia, evitar litigios innecesarios y decisiones inconsistentes. En el ámbito confiscatorio, nuestro más Alto Foro, ha expresado que, la doctrina de impedimento colateral por sentencia no </w:t>
      </w:r>
      <w:r w:rsidRPr="001526F8">
        <w:rPr>
          <w:rFonts w:ascii="Book Antiqua" w:hAnsi="Book Antiqua"/>
          <w:color w:val="000000"/>
          <w:szCs w:val="24"/>
          <w:shd w:val="clear" w:color="auto" w:fill="FFFFFF"/>
        </w:rPr>
        <w:lastRenderedPageBreak/>
        <w:t xml:space="preserve">aplica automáticamente a procedimientos de impugnación de confiscación relacionados a los mismos hechos de una acción penal previamente adjudicada. </w:t>
      </w:r>
    </w:p>
    <w:p w14:paraId="459C8764" w14:textId="22474070" w:rsidR="00971B72" w:rsidRDefault="00971B72" w:rsidP="001526F8">
      <w:pPr>
        <w:spacing w:after="120" w:line="288" w:lineRule="auto"/>
        <w:ind w:firstLine="720"/>
        <w:jc w:val="both"/>
        <w:rPr>
          <w:rFonts w:ascii="Book Antiqua" w:eastAsia="Book Antiqua" w:hAnsi="Book Antiqua" w:cs="Book Antiqua"/>
          <w:color w:val="000000" w:themeColor="text1"/>
          <w:szCs w:val="24"/>
        </w:rPr>
      </w:pPr>
      <w:r>
        <w:rPr>
          <w:rFonts w:ascii="Book Antiqua" w:eastAsia="Book Antiqua" w:hAnsi="Book Antiqua" w:cs="Book Antiqua"/>
          <w:color w:val="000000" w:themeColor="text1"/>
          <w:szCs w:val="24"/>
        </w:rPr>
        <w:t>Por último</w:t>
      </w:r>
      <w:r w:rsidR="007D080A">
        <w:rPr>
          <w:rFonts w:ascii="Book Antiqua" w:eastAsia="Book Antiqua" w:hAnsi="Book Antiqua" w:cs="Book Antiqua"/>
          <w:color w:val="000000" w:themeColor="text1"/>
          <w:szCs w:val="24"/>
        </w:rPr>
        <w:t>,</w:t>
      </w:r>
      <w:r>
        <w:rPr>
          <w:rFonts w:ascii="Book Antiqua" w:eastAsia="Book Antiqua" w:hAnsi="Book Antiqua" w:cs="Book Antiqua"/>
          <w:color w:val="000000" w:themeColor="text1"/>
          <w:szCs w:val="24"/>
        </w:rPr>
        <w:t xml:space="preserve"> el DSP nos recuerda que la Ley</w:t>
      </w:r>
      <w:r w:rsidR="00D514EA">
        <w:rPr>
          <w:rFonts w:ascii="Book Antiqua" w:eastAsia="Book Antiqua" w:hAnsi="Book Antiqua" w:cs="Book Antiqua"/>
          <w:color w:val="000000" w:themeColor="text1"/>
          <w:szCs w:val="24"/>
        </w:rPr>
        <w:t xml:space="preserve"> Núm.</w:t>
      </w:r>
      <w:r>
        <w:rPr>
          <w:rFonts w:ascii="Book Antiqua" w:eastAsia="Book Antiqua" w:hAnsi="Book Antiqua" w:cs="Book Antiqua"/>
          <w:color w:val="000000" w:themeColor="text1"/>
          <w:szCs w:val="24"/>
        </w:rPr>
        <w:t xml:space="preserve"> 119-2011, dispone que en los procesos de confiscación no será de aplicación la doctrina de Impedimento Colateral por Sentencia en las siguientes instancias:</w:t>
      </w:r>
    </w:p>
    <w:p w14:paraId="74A76DFB" w14:textId="26C99C28" w:rsidR="007D080A" w:rsidRPr="00D514EA" w:rsidRDefault="007D080A" w:rsidP="00A310CE">
      <w:pPr>
        <w:pStyle w:val="ListParagraph"/>
        <w:numPr>
          <w:ilvl w:val="0"/>
          <w:numId w:val="23"/>
        </w:numPr>
        <w:spacing w:after="120" w:line="276" w:lineRule="auto"/>
        <w:jc w:val="both"/>
        <w:rPr>
          <w:rFonts w:ascii="Book Antiqua" w:hAnsi="Book Antiqua"/>
          <w:color w:val="000000"/>
          <w:szCs w:val="24"/>
          <w:shd w:val="clear" w:color="auto" w:fill="FFFFFF"/>
        </w:rPr>
      </w:pPr>
      <w:r w:rsidRPr="00D514EA">
        <w:rPr>
          <w:rFonts w:ascii="Book Antiqua" w:hAnsi="Book Antiqua"/>
          <w:color w:val="000000"/>
          <w:szCs w:val="24"/>
          <w:shd w:val="clear" w:color="auto" w:fill="FFFFFF"/>
        </w:rPr>
        <w:t>Cuando el acusado haya hecho alegación de culpabilidad;</w:t>
      </w:r>
    </w:p>
    <w:p w14:paraId="68DAB777" w14:textId="6F9556F1" w:rsidR="007D080A" w:rsidRPr="00D514EA" w:rsidRDefault="007D080A" w:rsidP="00A310CE">
      <w:pPr>
        <w:pStyle w:val="ListParagraph"/>
        <w:numPr>
          <w:ilvl w:val="0"/>
          <w:numId w:val="23"/>
        </w:numPr>
        <w:spacing w:after="120" w:line="276" w:lineRule="auto"/>
        <w:jc w:val="both"/>
        <w:rPr>
          <w:rFonts w:ascii="Book Antiqua" w:hAnsi="Book Antiqua"/>
          <w:color w:val="000000"/>
          <w:szCs w:val="24"/>
          <w:shd w:val="clear" w:color="auto" w:fill="FFFFFF"/>
        </w:rPr>
      </w:pPr>
      <w:r w:rsidRPr="00D514EA">
        <w:rPr>
          <w:rFonts w:ascii="Book Antiqua" w:hAnsi="Book Antiqua"/>
          <w:color w:val="000000"/>
          <w:szCs w:val="24"/>
          <w:shd w:val="clear" w:color="auto" w:fill="FFFFFF"/>
        </w:rPr>
        <w:t>cuando el acusado se someta a un programa de desvío;</w:t>
      </w:r>
    </w:p>
    <w:p w14:paraId="4DF0E2B8" w14:textId="118CECBA" w:rsidR="007D080A" w:rsidRPr="00D514EA" w:rsidRDefault="007D080A" w:rsidP="00A310CE">
      <w:pPr>
        <w:pStyle w:val="ListParagraph"/>
        <w:numPr>
          <w:ilvl w:val="0"/>
          <w:numId w:val="23"/>
        </w:numPr>
        <w:spacing w:after="120" w:line="276" w:lineRule="auto"/>
        <w:jc w:val="both"/>
        <w:rPr>
          <w:rFonts w:ascii="Book Antiqua" w:hAnsi="Book Antiqua"/>
          <w:color w:val="000000"/>
          <w:szCs w:val="24"/>
          <w:shd w:val="clear" w:color="auto" w:fill="FFFFFF"/>
        </w:rPr>
      </w:pPr>
      <w:r w:rsidRPr="00D514EA">
        <w:rPr>
          <w:rFonts w:ascii="Book Antiqua" w:hAnsi="Book Antiqua"/>
          <w:color w:val="000000"/>
          <w:szCs w:val="24"/>
          <w:shd w:val="clear" w:color="auto" w:fill="FFFFFF"/>
        </w:rPr>
        <w:t>cuando el acusado fallezca antes o en medio del proceso que se esté llevando a cabo contra una persona;</w:t>
      </w:r>
    </w:p>
    <w:p w14:paraId="67C3CB65" w14:textId="4BEE7D74" w:rsidR="007D080A" w:rsidRPr="00D514EA" w:rsidRDefault="007D080A" w:rsidP="00A310CE">
      <w:pPr>
        <w:pStyle w:val="ListParagraph"/>
        <w:numPr>
          <w:ilvl w:val="0"/>
          <w:numId w:val="23"/>
        </w:numPr>
        <w:spacing w:after="120" w:line="276" w:lineRule="auto"/>
        <w:jc w:val="both"/>
        <w:rPr>
          <w:rFonts w:ascii="Book Antiqua" w:hAnsi="Book Antiqua"/>
          <w:color w:val="000000"/>
          <w:szCs w:val="24"/>
          <w:shd w:val="clear" w:color="auto" w:fill="FFFFFF"/>
        </w:rPr>
      </w:pPr>
      <w:r w:rsidRPr="00D514EA">
        <w:rPr>
          <w:rFonts w:ascii="Book Antiqua" w:hAnsi="Book Antiqua"/>
          <w:color w:val="000000"/>
          <w:szCs w:val="24"/>
          <w:shd w:val="clear" w:color="auto" w:fill="FFFFFF"/>
        </w:rPr>
        <w:t>en ausencia de alguna adjudicación expresa en otro proceso penal, civil o administrativo, que se celebre por los mismos hechos que dieron lugar a la confiscación, en la cual se determine que el bien confiscado no fue utilizado en la comisión de algún delito; y</w:t>
      </w:r>
    </w:p>
    <w:p w14:paraId="65BB1FE1" w14:textId="2857017A" w:rsidR="007D080A" w:rsidRPr="00D514EA" w:rsidRDefault="007D080A" w:rsidP="001526F8">
      <w:pPr>
        <w:pStyle w:val="ListParagraph"/>
        <w:numPr>
          <w:ilvl w:val="0"/>
          <w:numId w:val="23"/>
        </w:numPr>
        <w:spacing w:after="240" w:line="276" w:lineRule="auto"/>
        <w:jc w:val="both"/>
        <w:rPr>
          <w:rFonts w:ascii="Book Antiqua" w:hAnsi="Book Antiqua"/>
          <w:color w:val="000000"/>
          <w:szCs w:val="24"/>
          <w:shd w:val="clear" w:color="auto" w:fill="FFFFFF"/>
        </w:rPr>
      </w:pPr>
      <w:r w:rsidRPr="00D514EA">
        <w:rPr>
          <w:rFonts w:ascii="Book Antiqua" w:hAnsi="Book Antiqua"/>
          <w:color w:val="000000"/>
          <w:szCs w:val="24"/>
          <w:shd w:val="clear" w:color="auto" w:fill="FFFFFF"/>
        </w:rPr>
        <w:t>en cualquier otra instancia que no se cumplan con los requisitos de la doctrina.</w:t>
      </w:r>
      <w:r w:rsidR="00D514EA">
        <w:rPr>
          <w:rStyle w:val="FootnoteReference"/>
          <w:rFonts w:ascii="Book Antiqua" w:hAnsi="Book Antiqua"/>
          <w:color w:val="000000"/>
          <w:szCs w:val="24"/>
          <w:shd w:val="clear" w:color="auto" w:fill="FFFFFF"/>
        </w:rPr>
        <w:footnoteReference w:id="9"/>
      </w:r>
      <w:r w:rsidRPr="00D514EA">
        <w:rPr>
          <w:rFonts w:ascii="Book Antiqua" w:hAnsi="Book Antiqua"/>
          <w:color w:val="000000"/>
          <w:szCs w:val="24"/>
          <w:shd w:val="clear" w:color="auto" w:fill="FFFFFF"/>
        </w:rPr>
        <w:t xml:space="preserve"> </w:t>
      </w:r>
    </w:p>
    <w:p w14:paraId="528F8908" w14:textId="58B15406" w:rsidR="003B38A4" w:rsidRPr="00D514EA" w:rsidRDefault="003B38A4" w:rsidP="00100A6D">
      <w:pPr>
        <w:spacing w:after="240" w:line="288" w:lineRule="auto"/>
        <w:ind w:firstLine="720"/>
        <w:jc w:val="center"/>
        <w:rPr>
          <w:rFonts w:ascii="Book Antiqua" w:eastAsia="Book Antiqua" w:hAnsi="Book Antiqua" w:cs="Book Antiqua"/>
          <w:color w:val="000000" w:themeColor="text1"/>
          <w:spacing w:val="12"/>
          <w:szCs w:val="24"/>
          <w:lang w:val="es-PR"/>
        </w:rPr>
      </w:pPr>
      <w:r w:rsidRPr="00D514EA">
        <w:rPr>
          <w:rFonts w:ascii="Book Antiqua" w:eastAsia="Book Antiqua" w:hAnsi="Book Antiqua" w:cs="Book Antiqua"/>
          <w:color w:val="000000" w:themeColor="text1"/>
          <w:spacing w:val="12"/>
          <w:szCs w:val="24"/>
          <w:lang w:val="es-PR"/>
        </w:rPr>
        <w:t>CONCLUSIÓN</w:t>
      </w:r>
      <w:r w:rsidR="00F0476A" w:rsidRPr="00D514EA">
        <w:rPr>
          <w:rFonts w:ascii="Book Antiqua" w:eastAsia="Book Antiqua" w:hAnsi="Book Antiqua" w:cs="Book Antiqua"/>
          <w:color w:val="000000" w:themeColor="text1"/>
          <w:spacing w:val="12"/>
          <w:szCs w:val="24"/>
          <w:lang w:val="es-PR"/>
        </w:rPr>
        <w:t xml:space="preserve"> Y RECOMENDAC</w:t>
      </w:r>
      <w:r w:rsidR="001711E6" w:rsidRPr="00D514EA">
        <w:rPr>
          <w:rFonts w:ascii="Book Antiqua" w:eastAsia="Book Antiqua" w:hAnsi="Book Antiqua" w:cs="Book Antiqua"/>
          <w:color w:val="000000" w:themeColor="text1"/>
          <w:spacing w:val="12"/>
          <w:szCs w:val="24"/>
          <w:lang w:val="es-PR"/>
        </w:rPr>
        <w:t>I</w:t>
      </w:r>
      <w:r w:rsidR="00F0476A" w:rsidRPr="00D514EA">
        <w:rPr>
          <w:rFonts w:ascii="Book Antiqua" w:eastAsia="Book Antiqua" w:hAnsi="Book Antiqua" w:cs="Book Antiqua"/>
          <w:color w:val="000000" w:themeColor="text1"/>
          <w:spacing w:val="12"/>
          <w:szCs w:val="24"/>
          <w:lang w:val="es-PR"/>
        </w:rPr>
        <w:t>ÓN</w:t>
      </w:r>
    </w:p>
    <w:p w14:paraId="03469699" w14:textId="746D59AA" w:rsidR="00186D37" w:rsidRDefault="00C16411" w:rsidP="00B635B7">
      <w:pPr>
        <w:spacing w:after="240" w:line="288" w:lineRule="auto"/>
        <w:ind w:firstLine="720"/>
        <w:jc w:val="both"/>
        <w:rPr>
          <w:rFonts w:ascii="Book Antiqua" w:eastAsia="Book Antiqua" w:hAnsi="Book Antiqua" w:cs="Book Antiqua"/>
          <w:color w:val="000000" w:themeColor="text1"/>
          <w:szCs w:val="24"/>
        </w:rPr>
      </w:pPr>
      <w:r w:rsidRPr="00C16411">
        <w:rPr>
          <w:rFonts w:ascii="Book Antiqua" w:eastAsia="Book Antiqua" w:hAnsi="Book Antiqua" w:cs="Book Antiqua"/>
          <w:color w:val="000000" w:themeColor="text1"/>
          <w:szCs w:val="24"/>
        </w:rPr>
        <w:t>Esta medida plantea interrogantes fundamentales sobre nuestro sistema de derecho</w:t>
      </w:r>
      <w:r>
        <w:rPr>
          <w:rFonts w:ascii="Book Antiqua" w:eastAsia="Book Antiqua" w:hAnsi="Book Antiqua" w:cs="Book Antiqua"/>
          <w:color w:val="000000" w:themeColor="text1"/>
          <w:szCs w:val="24"/>
        </w:rPr>
        <w:t>. P</w:t>
      </w:r>
      <w:r w:rsidR="007D080A">
        <w:rPr>
          <w:rFonts w:ascii="Book Antiqua" w:eastAsia="Book Antiqua" w:hAnsi="Book Antiqua" w:cs="Book Antiqua"/>
          <w:color w:val="000000" w:themeColor="text1"/>
          <w:szCs w:val="24"/>
        </w:rPr>
        <w:t>articularmente</w:t>
      </w:r>
      <w:r>
        <w:rPr>
          <w:rFonts w:ascii="Book Antiqua" w:eastAsia="Book Antiqua" w:hAnsi="Book Antiqua" w:cs="Book Antiqua"/>
          <w:color w:val="000000" w:themeColor="text1"/>
          <w:szCs w:val="24"/>
        </w:rPr>
        <w:t>,</w:t>
      </w:r>
      <w:r w:rsidR="00A310CE">
        <w:rPr>
          <w:rFonts w:ascii="Book Antiqua" w:eastAsia="Book Antiqua" w:hAnsi="Book Antiqua" w:cs="Book Antiqua"/>
          <w:color w:val="000000" w:themeColor="text1"/>
          <w:szCs w:val="24"/>
        </w:rPr>
        <w:t xml:space="preserve"> </w:t>
      </w:r>
      <w:r w:rsidR="007D080A">
        <w:rPr>
          <w:rFonts w:ascii="Book Antiqua" w:eastAsia="Book Antiqua" w:hAnsi="Book Antiqua" w:cs="Book Antiqua"/>
          <w:color w:val="000000" w:themeColor="text1"/>
          <w:szCs w:val="24"/>
        </w:rPr>
        <w:t xml:space="preserve">para hacer valer </w:t>
      </w:r>
      <w:r w:rsidR="00A310CE">
        <w:rPr>
          <w:rFonts w:ascii="Book Antiqua" w:eastAsia="Book Antiqua" w:hAnsi="Book Antiqua" w:cs="Book Antiqua"/>
          <w:color w:val="000000" w:themeColor="text1"/>
          <w:szCs w:val="24"/>
        </w:rPr>
        <w:t>nuestr</w:t>
      </w:r>
      <w:r w:rsidR="007D080A">
        <w:rPr>
          <w:rFonts w:ascii="Book Antiqua" w:eastAsia="Book Antiqua" w:hAnsi="Book Antiqua" w:cs="Book Antiqua"/>
          <w:color w:val="000000" w:themeColor="text1"/>
          <w:szCs w:val="24"/>
        </w:rPr>
        <w:t xml:space="preserve">as facultades de investigación, procesamiento y juicio de personas acusadas por la comisión de delito. Es nuestra facultad constitucional establecer las conductas que serán objeto de sanción </w:t>
      </w:r>
      <w:r w:rsidR="00A310CE">
        <w:rPr>
          <w:rFonts w:ascii="Book Antiqua" w:eastAsia="Book Antiqua" w:hAnsi="Book Antiqua" w:cs="Book Antiqua"/>
          <w:color w:val="000000" w:themeColor="text1"/>
          <w:szCs w:val="24"/>
        </w:rPr>
        <w:t>penal</w:t>
      </w:r>
      <w:r w:rsidR="007D080A">
        <w:rPr>
          <w:rFonts w:ascii="Book Antiqua" w:eastAsia="Book Antiqua" w:hAnsi="Book Antiqua" w:cs="Book Antiqua"/>
          <w:color w:val="000000" w:themeColor="text1"/>
          <w:szCs w:val="24"/>
        </w:rPr>
        <w:t xml:space="preserve">, así como lo que sucede con la evidencia que el </w:t>
      </w:r>
      <w:r w:rsidR="0020003E">
        <w:rPr>
          <w:rFonts w:ascii="Book Antiqua" w:eastAsia="Book Antiqua" w:hAnsi="Book Antiqua" w:cs="Book Antiqua"/>
          <w:color w:val="000000" w:themeColor="text1"/>
          <w:szCs w:val="24"/>
          <w:lang w:val="es-PR"/>
        </w:rPr>
        <w:t>Gobierno</w:t>
      </w:r>
      <w:r w:rsidR="007D080A">
        <w:rPr>
          <w:rFonts w:ascii="Book Antiqua" w:eastAsia="Book Antiqua" w:hAnsi="Book Antiqua" w:cs="Book Antiqua"/>
          <w:color w:val="000000" w:themeColor="text1"/>
          <w:szCs w:val="24"/>
        </w:rPr>
        <w:t xml:space="preserve"> usa para probar la comisión de delito, en </w:t>
      </w:r>
      <w:r w:rsidR="00A310CE">
        <w:rPr>
          <w:rFonts w:ascii="Book Antiqua" w:eastAsia="Book Antiqua" w:hAnsi="Book Antiqua" w:cs="Book Antiqua"/>
          <w:color w:val="000000" w:themeColor="text1"/>
          <w:szCs w:val="24"/>
        </w:rPr>
        <w:t>específico</w:t>
      </w:r>
      <w:r w:rsidR="007D080A">
        <w:rPr>
          <w:rFonts w:ascii="Book Antiqua" w:eastAsia="Book Antiqua" w:hAnsi="Book Antiqua" w:cs="Book Antiqua"/>
          <w:color w:val="000000" w:themeColor="text1"/>
          <w:szCs w:val="24"/>
        </w:rPr>
        <w:t xml:space="preserve"> lo que sucede con la evidencia cuando el ciudadano no es hallado culpable. </w:t>
      </w:r>
    </w:p>
    <w:p w14:paraId="5964EE5C" w14:textId="1B599C2F" w:rsidR="007D080A" w:rsidRDefault="007D080A" w:rsidP="009D7052">
      <w:pPr>
        <w:spacing w:after="240" w:line="360" w:lineRule="auto"/>
        <w:ind w:firstLine="720"/>
        <w:jc w:val="both"/>
        <w:rPr>
          <w:rFonts w:ascii="Book Antiqua" w:eastAsia="Book Antiqua" w:hAnsi="Book Antiqua" w:cs="Book Antiqua"/>
          <w:color w:val="000000" w:themeColor="text1"/>
          <w:szCs w:val="24"/>
        </w:rPr>
      </w:pPr>
      <w:r>
        <w:rPr>
          <w:rFonts w:ascii="Book Antiqua" w:eastAsia="Book Antiqua" w:hAnsi="Book Antiqua" w:cs="Book Antiqua"/>
          <w:color w:val="000000" w:themeColor="text1"/>
          <w:szCs w:val="24"/>
        </w:rPr>
        <w:t xml:space="preserve">Sin embargo, observando con detenimiento las implicaciones de este proyecto de ley, encontramos los siguientes puntos que nos mueven </w:t>
      </w:r>
      <w:r w:rsidR="0079197C">
        <w:rPr>
          <w:rFonts w:ascii="Book Antiqua" w:eastAsia="Book Antiqua" w:hAnsi="Book Antiqua" w:cs="Book Antiqua"/>
          <w:color w:val="000000" w:themeColor="text1"/>
          <w:szCs w:val="24"/>
        </w:rPr>
        <w:t>al hacer</w:t>
      </w:r>
      <w:r>
        <w:rPr>
          <w:rFonts w:ascii="Book Antiqua" w:eastAsia="Book Antiqua" w:hAnsi="Book Antiqua" w:cs="Book Antiqua"/>
          <w:color w:val="000000" w:themeColor="text1"/>
          <w:szCs w:val="24"/>
        </w:rPr>
        <w:t xml:space="preserve"> nuestra recomendación:</w:t>
      </w:r>
    </w:p>
    <w:p w14:paraId="56E1F334" w14:textId="0AD7EBF3" w:rsidR="007D080A" w:rsidRPr="00B635B7" w:rsidRDefault="00835F00" w:rsidP="001526F8">
      <w:pPr>
        <w:pStyle w:val="ListParagraph"/>
        <w:numPr>
          <w:ilvl w:val="0"/>
          <w:numId w:val="22"/>
        </w:numPr>
        <w:spacing w:after="240"/>
        <w:jc w:val="both"/>
        <w:rPr>
          <w:rFonts w:ascii="Book Antiqua" w:eastAsia="Book Antiqua" w:hAnsi="Book Antiqua" w:cs="Book Antiqua"/>
          <w:color w:val="000000" w:themeColor="text1"/>
          <w:szCs w:val="24"/>
        </w:rPr>
      </w:pPr>
      <w:r>
        <w:rPr>
          <w:rFonts w:ascii="Book Antiqua" w:eastAsia="Book Antiqua" w:hAnsi="Book Antiqua" w:cs="Book Antiqua"/>
          <w:color w:val="000000" w:themeColor="text1"/>
          <w:szCs w:val="24"/>
        </w:rPr>
        <w:t>E</w:t>
      </w:r>
      <w:r w:rsidR="007D080A" w:rsidRPr="00B635B7">
        <w:rPr>
          <w:rFonts w:ascii="Book Antiqua" w:eastAsia="Book Antiqua" w:hAnsi="Book Antiqua" w:cs="Book Antiqua"/>
          <w:color w:val="000000" w:themeColor="text1"/>
          <w:szCs w:val="24"/>
        </w:rPr>
        <w:t xml:space="preserve">l P. de la C. 679 no toma en consideración ni tampoco dispone el procedimiento específico que debe seguir la Junta de Confiscaciones (en adelante la “Junta”) en aquellos casos en que se acoge la defensa de impedimento colateral por sentencia en un procedimiento criminal. </w:t>
      </w:r>
    </w:p>
    <w:p w14:paraId="60886770" w14:textId="1289E37C" w:rsidR="007D080A" w:rsidRPr="00B635B7" w:rsidRDefault="00BA204F" w:rsidP="001526F8">
      <w:pPr>
        <w:pStyle w:val="ListParagraph"/>
        <w:numPr>
          <w:ilvl w:val="0"/>
          <w:numId w:val="22"/>
        </w:numPr>
        <w:spacing w:after="240"/>
        <w:jc w:val="both"/>
        <w:rPr>
          <w:rFonts w:ascii="Book Antiqua" w:eastAsia="Book Antiqua" w:hAnsi="Book Antiqua" w:cs="Book Antiqua"/>
          <w:color w:val="000000" w:themeColor="text1"/>
          <w:szCs w:val="24"/>
        </w:rPr>
      </w:pPr>
      <w:r w:rsidRPr="00B635B7">
        <w:rPr>
          <w:rFonts w:ascii="Book Antiqua" w:eastAsia="Book Antiqua" w:hAnsi="Book Antiqua" w:cs="Book Antiqua"/>
          <w:color w:val="000000" w:themeColor="text1"/>
          <w:szCs w:val="24"/>
        </w:rPr>
        <w:lastRenderedPageBreak/>
        <w:t xml:space="preserve">No queda claro qué pasaría si la Junta, haciendo uso de las facultades que la Ley le otorgaría, dispone de un bien confiscado y luego resultare absuelto el imputado. </w:t>
      </w:r>
    </w:p>
    <w:p w14:paraId="7FBBCE0C" w14:textId="0D7582D5" w:rsidR="00BA204F" w:rsidRPr="00B635B7" w:rsidRDefault="00BA204F" w:rsidP="001526F8">
      <w:pPr>
        <w:pStyle w:val="ListParagraph"/>
        <w:numPr>
          <w:ilvl w:val="0"/>
          <w:numId w:val="22"/>
        </w:numPr>
        <w:spacing w:after="240"/>
        <w:jc w:val="both"/>
        <w:rPr>
          <w:rFonts w:ascii="Book Antiqua" w:eastAsia="Book Antiqua" w:hAnsi="Book Antiqua" w:cs="Book Antiqua"/>
          <w:color w:val="000000" w:themeColor="text1"/>
          <w:szCs w:val="24"/>
        </w:rPr>
      </w:pPr>
      <w:r w:rsidRPr="00B635B7">
        <w:rPr>
          <w:rFonts w:ascii="Book Antiqua" w:eastAsia="Book Antiqua" w:hAnsi="Book Antiqua" w:cs="Book Antiqua"/>
          <w:color w:val="000000" w:themeColor="text1"/>
          <w:szCs w:val="24"/>
        </w:rPr>
        <w:t xml:space="preserve">No dispone a qué persona o agencia gubernamental le corresponde la responsabilidad de restituir el valor de la tasación en los casos en los que la confiscación fue conforme a derecho y no fue impugnada en los tribunales. </w:t>
      </w:r>
    </w:p>
    <w:p w14:paraId="68DDA932" w14:textId="459BF588" w:rsidR="00BA204F" w:rsidRPr="00B635B7" w:rsidRDefault="00BA204F" w:rsidP="001526F8">
      <w:pPr>
        <w:pStyle w:val="ListParagraph"/>
        <w:numPr>
          <w:ilvl w:val="0"/>
          <w:numId w:val="22"/>
        </w:numPr>
        <w:spacing w:after="240"/>
        <w:jc w:val="both"/>
        <w:rPr>
          <w:rFonts w:ascii="Book Antiqua" w:eastAsia="Book Antiqua" w:hAnsi="Book Antiqua" w:cs="Book Antiqua"/>
          <w:color w:val="000000" w:themeColor="text1"/>
          <w:szCs w:val="24"/>
        </w:rPr>
      </w:pPr>
      <w:r w:rsidRPr="00B635B7">
        <w:rPr>
          <w:rFonts w:ascii="Book Antiqua" w:eastAsia="Book Antiqua" w:hAnsi="Book Antiqua" w:cs="Book Antiqua"/>
          <w:color w:val="000000" w:themeColor="text1"/>
          <w:szCs w:val="24"/>
        </w:rPr>
        <w:t xml:space="preserve">No se vislumbra la posibilidad de que el fondo especial de la Junta se agote y aún exista la obligación de devolver la propiedad confiscada o su importe. </w:t>
      </w:r>
    </w:p>
    <w:p w14:paraId="7DA07323" w14:textId="3A4909F6" w:rsidR="00BA204F" w:rsidRPr="00B635B7" w:rsidRDefault="00BA204F" w:rsidP="001526F8">
      <w:pPr>
        <w:pStyle w:val="ListParagraph"/>
        <w:numPr>
          <w:ilvl w:val="0"/>
          <w:numId w:val="22"/>
        </w:numPr>
        <w:spacing w:after="240"/>
        <w:jc w:val="both"/>
        <w:rPr>
          <w:rFonts w:ascii="Book Antiqua" w:eastAsia="Book Antiqua" w:hAnsi="Book Antiqua" w:cs="Book Antiqua"/>
          <w:color w:val="000000" w:themeColor="text1"/>
          <w:szCs w:val="24"/>
        </w:rPr>
      </w:pPr>
      <w:r w:rsidRPr="00B635B7">
        <w:rPr>
          <w:rFonts w:ascii="Book Antiqua" w:eastAsia="Book Antiqua" w:hAnsi="Book Antiqua" w:cs="Book Antiqua"/>
          <w:color w:val="000000" w:themeColor="text1"/>
          <w:szCs w:val="24"/>
        </w:rPr>
        <w:t xml:space="preserve">Por su exposición de motivos, parece limitar la aplicación de las enmiendas a cuando el bien confiscado es un vehículo de motor. Esto es importante pues el </w:t>
      </w:r>
      <w:r w:rsidR="00955F61">
        <w:rPr>
          <w:rFonts w:ascii="Book Antiqua" w:eastAsia="Book Antiqua" w:hAnsi="Book Antiqua" w:cs="Book Antiqua"/>
          <w:color w:val="000000" w:themeColor="text1"/>
          <w:szCs w:val="24"/>
        </w:rPr>
        <w:t>a</w:t>
      </w:r>
      <w:r w:rsidRPr="00B635B7">
        <w:rPr>
          <w:rFonts w:ascii="Book Antiqua" w:eastAsia="Book Antiqua" w:hAnsi="Book Antiqua" w:cs="Book Antiqua"/>
          <w:color w:val="000000" w:themeColor="text1"/>
          <w:szCs w:val="24"/>
        </w:rPr>
        <w:t xml:space="preserve">rtículo 9 de la Ley de Confiscaciones dispone que pueden estar sujetos a confiscación igualmente, los bienes muebles e inmuebles siempre que sea una propiedad que resulte, sea producto o se utilice, durante la comisión de un delito. </w:t>
      </w:r>
    </w:p>
    <w:p w14:paraId="094A894E" w14:textId="157A69D8" w:rsidR="009D7052" w:rsidRDefault="00B97E64" w:rsidP="00FB0100">
      <w:pPr>
        <w:spacing w:after="240" w:line="288" w:lineRule="auto"/>
        <w:ind w:firstLine="720"/>
        <w:jc w:val="both"/>
        <w:rPr>
          <w:rFonts w:ascii="Book Antiqua" w:eastAsia="Book Antiqua" w:hAnsi="Book Antiqua" w:cs="Book Antiqua"/>
          <w:color w:val="000000" w:themeColor="text1"/>
          <w:szCs w:val="24"/>
        </w:rPr>
      </w:pPr>
      <w:r>
        <w:rPr>
          <w:rFonts w:ascii="Book Antiqua" w:eastAsia="Book Antiqua" w:hAnsi="Book Antiqua" w:cs="Book Antiqua"/>
          <w:color w:val="000000" w:themeColor="text1"/>
          <w:szCs w:val="24"/>
        </w:rPr>
        <w:t xml:space="preserve">Este proyecto de ley es muy bien intencionado y pudiera representar una voluntad de política pública en hacer justicia a ciudadanos que no son hallados culpables de la comisión de delito. </w:t>
      </w:r>
      <w:r w:rsidR="00D43875">
        <w:rPr>
          <w:rFonts w:ascii="Book Antiqua" w:eastAsia="Book Antiqua" w:hAnsi="Book Antiqua" w:cs="Book Antiqua"/>
          <w:color w:val="000000" w:themeColor="text1"/>
          <w:szCs w:val="24"/>
        </w:rPr>
        <w:t xml:space="preserve">Se </w:t>
      </w:r>
      <w:r w:rsidR="00624F3B">
        <w:rPr>
          <w:rFonts w:ascii="Book Antiqua" w:eastAsia="Book Antiqua" w:hAnsi="Book Antiqua" w:cs="Book Antiqua"/>
          <w:color w:val="000000" w:themeColor="text1"/>
          <w:szCs w:val="24"/>
        </w:rPr>
        <w:t xml:space="preserve">reconoce </w:t>
      </w:r>
      <w:r>
        <w:rPr>
          <w:rFonts w:ascii="Book Antiqua" w:eastAsia="Book Antiqua" w:hAnsi="Book Antiqua" w:cs="Book Antiqua"/>
          <w:color w:val="000000" w:themeColor="text1"/>
          <w:szCs w:val="24"/>
        </w:rPr>
        <w:t xml:space="preserve">la facultad exclusiva de la Asamblea Legislativa </w:t>
      </w:r>
      <w:r w:rsidR="00624F3B">
        <w:rPr>
          <w:rFonts w:ascii="Book Antiqua" w:eastAsia="Book Antiqua" w:hAnsi="Book Antiqua" w:cs="Book Antiqua"/>
          <w:color w:val="000000" w:themeColor="text1"/>
          <w:szCs w:val="24"/>
        </w:rPr>
        <w:t>d</w:t>
      </w:r>
      <w:r>
        <w:rPr>
          <w:rFonts w:ascii="Book Antiqua" w:eastAsia="Book Antiqua" w:hAnsi="Book Antiqua" w:cs="Book Antiqua"/>
          <w:color w:val="000000" w:themeColor="text1"/>
          <w:szCs w:val="24"/>
        </w:rPr>
        <w:t xml:space="preserve">e establecer los contornos del procedimiento que va a seguir el </w:t>
      </w:r>
      <w:r w:rsidR="00624F3B">
        <w:rPr>
          <w:rFonts w:ascii="Book Antiqua" w:eastAsia="Book Antiqua" w:hAnsi="Book Antiqua" w:cs="Book Antiqua"/>
          <w:color w:val="000000" w:themeColor="text1"/>
          <w:szCs w:val="24"/>
        </w:rPr>
        <w:t>Gobierno</w:t>
      </w:r>
      <w:r>
        <w:rPr>
          <w:rFonts w:ascii="Book Antiqua" w:eastAsia="Book Antiqua" w:hAnsi="Book Antiqua" w:cs="Book Antiqua"/>
          <w:color w:val="000000" w:themeColor="text1"/>
          <w:szCs w:val="24"/>
        </w:rPr>
        <w:t xml:space="preserve"> ante la confiscación de la propiedad de los ciudadanos</w:t>
      </w:r>
      <w:r w:rsidR="00624F3B">
        <w:rPr>
          <w:rFonts w:ascii="Book Antiqua" w:eastAsia="Book Antiqua" w:hAnsi="Book Antiqua" w:cs="Book Antiqua"/>
          <w:color w:val="000000" w:themeColor="text1"/>
          <w:szCs w:val="24"/>
        </w:rPr>
        <w:t>.</w:t>
      </w:r>
      <w:r>
        <w:rPr>
          <w:rFonts w:ascii="Book Antiqua" w:eastAsia="Book Antiqua" w:hAnsi="Book Antiqua" w:cs="Book Antiqua"/>
          <w:color w:val="000000" w:themeColor="text1"/>
          <w:szCs w:val="24"/>
        </w:rPr>
        <w:t xml:space="preserve"> </w:t>
      </w:r>
      <w:r w:rsidR="00624F3B">
        <w:rPr>
          <w:rFonts w:ascii="Book Antiqua" w:eastAsia="Book Antiqua" w:hAnsi="Book Antiqua" w:cs="Book Antiqua"/>
          <w:color w:val="000000" w:themeColor="text1"/>
          <w:szCs w:val="24"/>
        </w:rPr>
        <w:t>E</w:t>
      </w:r>
      <w:r>
        <w:rPr>
          <w:rFonts w:ascii="Book Antiqua" w:eastAsia="Book Antiqua" w:hAnsi="Book Antiqua" w:cs="Book Antiqua"/>
          <w:color w:val="000000" w:themeColor="text1"/>
          <w:szCs w:val="24"/>
        </w:rPr>
        <w:t xml:space="preserve">n aras de proteger la facultad para poder esclarecer la comisión de delitos, nos mueve la postura presentada históricamente por el Departamento de Justicia, así como los puntos establecidos en el párrafo anterior. </w:t>
      </w:r>
    </w:p>
    <w:p w14:paraId="55324CE2" w14:textId="5F6263C4" w:rsidR="004512E8" w:rsidRPr="00733C1D" w:rsidRDefault="00FD6179" w:rsidP="00FB0100">
      <w:pPr>
        <w:spacing w:after="240" w:line="288" w:lineRule="auto"/>
        <w:ind w:firstLine="720"/>
        <w:jc w:val="both"/>
        <w:rPr>
          <w:rFonts w:ascii="Book Antiqua" w:eastAsia="Book Antiqua" w:hAnsi="Book Antiqua" w:cs="Book Antiqua"/>
          <w:color w:val="000000" w:themeColor="text1"/>
          <w:szCs w:val="24"/>
        </w:rPr>
      </w:pPr>
      <w:r w:rsidRPr="00733C1D">
        <w:rPr>
          <w:rFonts w:ascii="Book Antiqua" w:eastAsia="Book Antiqua" w:hAnsi="Book Antiqua" w:cs="Book Antiqua"/>
          <w:color w:val="000000" w:themeColor="text1"/>
          <w:szCs w:val="24"/>
        </w:rPr>
        <w:t>Por</w:t>
      </w:r>
      <w:r w:rsidR="006A2B1A">
        <w:rPr>
          <w:rFonts w:ascii="Book Antiqua" w:eastAsia="Book Antiqua" w:hAnsi="Book Antiqua" w:cs="Book Antiqua"/>
          <w:color w:val="000000" w:themeColor="text1"/>
          <w:szCs w:val="24"/>
        </w:rPr>
        <w:t xml:space="preserve"> los </w:t>
      </w:r>
      <w:r w:rsidRPr="00733C1D">
        <w:rPr>
          <w:rFonts w:ascii="Book Antiqua" w:eastAsia="Book Antiqua" w:hAnsi="Book Antiqua" w:cs="Book Antiqua"/>
          <w:color w:val="000000" w:themeColor="text1"/>
          <w:szCs w:val="24"/>
        </w:rPr>
        <w:t xml:space="preserve">fundamentos antes expuestos, </w:t>
      </w:r>
      <w:r w:rsidR="00FB0100">
        <w:rPr>
          <w:rFonts w:ascii="Book Antiqua" w:eastAsia="Book Antiqua" w:hAnsi="Book Antiqua" w:cs="Book Antiqua"/>
          <w:color w:val="000000" w:themeColor="text1"/>
          <w:szCs w:val="24"/>
        </w:rPr>
        <w:t>esta c</w:t>
      </w:r>
      <w:r w:rsidRPr="00733C1D">
        <w:rPr>
          <w:rFonts w:ascii="Book Antiqua" w:eastAsia="Book Antiqua" w:hAnsi="Book Antiqua" w:cs="Book Antiqua"/>
          <w:color w:val="000000" w:themeColor="text1"/>
          <w:szCs w:val="24"/>
        </w:rPr>
        <w:t xml:space="preserve">omisión </w:t>
      </w:r>
      <w:r w:rsidR="006A2B1A">
        <w:rPr>
          <w:rFonts w:ascii="Book Antiqua" w:eastAsia="Book Antiqua" w:hAnsi="Book Antiqua" w:cs="Book Antiqua"/>
          <w:color w:val="000000" w:themeColor="text1"/>
          <w:szCs w:val="24"/>
        </w:rPr>
        <w:t xml:space="preserve">no </w:t>
      </w:r>
      <w:r w:rsidRPr="00733C1D">
        <w:rPr>
          <w:rFonts w:ascii="Book Antiqua" w:eastAsia="Book Antiqua" w:hAnsi="Book Antiqua" w:cs="Book Antiqua"/>
          <w:color w:val="000000" w:themeColor="text1"/>
          <w:szCs w:val="24"/>
        </w:rPr>
        <w:t>recom</w:t>
      </w:r>
      <w:r w:rsidR="00B33A97">
        <w:rPr>
          <w:rFonts w:ascii="Book Antiqua" w:eastAsia="Book Antiqua" w:hAnsi="Book Antiqua" w:cs="Book Antiqua"/>
          <w:color w:val="000000" w:themeColor="text1"/>
          <w:szCs w:val="24"/>
        </w:rPr>
        <w:t>ienda</w:t>
      </w:r>
      <w:r w:rsidRPr="00733C1D">
        <w:rPr>
          <w:rFonts w:ascii="Book Antiqua" w:eastAsia="Book Antiqua" w:hAnsi="Book Antiqua" w:cs="Book Antiqua"/>
          <w:color w:val="000000" w:themeColor="text1"/>
          <w:szCs w:val="24"/>
        </w:rPr>
        <w:t xml:space="preserve"> la aprobación del P. de la C. </w:t>
      </w:r>
      <w:r w:rsidR="006A2B1A">
        <w:rPr>
          <w:rFonts w:ascii="Book Antiqua" w:eastAsia="Book Antiqua" w:hAnsi="Book Antiqua" w:cs="Book Antiqua"/>
          <w:color w:val="000000" w:themeColor="text1"/>
          <w:szCs w:val="24"/>
        </w:rPr>
        <w:t>679</w:t>
      </w:r>
      <w:r w:rsidR="00F17F1C" w:rsidRPr="00733C1D">
        <w:rPr>
          <w:rFonts w:ascii="Book Antiqua" w:eastAsia="Book Antiqua" w:hAnsi="Book Antiqua" w:cs="Book Antiqua"/>
          <w:color w:val="000000" w:themeColor="text1"/>
          <w:szCs w:val="24"/>
        </w:rPr>
        <w:t>.</w:t>
      </w:r>
    </w:p>
    <w:p w14:paraId="6C8FC9E5" w14:textId="3D07B316" w:rsidR="003B38A4" w:rsidRPr="001711E6" w:rsidRDefault="003B38A4" w:rsidP="003B38A4">
      <w:pPr>
        <w:jc w:val="both"/>
        <w:rPr>
          <w:rFonts w:ascii="Book Antiqua" w:eastAsia="Book Antiqua" w:hAnsi="Book Antiqua" w:cs="Book Antiqua"/>
          <w:color w:val="000000" w:themeColor="text1"/>
          <w:szCs w:val="24"/>
          <w:lang w:val="es-PR"/>
        </w:rPr>
      </w:pPr>
      <w:r w:rsidRPr="001711E6">
        <w:rPr>
          <w:rFonts w:ascii="Book Antiqua" w:eastAsia="Book Antiqua" w:hAnsi="Book Antiqua" w:cs="Book Antiqua"/>
          <w:color w:val="000000" w:themeColor="text1"/>
          <w:szCs w:val="24"/>
          <w:lang w:val="es-PR"/>
        </w:rPr>
        <w:t xml:space="preserve">Respetuosamente </w:t>
      </w:r>
      <w:r w:rsidR="00F169E1">
        <w:rPr>
          <w:rFonts w:ascii="Book Antiqua" w:eastAsia="Book Antiqua" w:hAnsi="Book Antiqua" w:cs="Book Antiqua"/>
          <w:color w:val="000000" w:themeColor="text1"/>
          <w:szCs w:val="24"/>
          <w:lang w:val="es-PR"/>
        </w:rPr>
        <w:t>presenta</w:t>
      </w:r>
      <w:r w:rsidRPr="001711E6">
        <w:rPr>
          <w:rFonts w:ascii="Book Antiqua" w:eastAsia="Book Antiqua" w:hAnsi="Book Antiqua" w:cs="Book Antiqua"/>
          <w:color w:val="000000" w:themeColor="text1"/>
          <w:szCs w:val="24"/>
          <w:lang w:val="es-PR"/>
        </w:rPr>
        <w:t>do</w:t>
      </w:r>
      <w:r w:rsidR="006A2B1A">
        <w:rPr>
          <w:rFonts w:ascii="Book Antiqua" w:eastAsia="Book Antiqua" w:hAnsi="Book Antiqua" w:cs="Book Antiqua"/>
          <w:color w:val="000000" w:themeColor="text1"/>
          <w:szCs w:val="24"/>
          <w:lang w:val="es-PR"/>
        </w:rPr>
        <w:t>,</w:t>
      </w:r>
    </w:p>
    <w:p w14:paraId="63414C34" w14:textId="77777777" w:rsidR="003B38A4" w:rsidRPr="001711E6" w:rsidRDefault="003B38A4" w:rsidP="003B38A4">
      <w:pPr>
        <w:jc w:val="both"/>
        <w:rPr>
          <w:rFonts w:ascii="Book Antiqua" w:eastAsia="Book Antiqua" w:hAnsi="Book Antiqua" w:cs="Book Antiqua"/>
          <w:color w:val="000000" w:themeColor="text1"/>
          <w:szCs w:val="24"/>
          <w:lang w:val="es-PR"/>
        </w:rPr>
      </w:pPr>
    </w:p>
    <w:p w14:paraId="5B154406" w14:textId="77777777" w:rsidR="003B38A4" w:rsidRPr="001711E6" w:rsidRDefault="003B38A4" w:rsidP="003B38A4">
      <w:pPr>
        <w:jc w:val="both"/>
        <w:rPr>
          <w:rFonts w:ascii="Book Antiqua" w:eastAsia="Book Antiqua" w:hAnsi="Book Antiqua" w:cs="Book Antiqua"/>
          <w:color w:val="000000" w:themeColor="text1"/>
          <w:szCs w:val="24"/>
          <w:lang w:val="es-PR"/>
        </w:rPr>
      </w:pPr>
    </w:p>
    <w:p w14:paraId="70EDA1E2" w14:textId="41BE61DF" w:rsidR="003B38A4" w:rsidRPr="005D6D80" w:rsidRDefault="00447224" w:rsidP="003B38A4">
      <w:pPr>
        <w:jc w:val="both"/>
        <w:rPr>
          <w:rFonts w:ascii="Book Antiqua" w:eastAsia="Book Antiqua" w:hAnsi="Book Antiqua" w:cs="Book Antiqua"/>
          <w:b/>
          <w:bCs/>
          <w:smallCaps/>
          <w:color w:val="000000" w:themeColor="text1"/>
          <w:szCs w:val="24"/>
          <w:lang w:val="es-PR"/>
        </w:rPr>
      </w:pPr>
      <w:r w:rsidRPr="005D6D80">
        <w:rPr>
          <w:rFonts w:ascii="Book Antiqua" w:eastAsia="Book Antiqua" w:hAnsi="Book Antiqua" w:cs="Book Antiqua"/>
          <w:b/>
          <w:bCs/>
          <w:smallCaps/>
          <w:color w:val="000000" w:themeColor="text1"/>
          <w:szCs w:val="24"/>
          <w:lang w:val="es-PR"/>
        </w:rPr>
        <w:t>José</w:t>
      </w:r>
      <w:r w:rsidR="00D60D6E" w:rsidRPr="005D6D80">
        <w:rPr>
          <w:rFonts w:ascii="Book Antiqua" w:eastAsia="Book Antiqua" w:hAnsi="Book Antiqua" w:cs="Book Antiqua"/>
          <w:b/>
          <w:bCs/>
          <w:smallCaps/>
          <w:color w:val="000000" w:themeColor="text1"/>
          <w:szCs w:val="24"/>
          <w:lang w:val="es-PR"/>
        </w:rPr>
        <w:t xml:space="preserve"> J. </w:t>
      </w:r>
      <w:r w:rsidRPr="005D6D80">
        <w:rPr>
          <w:rFonts w:ascii="Book Antiqua" w:eastAsia="Book Antiqua" w:hAnsi="Book Antiqua" w:cs="Book Antiqua"/>
          <w:b/>
          <w:bCs/>
          <w:smallCaps/>
          <w:color w:val="000000" w:themeColor="text1"/>
          <w:szCs w:val="24"/>
          <w:lang w:val="es-PR"/>
        </w:rPr>
        <w:t>Pérez</w:t>
      </w:r>
      <w:r w:rsidR="00D60D6E" w:rsidRPr="005D6D80">
        <w:rPr>
          <w:rFonts w:ascii="Book Antiqua" w:eastAsia="Book Antiqua" w:hAnsi="Book Antiqua" w:cs="Book Antiqua"/>
          <w:b/>
          <w:bCs/>
          <w:smallCaps/>
          <w:color w:val="000000" w:themeColor="text1"/>
          <w:szCs w:val="24"/>
          <w:lang w:val="es-PR"/>
        </w:rPr>
        <w:t xml:space="preserve"> Cordero</w:t>
      </w:r>
      <w:r w:rsidR="003B38A4" w:rsidRPr="005D6D80">
        <w:rPr>
          <w:rFonts w:ascii="Book Antiqua" w:eastAsia="Book Antiqua" w:hAnsi="Book Antiqua" w:cs="Book Antiqua"/>
          <w:b/>
          <w:bCs/>
          <w:smallCaps/>
          <w:color w:val="000000" w:themeColor="text1"/>
          <w:szCs w:val="24"/>
          <w:lang w:val="es-PR"/>
        </w:rPr>
        <w:tab/>
        <w:t xml:space="preserve"> </w:t>
      </w:r>
    </w:p>
    <w:p w14:paraId="3B6A5A42" w14:textId="330E92BE" w:rsidR="00F0476A" w:rsidRDefault="003B38A4" w:rsidP="006A2B1A">
      <w:pPr>
        <w:jc w:val="both"/>
        <w:rPr>
          <w:rFonts w:ascii="Book Antiqua" w:eastAsia="Book Antiqua" w:hAnsi="Book Antiqua" w:cs="Book Antiqua"/>
          <w:color w:val="000000" w:themeColor="text1"/>
          <w:szCs w:val="24"/>
          <w:lang w:val="es-PR"/>
        </w:rPr>
      </w:pPr>
      <w:r w:rsidRPr="001711E6">
        <w:rPr>
          <w:rFonts w:ascii="Book Antiqua" w:eastAsia="Book Antiqua" w:hAnsi="Book Antiqua" w:cs="Book Antiqua"/>
          <w:color w:val="000000" w:themeColor="text1"/>
          <w:szCs w:val="24"/>
          <w:lang w:val="es-PR"/>
        </w:rPr>
        <w:t>President</w:t>
      </w:r>
      <w:r w:rsidR="00F248D5" w:rsidRPr="001711E6">
        <w:rPr>
          <w:rFonts w:ascii="Book Antiqua" w:eastAsia="Book Antiqua" w:hAnsi="Book Antiqua" w:cs="Book Antiqua"/>
          <w:color w:val="000000" w:themeColor="text1"/>
          <w:szCs w:val="24"/>
          <w:lang w:val="es-PR"/>
        </w:rPr>
        <w:t>e</w:t>
      </w:r>
    </w:p>
    <w:p w14:paraId="18EA89E6" w14:textId="77C1FA7D" w:rsidR="001526F8" w:rsidRPr="001711E6" w:rsidRDefault="001526F8" w:rsidP="006A2B1A">
      <w:pPr>
        <w:jc w:val="both"/>
        <w:rPr>
          <w:rFonts w:ascii="Book Antiqua" w:eastAsia="Book Antiqua" w:hAnsi="Book Antiqua" w:cs="Book Antiqua"/>
          <w:color w:val="000000" w:themeColor="text1"/>
          <w:szCs w:val="24"/>
          <w:lang w:val="es-PR"/>
        </w:rPr>
      </w:pPr>
      <w:r>
        <w:rPr>
          <w:rFonts w:ascii="Book Antiqua" w:eastAsia="Book Antiqua" w:hAnsi="Book Antiqua" w:cs="Book Antiqua"/>
          <w:color w:val="000000" w:themeColor="text1"/>
          <w:szCs w:val="24"/>
          <w:lang w:val="es-PR"/>
        </w:rPr>
        <w:t>Comisión de lo Jurídico</w:t>
      </w:r>
    </w:p>
    <w:sectPr w:rsidR="001526F8" w:rsidRPr="001711E6" w:rsidSect="00015228">
      <w:headerReference w:type="default" r:id="rId12"/>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D958C9" w14:textId="77777777" w:rsidR="002D2D8C" w:rsidRDefault="002D2D8C">
      <w:r>
        <w:separator/>
      </w:r>
    </w:p>
  </w:endnote>
  <w:endnote w:type="continuationSeparator" w:id="0">
    <w:p w14:paraId="16608ECE" w14:textId="77777777" w:rsidR="002D2D8C" w:rsidRDefault="002D2D8C">
      <w:r>
        <w:continuationSeparator/>
      </w:r>
    </w:p>
  </w:endnote>
  <w:endnote w:type="continuationNotice" w:id="1">
    <w:p w14:paraId="41B96EA5" w14:textId="77777777" w:rsidR="002D2D8C" w:rsidRDefault="002D2D8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E29AA5" w14:textId="77777777" w:rsidR="002D2D8C" w:rsidRDefault="002D2D8C">
      <w:r>
        <w:separator/>
      </w:r>
    </w:p>
  </w:footnote>
  <w:footnote w:type="continuationSeparator" w:id="0">
    <w:p w14:paraId="6974870A" w14:textId="77777777" w:rsidR="002D2D8C" w:rsidRDefault="002D2D8C">
      <w:r>
        <w:continuationSeparator/>
      </w:r>
    </w:p>
  </w:footnote>
  <w:footnote w:type="continuationNotice" w:id="1">
    <w:p w14:paraId="1F6933F9" w14:textId="77777777" w:rsidR="002D2D8C" w:rsidRDefault="002D2D8C"/>
  </w:footnote>
  <w:footnote w:id="2">
    <w:p w14:paraId="695C583C" w14:textId="35555EAF" w:rsidR="00A11747" w:rsidRPr="002653D5" w:rsidRDefault="00A11747" w:rsidP="002653D5">
      <w:pPr>
        <w:pStyle w:val="FootnoteText"/>
        <w:spacing w:after="120"/>
        <w:rPr>
          <w:rFonts w:ascii="Book Antiqua" w:hAnsi="Book Antiqua"/>
        </w:rPr>
      </w:pPr>
      <w:r w:rsidRPr="002653D5">
        <w:rPr>
          <w:rStyle w:val="FootnoteReference"/>
          <w:rFonts w:ascii="Book Antiqua" w:hAnsi="Book Antiqua"/>
        </w:rPr>
        <w:footnoteRef/>
      </w:r>
      <w:r w:rsidRPr="002653D5">
        <w:rPr>
          <w:rFonts w:ascii="Book Antiqua" w:hAnsi="Book Antiqua"/>
        </w:rPr>
        <w:t xml:space="preserve"> Conocida como </w:t>
      </w:r>
      <w:r w:rsidRPr="00151C7C">
        <w:rPr>
          <w:rFonts w:ascii="Book Antiqua" w:hAnsi="Book Antiqua"/>
        </w:rPr>
        <w:t>Ley Uniforme de Confiscaciones de 2011</w:t>
      </w:r>
      <w:r w:rsidRPr="002653D5">
        <w:rPr>
          <w:rFonts w:ascii="Book Antiqua" w:hAnsi="Book Antiqua"/>
          <w:i/>
          <w:iCs/>
        </w:rPr>
        <w:t>.</w:t>
      </w:r>
    </w:p>
  </w:footnote>
  <w:footnote w:id="3">
    <w:p w14:paraId="09C81220" w14:textId="37C48B58" w:rsidR="00451AB6" w:rsidRPr="002653D5" w:rsidRDefault="00451AB6" w:rsidP="002653D5">
      <w:pPr>
        <w:pStyle w:val="FootnoteText"/>
        <w:spacing w:after="120"/>
        <w:rPr>
          <w:rFonts w:ascii="Book Antiqua" w:hAnsi="Book Antiqua" w:cstheme="majorBidi"/>
        </w:rPr>
      </w:pPr>
      <w:r w:rsidRPr="002653D5">
        <w:rPr>
          <w:rStyle w:val="FootnoteReference"/>
          <w:rFonts w:ascii="Book Antiqua" w:hAnsi="Book Antiqua" w:cstheme="majorBidi"/>
        </w:rPr>
        <w:footnoteRef/>
      </w:r>
      <w:r w:rsidRPr="002653D5">
        <w:rPr>
          <w:rFonts w:ascii="Book Antiqua" w:hAnsi="Book Antiqua" w:cstheme="majorBidi"/>
        </w:rPr>
        <w:t xml:space="preserve"> Según el título de este proyecto de ley, el cual fue presentado el 15 de mayo de 2025 por el Rep. </w:t>
      </w:r>
      <w:r w:rsidRPr="00151C7C">
        <w:rPr>
          <w:rFonts w:ascii="Book Antiqua" w:hAnsi="Book Antiqua" w:cstheme="majorBidi"/>
        </w:rPr>
        <w:t>Rivera Ruiz de Porras</w:t>
      </w:r>
      <w:r w:rsidRPr="002653D5">
        <w:rPr>
          <w:rFonts w:ascii="Book Antiqua" w:hAnsi="Book Antiqua" w:cstheme="majorBidi"/>
        </w:rPr>
        <w:t>.</w:t>
      </w:r>
    </w:p>
  </w:footnote>
  <w:footnote w:id="4">
    <w:p w14:paraId="72DF0C5A" w14:textId="77777777" w:rsidR="00CC558C" w:rsidRPr="002653D5" w:rsidRDefault="00CC558C" w:rsidP="002653D5">
      <w:pPr>
        <w:spacing w:after="120" w:line="288" w:lineRule="auto"/>
        <w:jc w:val="both"/>
        <w:rPr>
          <w:rFonts w:ascii="Book Antiqua" w:eastAsia="Book Antiqua" w:hAnsi="Book Antiqua" w:cstheme="majorBidi"/>
          <w:color w:val="000000" w:themeColor="text1"/>
          <w:sz w:val="20"/>
          <w:lang w:val="es-PR"/>
        </w:rPr>
      </w:pPr>
      <w:r w:rsidRPr="002653D5">
        <w:rPr>
          <w:rStyle w:val="FootnoteReference"/>
          <w:rFonts w:ascii="Book Antiqua" w:hAnsi="Book Antiqua" w:cstheme="majorBidi"/>
          <w:sz w:val="20"/>
        </w:rPr>
        <w:footnoteRef/>
      </w:r>
      <w:r w:rsidRPr="002653D5">
        <w:rPr>
          <w:rFonts w:ascii="Book Antiqua" w:hAnsi="Book Antiqua" w:cstheme="majorBidi"/>
          <w:sz w:val="20"/>
        </w:rPr>
        <w:t xml:space="preserve"> </w:t>
      </w:r>
      <w:r w:rsidRPr="002653D5">
        <w:rPr>
          <w:rFonts w:ascii="Book Antiqua" w:eastAsia="Book Antiqua" w:hAnsi="Book Antiqua" w:cstheme="majorBidi"/>
          <w:color w:val="000000" w:themeColor="text1"/>
          <w:sz w:val="20"/>
          <w:lang w:val="es-PR"/>
        </w:rPr>
        <w:t>Memorial del Departamento de Justicia sobre el Proyecto de la Cámara 776, de 13 de noviembre de 2018, Páginas 6-8; énfasis nuestro.</w:t>
      </w:r>
    </w:p>
  </w:footnote>
  <w:footnote w:id="5">
    <w:p w14:paraId="0A503B00" w14:textId="77777777" w:rsidR="005E6846" w:rsidRPr="002653D5" w:rsidRDefault="005E6846" w:rsidP="002653D5">
      <w:pPr>
        <w:spacing w:after="120" w:line="288" w:lineRule="auto"/>
        <w:jc w:val="both"/>
        <w:rPr>
          <w:rFonts w:ascii="Book Antiqua" w:eastAsia="Book Antiqua" w:hAnsi="Book Antiqua" w:cstheme="majorBidi"/>
          <w:color w:val="000000" w:themeColor="text1"/>
          <w:sz w:val="20"/>
          <w:lang w:val="es-PR"/>
        </w:rPr>
      </w:pPr>
      <w:r w:rsidRPr="002653D5">
        <w:rPr>
          <w:rStyle w:val="FootnoteReference"/>
          <w:rFonts w:ascii="Book Antiqua" w:hAnsi="Book Antiqua" w:cstheme="majorBidi"/>
          <w:sz w:val="20"/>
        </w:rPr>
        <w:footnoteRef/>
      </w:r>
      <w:r w:rsidRPr="002653D5">
        <w:rPr>
          <w:rFonts w:ascii="Book Antiqua" w:hAnsi="Book Antiqua" w:cstheme="majorBidi"/>
          <w:sz w:val="20"/>
        </w:rPr>
        <w:t xml:space="preserve"> </w:t>
      </w:r>
      <w:r w:rsidRPr="002653D5">
        <w:rPr>
          <w:rFonts w:ascii="Book Antiqua" w:eastAsia="Book Antiqua" w:hAnsi="Book Antiqua" w:cstheme="majorBidi"/>
          <w:color w:val="000000" w:themeColor="text1"/>
          <w:sz w:val="20"/>
          <w:lang w:val="es-PR"/>
        </w:rPr>
        <w:t xml:space="preserve">Memorial de la Oficina de Servicios Legislativos sobre el Proyecto de la Cámara 776, 25 de mayo de 2018, Páginas 3-8; énfasis en el original y suplido. </w:t>
      </w:r>
    </w:p>
  </w:footnote>
  <w:footnote w:id="6">
    <w:p w14:paraId="4A7CDACE" w14:textId="77777777" w:rsidR="007F34C6" w:rsidRPr="002653D5" w:rsidRDefault="007F34C6" w:rsidP="002653D5">
      <w:pPr>
        <w:spacing w:after="120" w:line="288" w:lineRule="auto"/>
        <w:jc w:val="both"/>
        <w:rPr>
          <w:rFonts w:ascii="Book Antiqua" w:eastAsia="Book Antiqua" w:hAnsi="Book Antiqua" w:cstheme="majorBidi"/>
          <w:color w:val="000000" w:themeColor="text1"/>
          <w:sz w:val="20"/>
          <w:lang w:val="es-PR"/>
        </w:rPr>
      </w:pPr>
      <w:r w:rsidRPr="002653D5">
        <w:rPr>
          <w:rStyle w:val="FootnoteReference"/>
          <w:rFonts w:ascii="Book Antiqua" w:hAnsi="Book Antiqua" w:cstheme="majorBidi"/>
          <w:sz w:val="20"/>
        </w:rPr>
        <w:footnoteRef/>
      </w:r>
      <w:r w:rsidRPr="002653D5">
        <w:rPr>
          <w:rFonts w:ascii="Book Antiqua" w:hAnsi="Book Antiqua" w:cstheme="majorBidi"/>
          <w:sz w:val="20"/>
        </w:rPr>
        <w:t xml:space="preserve"> </w:t>
      </w:r>
      <w:r w:rsidRPr="002653D5">
        <w:rPr>
          <w:rFonts w:ascii="Book Antiqua" w:eastAsia="Book Antiqua" w:hAnsi="Book Antiqua" w:cstheme="majorBidi"/>
          <w:color w:val="000000" w:themeColor="text1"/>
          <w:sz w:val="20"/>
          <w:lang w:val="es-PR"/>
        </w:rPr>
        <w:t xml:space="preserve">Memorial de la Oficina de Servicios Legislativos sobre el Proyecto de la Cámara 989, 20 de octubre de 2021, Páginas 3-4. </w:t>
      </w:r>
    </w:p>
  </w:footnote>
  <w:footnote w:id="7">
    <w:p w14:paraId="792E41A9" w14:textId="77777777" w:rsidR="0021380A" w:rsidRPr="002653D5" w:rsidRDefault="0021380A" w:rsidP="002653D5">
      <w:pPr>
        <w:pStyle w:val="FootnoteText"/>
        <w:spacing w:after="120"/>
        <w:rPr>
          <w:rFonts w:ascii="Book Antiqua" w:hAnsi="Book Antiqua"/>
          <w:lang w:val="es-ES"/>
        </w:rPr>
      </w:pPr>
      <w:r w:rsidRPr="002653D5">
        <w:rPr>
          <w:rStyle w:val="FootnoteReference"/>
          <w:rFonts w:ascii="Book Antiqua" w:hAnsi="Book Antiqua"/>
        </w:rPr>
        <w:footnoteRef/>
      </w:r>
      <w:r w:rsidRPr="002653D5">
        <w:rPr>
          <w:rFonts w:ascii="Book Antiqua" w:hAnsi="Book Antiqua"/>
        </w:rPr>
        <w:t xml:space="preserve"> </w:t>
      </w:r>
      <w:r w:rsidRPr="002653D5">
        <w:rPr>
          <w:rFonts w:ascii="Book Antiqua" w:eastAsia="Book Antiqua" w:hAnsi="Book Antiqua" w:cstheme="majorBidi"/>
          <w:color w:val="000000" w:themeColor="text1"/>
        </w:rPr>
        <w:t xml:space="preserve">Memorial de la Asociación de Bancos sobre el Proyecto de la Cámara 989, 17 de agosto de 2022, documento de 3 páginas, firmado por la Lcda. </w:t>
      </w:r>
      <w:proofErr w:type="spellStart"/>
      <w:r w:rsidRPr="002653D5">
        <w:rPr>
          <w:rFonts w:ascii="Book Antiqua" w:eastAsia="Book Antiqua" w:hAnsi="Book Antiqua" w:cstheme="majorBidi"/>
          <w:color w:val="000000" w:themeColor="text1"/>
        </w:rPr>
        <w:t>Zoimé</w:t>
      </w:r>
      <w:proofErr w:type="spellEnd"/>
      <w:r w:rsidRPr="002653D5">
        <w:rPr>
          <w:rFonts w:ascii="Book Antiqua" w:eastAsia="Book Antiqua" w:hAnsi="Book Antiqua" w:cstheme="majorBidi"/>
          <w:color w:val="000000" w:themeColor="text1"/>
        </w:rPr>
        <w:t xml:space="preserve"> Álvarez Rubio, (entonces) </w:t>
      </w:r>
      <w:proofErr w:type="gramStart"/>
      <w:r w:rsidRPr="002653D5">
        <w:rPr>
          <w:rFonts w:ascii="Book Antiqua" w:eastAsia="Book Antiqua" w:hAnsi="Book Antiqua" w:cstheme="majorBidi"/>
          <w:color w:val="000000" w:themeColor="text1"/>
        </w:rPr>
        <w:t>Vicepresidenta</w:t>
      </w:r>
      <w:proofErr w:type="gramEnd"/>
      <w:r w:rsidRPr="002653D5">
        <w:rPr>
          <w:rFonts w:ascii="Book Antiqua" w:eastAsia="Book Antiqua" w:hAnsi="Book Antiqua" w:cstheme="majorBidi"/>
          <w:color w:val="000000" w:themeColor="text1"/>
        </w:rPr>
        <w:t xml:space="preserve"> Ejecutiva.</w:t>
      </w:r>
    </w:p>
  </w:footnote>
  <w:footnote w:id="8">
    <w:p w14:paraId="4BE8BDBA" w14:textId="77777777" w:rsidR="00145FF5" w:rsidRPr="002653D5" w:rsidRDefault="00145FF5" w:rsidP="002653D5">
      <w:pPr>
        <w:pStyle w:val="FootnoteText"/>
        <w:spacing w:after="120"/>
        <w:rPr>
          <w:rFonts w:ascii="Book Antiqua" w:hAnsi="Book Antiqua"/>
          <w:lang w:val="es-ES"/>
        </w:rPr>
      </w:pPr>
      <w:r w:rsidRPr="002653D5">
        <w:rPr>
          <w:rStyle w:val="FootnoteReference"/>
          <w:rFonts w:ascii="Book Antiqua" w:hAnsi="Book Antiqua"/>
        </w:rPr>
        <w:footnoteRef/>
      </w:r>
      <w:r w:rsidRPr="002653D5">
        <w:rPr>
          <w:rFonts w:ascii="Book Antiqua" w:hAnsi="Book Antiqua"/>
        </w:rPr>
        <w:t xml:space="preserve"> </w:t>
      </w:r>
      <w:r w:rsidRPr="002653D5">
        <w:rPr>
          <w:rFonts w:ascii="Book Antiqua" w:eastAsia="Book Antiqua" w:hAnsi="Book Antiqua" w:cstheme="majorBidi"/>
          <w:color w:val="000000" w:themeColor="text1"/>
        </w:rPr>
        <w:t xml:space="preserve">Memorial de la ACODESE sobre el Proyecto de la Cámara 989, 19 de agosto de 2022, documento de 3 páginas, firmado por la Lcda. </w:t>
      </w:r>
      <w:proofErr w:type="spellStart"/>
      <w:r w:rsidRPr="002653D5">
        <w:rPr>
          <w:rFonts w:ascii="Book Antiqua" w:eastAsia="Book Antiqua" w:hAnsi="Book Antiqua" w:cstheme="majorBidi"/>
          <w:color w:val="000000" w:themeColor="text1"/>
        </w:rPr>
        <w:t>Iraelia</w:t>
      </w:r>
      <w:proofErr w:type="spellEnd"/>
      <w:r w:rsidRPr="002653D5">
        <w:rPr>
          <w:rFonts w:ascii="Book Antiqua" w:eastAsia="Book Antiqua" w:hAnsi="Book Antiqua" w:cstheme="majorBidi"/>
          <w:color w:val="000000" w:themeColor="text1"/>
        </w:rPr>
        <w:t xml:space="preserve"> Pernas, </w:t>
      </w:r>
      <w:proofErr w:type="gramStart"/>
      <w:r w:rsidRPr="002653D5">
        <w:rPr>
          <w:rFonts w:ascii="Book Antiqua" w:eastAsia="Book Antiqua" w:hAnsi="Book Antiqua" w:cstheme="majorBidi"/>
          <w:color w:val="000000" w:themeColor="text1"/>
        </w:rPr>
        <w:t>Directora Ejecutiva</w:t>
      </w:r>
      <w:proofErr w:type="gramEnd"/>
      <w:r w:rsidRPr="002653D5">
        <w:rPr>
          <w:rFonts w:ascii="Book Antiqua" w:eastAsia="Book Antiqua" w:hAnsi="Book Antiqua" w:cstheme="majorBidi"/>
          <w:color w:val="000000" w:themeColor="text1"/>
        </w:rPr>
        <w:t>.</w:t>
      </w:r>
    </w:p>
  </w:footnote>
  <w:footnote w:id="9">
    <w:p w14:paraId="2CE06217" w14:textId="5EC2480C" w:rsidR="00D514EA" w:rsidRPr="002653D5" w:rsidRDefault="00D514EA" w:rsidP="002653D5">
      <w:pPr>
        <w:pStyle w:val="FootnoteText"/>
        <w:spacing w:after="120"/>
        <w:rPr>
          <w:rFonts w:ascii="Book Antiqua" w:hAnsi="Book Antiqua"/>
        </w:rPr>
      </w:pPr>
      <w:r w:rsidRPr="002653D5">
        <w:rPr>
          <w:rStyle w:val="FootnoteReference"/>
          <w:rFonts w:ascii="Book Antiqua" w:hAnsi="Book Antiqua"/>
        </w:rPr>
        <w:footnoteRef/>
      </w:r>
      <w:r w:rsidRPr="002653D5">
        <w:rPr>
          <w:rFonts w:ascii="Book Antiqua" w:hAnsi="Book Antiqua"/>
        </w:rPr>
        <w:t xml:space="preserve"> Véase art. 8 de la Ley Núm. 119-2011.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B64E5C" w14:textId="7BC435A9" w:rsidR="006A2B1A" w:rsidRDefault="006A2B1A" w:rsidP="00CE54D8">
    <w:pPr>
      <w:pBdr>
        <w:bottom w:val="single" w:sz="4" w:space="1" w:color="D9D9D9"/>
      </w:pBdr>
      <w:tabs>
        <w:tab w:val="center" w:pos="4680"/>
        <w:tab w:val="right" w:pos="9360"/>
      </w:tabs>
      <w:rPr>
        <w:rFonts w:ascii="Calibri" w:eastAsia="Calibri" w:hAnsi="Calibri"/>
        <w:b/>
        <w:i/>
        <w:sz w:val="22"/>
        <w:szCs w:val="22"/>
        <w:lang w:val="es-PR"/>
      </w:rPr>
    </w:pPr>
    <w:r>
      <w:rPr>
        <w:rFonts w:ascii="Calibri" w:eastAsia="Calibri" w:hAnsi="Calibri"/>
        <w:b/>
        <w:i/>
        <w:sz w:val="22"/>
        <w:szCs w:val="22"/>
        <w:lang w:val="es-PR"/>
      </w:rPr>
      <w:t>Comisión de lo Jurídico</w:t>
    </w:r>
  </w:p>
  <w:p w14:paraId="1ECA5D86" w14:textId="4E36CF2A" w:rsidR="006A2B1A" w:rsidRDefault="00CE54D8" w:rsidP="00CE54D8">
    <w:pPr>
      <w:pBdr>
        <w:bottom w:val="single" w:sz="4" w:space="1" w:color="D9D9D9"/>
      </w:pBdr>
      <w:tabs>
        <w:tab w:val="center" w:pos="4680"/>
        <w:tab w:val="right" w:pos="9360"/>
      </w:tabs>
      <w:rPr>
        <w:rFonts w:ascii="Calibri" w:eastAsia="Calibri" w:hAnsi="Calibri"/>
        <w:b/>
        <w:i/>
        <w:sz w:val="22"/>
        <w:szCs w:val="22"/>
        <w:lang w:val="es-PR"/>
      </w:rPr>
    </w:pPr>
    <w:r w:rsidRPr="00CE54D8">
      <w:rPr>
        <w:rFonts w:ascii="Calibri" w:eastAsia="Calibri" w:hAnsi="Calibri"/>
        <w:b/>
        <w:i/>
        <w:sz w:val="22"/>
        <w:szCs w:val="22"/>
        <w:lang w:val="es-PR"/>
      </w:rPr>
      <w:t>Informe</w:t>
    </w:r>
    <w:r w:rsidR="006A2B1A">
      <w:rPr>
        <w:rFonts w:ascii="Calibri" w:eastAsia="Calibri" w:hAnsi="Calibri"/>
        <w:b/>
        <w:i/>
        <w:sz w:val="22"/>
        <w:szCs w:val="22"/>
        <w:lang w:val="es-PR"/>
      </w:rPr>
      <w:t xml:space="preserve"> Negativo</w:t>
    </w:r>
  </w:p>
  <w:p w14:paraId="31A51A2D" w14:textId="1120BBB6" w:rsidR="00BA0B5D" w:rsidRPr="00392CEF" w:rsidRDefault="00CE54D8" w:rsidP="00CE54D8">
    <w:pPr>
      <w:pBdr>
        <w:bottom w:val="single" w:sz="4" w:space="1" w:color="D9D9D9"/>
      </w:pBdr>
      <w:tabs>
        <w:tab w:val="center" w:pos="4680"/>
        <w:tab w:val="right" w:pos="9360"/>
      </w:tabs>
      <w:rPr>
        <w:rFonts w:ascii="Calibri" w:eastAsia="Calibri" w:hAnsi="Calibri"/>
        <w:b/>
        <w:i/>
        <w:sz w:val="22"/>
        <w:szCs w:val="22"/>
        <w:lang w:val="es-PR"/>
      </w:rPr>
    </w:pPr>
    <w:r w:rsidRPr="00CE54D8">
      <w:rPr>
        <w:rFonts w:ascii="Calibri" w:eastAsia="Calibri" w:hAnsi="Calibri"/>
        <w:b/>
        <w:i/>
        <w:sz w:val="22"/>
        <w:szCs w:val="22"/>
        <w:lang w:val="es-PR"/>
      </w:rPr>
      <w:t>P. de la C.</w:t>
    </w:r>
    <w:r>
      <w:rPr>
        <w:rFonts w:ascii="Calibri" w:eastAsia="Calibri" w:hAnsi="Calibri"/>
        <w:b/>
        <w:i/>
        <w:sz w:val="22"/>
        <w:szCs w:val="22"/>
        <w:lang w:val="es-PR"/>
      </w:rPr>
      <w:t xml:space="preserve"> </w:t>
    </w:r>
    <w:r w:rsidR="006A2B1A">
      <w:rPr>
        <w:rFonts w:ascii="Calibri" w:eastAsia="Calibri" w:hAnsi="Calibri"/>
        <w:b/>
        <w:i/>
        <w:sz w:val="22"/>
        <w:szCs w:val="22"/>
        <w:lang w:val="es-PR"/>
      </w:rPr>
      <w:t>679</w:t>
    </w:r>
    <w:r w:rsidRPr="00CE54D8">
      <w:rPr>
        <w:rFonts w:ascii="Calibri" w:eastAsia="Calibri" w:hAnsi="Calibri"/>
        <w:b/>
        <w:i/>
        <w:sz w:val="22"/>
        <w:szCs w:val="22"/>
        <w:lang w:val="es-PR"/>
      </w:rPr>
      <w:tab/>
    </w:r>
    <w:r w:rsidRPr="00CE54D8">
      <w:rPr>
        <w:rFonts w:ascii="Calibri" w:eastAsia="Calibri" w:hAnsi="Calibri"/>
        <w:b/>
        <w:i/>
        <w:sz w:val="22"/>
        <w:szCs w:val="22"/>
        <w:lang w:val="es-PR"/>
      </w:rPr>
      <w:tab/>
      <w:t xml:space="preserve"> Página</w:t>
    </w:r>
    <w:r w:rsidRPr="00CE54D8">
      <w:rPr>
        <w:rFonts w:ascii="Calibri" w:eastAsia="Calibri" w:hAnsi="Calibri"/>
        <w:sz w:val="22"/>
        <w:szCs w:val="22"/>
        <w:lang w:val="es-PR"/>
      </w:rPr>
      <w:t xml:space="preserve"> | </w:t>
    </w:r>
    <w:r w:rsidRPr="00CE54D8">
      <w:rPr>
        <w:rFonts w:ascii="Calibri" w:eastAsia="Calibri" w:hAnsi="Calibri"/>
        <w:sz w:val="22"/>
        <w:szCs w:val="22"/>
        <w:lang w:val="en-US"/>
      </w:rPr>
      <w:fldChar w:fldCharType="begin"/>
    </w:r>
    <w:r w:rsidRPr="00CE54D8">
      <w:rPr>
        <w:rFonts w:ascii="Calibri" w:eastAsia="Calibri" w:hAnsi="Calibri"/>
        <w:sz w:val="22"/>
        <w:szCs w:val="22"/>
        <w:lang w:val="es-PR"/>
      </w:rPr>
      <w:instrText xml:space="preserve"> PAGE   \* MERGEFORMAT </w:instrText>
    </w:r>
    <w:r w:rsidRPr="00CE54D8">
      <w:rPr>
        <w:rFonts w:ascii="Calibri" w:eastAsia="Calibri" w:hAnsi="Calibri"/>
        <w:sz w:val="22"/>
        <w:szCs w:val="22"/>
        <w:lang w:val="en-US"/>
      </w:rPr>
      <w:fldChar w:fldCharType="separate"/>
    </w:r>
    <w:r w:rsidR="000F67BD" w:rsidRPr="000F67BD">
      <w:rPr>
        <w:rFonts w:ascii="Calibri" w:eastAsia="Calibri" w:hAnsi="Calibri"/>
        <w:b/>
        <w:bCs/>
        <w:noProof/>
        <w:sz w:val="22"/>
        <w:szCs w:val="22"/>
        <w:lang w:val="es-PR"/>
      </w:rPr>
      <w:t>5</w:t>
    </w:r>
    <w:r w:rsidRPr="00CE54D8">
      <w:rPr>
        <w:rFonts w:ascii="Calibri" w:eastAsia="Calibri" w:hAnsi="Calibri"/>
        <w:sz w:val="22"/>
        <w:szCs w:val="22"/>
        <w:lang w:val="en-U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D02F83"/>
    <w:multiLevelType w:val="hybridMultilevel"/>
    <w:tmpl w:val="C232ACF4"/>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14826CC"/>
    <w:multiLevelType w:val="hybridMultilevel"/>
    <w:tmpl w:val="D668D444"/>
    <w:lvl w:ilvl="0" w:tplc="DC263E1A">
      <w:start w:val="1"/>
      <w:numFmt w:val="lowerLetter"/>
      <w:lvlText w:val="%1)"/>
      <w:lvlJc w:val="left"/>
      <w:pPr>
        <w:ind w:left="1080" w:hanging="360"/>
      </w:pPr>
      <w:rPr>
        <w:rFonts w:eastAsia="Book Antiqua" w:cs="Book Antiqua" w:hint="default"/>
        <w:color w:val="000000" w:themeColor="text1"/>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82E5D12"/>
    <w:multiLevelType w:val="hybridMultilevel"/>
    <w:tmpl w:val="2AE4D28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18EE25A1"/>
    <w:multiLevelType w:val="hybridMultilevel"/>
    <w:tmpl w:val="814A9C02"/>
    <w:lvl w:ilvl="0" w:tplc="04090013">
      <w:start w:val="1"/>
      <w:numFmt w:val="upp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20DD6F52"/>
    <w:multiLevelType w:val="hybridMultilevel"/>
    <w:tmpl w:val="F75AD9E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24CE24B7"/>
    <w:multiLevelType w:val="hybridMultilevel"/>
    <w:tmpl w:val="5B7071D4"/>
    <w:lvl w:ilvl="0" w:tplc="04090015">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7D37D0E"/>
    <w:multiLevelType w:val="hybridMultilevel"/>
    <w:tmpl w:val="985CA244"/>
    <w:lvl w:ilvl="0" w:tplc="AE1E54D8">
      <w:start w:val="40"/>
      <w:numFmt w:val="decimal"/>
      <w:lvlText w:val="%1"/>
      <w:lvlJc w:val="left"/>
      <w:pPr>
        <w:ind w:left="202"/>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superscript"/>
      </w:rPr>
    </w:lvl>
    <w:lvl w:ilvl="1" w:tplc="76F4EE02">
      <w:start w:val="1"/>
      <w:numFmt w:val="lowerLetter"/>
      <w:lvlText w:val="%2"/>
      <w:lvlJc w:val="left"/>
      <w:pPr>
        <w:ind w:left="1100"/>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superscript"/>
      </w:rPr>
    </w:lvl>
    <w:lvl w:ilvl="2" w:tplc="4C78E854">
      <w:start w:val="1"/>
      <w:numFmt w:val="lowerRoman"/>
      <w:lvlText w:val="%3"/>
      <w:lvlJc w:val="left"/>
      <w:pPr>
        <w:ind w:left="1820"/>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superscript"/>
      </w:rPr>
    </w:lvl>
    <w:lvl w:ilvl="3" w:tplc="6B900874">
      <w:start w:val="1"/>
      <w:numFmt w:val="decimal"/>
      <w:lvlText w:val="%4"/>
      <w:lvlJc w:val="left"/>
      <w:pPr>
        <w:ind w:left="2540"/>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superscript"/>
      </w:rPr>
    </w:lvl>
    <w:lvl w:ilvl="4" w:tplc="CCD8094C">
      <w:start w:val="1"/>
      <w:numFmt w:val="lowerLetter"/>
      <w:lvlText w:val="%5"/>
      <w:lvlJc w:val="left"/>
      <w:pPr>
        <w:ind w:left="3260"/>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superscript"/>
      </w:rPr>
    </w:lvl>
    <w:lvl w:ilvl="5" w:tplc="2084D7DE">
      <w:start w:val="1"/>
      <w:numFmt w:val="lowerRoman"/>
      <w:lvlText w:val="%6"/>
      <w:lvlJc w:val="left"/>
      <w:pPr>
        <w:ind w:left="3980"/>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superscript"/>
      </w:rPr>
    </w:lvl>
    <w:lvl w:ilvl="6" w:tplc="12B2B4A0">
      <w:start w:val="1"/>
      <w:numFmt w:val="decimal"/>
      <w:lvlText w:val="%7"/>
      <w:lvlJc w:val="left"/>
      <w:pPr>
        <w:ind w:left="4700"/>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superscript"/>
      </w:rPr>
    </w:lvl>
    <w:lvl w:ilvl="7" w:tplc="F6526066">
      <w:start w:val="1"/>
      <w:numFmt w:val="lowerLetter"/>
      <w:lvlText w:val="%8"/>
      <w:lvlJc w:val="left"/>
      <w:pPr>
        <w:ind w:left="5420"/>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superscript"/>
      </w:rPr>
    </w:lvl>
    <w:lvl w:ilvl="8" w:tplc="9538267A">
      <w:start w:val="1"/>
      <w:numFmt w:val="lowerRoman"/>
      <w:lvlText w:val="%9"/>
      <w:lvlJc w:val="left"/>
      <w:pPr>
        <w:ind w:left="6140"/>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superscript"/>
      </w:rPr>
    </w:lvl>
  </w:abstractNum>
  <w:abstractNum w:abstractNumId="7" w15:restartNumberingAfterBreak="0">
    <w:nsid w:val="283D74F1"/>
    <w:multiLevelType w:val="hybridMultilevel"/>
    <w:tmpl w:val="18B89CB6"/>
    <w:lvl w:ilvl="0" w:tplc="85CA1E9C">
      <w:start w:val="1"/>
      <w:numFmt w:val="decimal"/>
      <w:lvlText w:val="%1."/>
      <w:lvlJc w:val="left"/>
      <w:pPr>
        <w:ind w:left="1428" w:hanging="361"/>
        <w:jc w:val="left"/>
      </w:pPr>
      <w:rPr>
        <w:rFonts w:hint="default"/>
        <w:spacing w:val="0"/>
        <w:w w:val="99"/>
        <w:lang w:val="es-ES" w:eastAsia="en-US" w:bidi="ar-SA"/>
      </w:rPr>
    </w:lvl>
    <w:lvl w:ilvl="1" w:tplc="C16494F8">
      <w:numFmt w:val="bullet"/>
      <w:lvlText w:val="•"/>
      <w:lvlJc w:val="left"/>
      <w:pPr>
        <w:ind w:left="2394" w:hanging="361"/>
      </w:pPr>
      <w:rPr>
        <w:rFonts w:hint="default"/>
        <w:lang w:val="es-ES" w:eastAsia="en-US" w:bidi="ar-SA"/>
      </w:rPr>
    </w:lvl>
    <w:lvl w:ilvl="2" w:tplc="5E3ECAE2">
      <w:numFmt w:val="bullet"/>
      <w:lvlText w:val="•"/>
      <w:lvlJc w:val="left"/>
      <w:pPr>
        <w:ind w:left="3368" w:hanging="361"/>
      </w:pPr>
      <w:rPr>
        <w:rFonts w:hint="default"/>
        <w:lang w:val="es-ES" w:eastAsia="en-US" w:bidi="ar-SA"/>
      </w:rPr>
    </w:lvl>
    <w:lvl w:ilvl="3" w:tplc="EB56F5A8">
      <w:numFmt w:val="bullet"/>
      <w:lvlText w:val="•"/>
      <w:lvlJc w:val="left"/>
      <w:pPr>
        <w:ind w:left="4342" w:hanging="361"/>
      </w:pPr>
      <w:rPr>
        <w:rFonts w:hint="default"/>
        <w:lang w:val="es-ES" w:eastAsia="en-US" w:bidi="ar-SA"/>
      </w:rPr>
    </w:lvl>
    <w:lvl w:ilvl="4" w:tplc="DCA683D6">
      <w:numFmt w:val="bullet"/>
      <w:lvlText w:val="•"/>
      <w:lvlJc w:val="left"/>
      <w:pPr>
        <w:ind w:left="5316" w:hanging="361"/>
      </w:pPr>
      <w:rPr>
        <w:rFonts w:hint="default"/>
        <w:lang w:val="es-ES" w:eastAsia="en-US" w:bidi="ar-SA"/>
      </w:rPr>
    </w:lvl>
    <w:lvl w:ilvl="5" w:tplc="18362CB4">
      <w:numFmt w:val="bullet"/>
      <w:lvlText w:val="•"/>
      <w:lvlJc w:val="left"/>
      <w:pPr>
        <w:ind w:left="6290" w:hanging="361"/>
      </w:pPr>
      <w:rPr>
        <w:rFonts w:hint="default"/>
        <w:lang w:val="es-ES" w:eastAsia="en-US" w:bidi="ar-SA"/>
      </w:rPr>
    </w:lvl>
    <w:lvl w:ilvl="6" w:tplc="786080E2">
      <w:numFmt w:val="bullet"/>
      <w:lvlText w:val="•"/>
      <w:lvlJc w:val="left"/>
      <w:pPr>
        <w:ind w:left="7264" w:hanging="361"/>
      </w:pPr>
      <w:rPr>
        <w:rFonts w:hint="default"/>
        <w:lang w:val="es-ES" w:eastAsia="en-US" w:bidi="ar-SA"/>
      </w:rPr>
    </w:lvl>
    <w:lvl w:ilvl="7" w:tplc="F79246EE">
      <w:numFmt w:val="bullet"/>
      <w:lvlText w:val="•"/>
      <w:lvlJc w:val="left"/>
      <w:pPr>
        <w:ind w:left="8238" w:hanging="361"/>
      </w:pPr>
      <w:rPr>
        <w:rFonts w:hint="default"/>
        <w:lang w:val="es-ES" w:eastAsia="en-US" w:bidi="ar-SA"/>
      </w:rPr>
    </w:lvl>
    <w:lvl w:ilvl="8" w:tplc="8C062E14">
      <w:numFmt w:val="bullet"/>
      <w:lvlText w:val="•"/>
      <w:lvlJc w:val="left"/>
      <w:pPr>
        <w:ind w:left="9212" w:hanging="361"/>
      </w:pPr>
      <w:rPr>
        <w:rFonts w:hint="default"/>
        <w:lang w:val="es-ES" w:eastAsia="en-US" w:bidi="ar-SA"/>
      </w:rPr>
    </w:lvl>
  </w:abstractNum>
  <w:abstractNum w:abstractNumId="8" w15:restartNumberingAfterBreak="0">
    <w:nsid w:val="2B3A7C3A"/>
    <w:multiLevelType w:val="hybridMultilevel"/>
    <w:tmpl w:val="8C88BD86"/>
    <w:lvl w:ilvl="0" w:tplc="397489B6">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2B853D85"/>
    <w:multiLevelType w:val="hybridMultilevel"/>
    <w:tmpl w:val="8F08A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E73323C"/>
    <w:multiLevelType w:val="hybridMultilevel"/>
    <w:tmpl w:val="E79C13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EA1063E"/>
    <w:multiLevelType w:val="hybridMultilevel"/>
    <w:tmpl w:val="EE0CCFC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32B048E0"/>
    <w:multiLevelType w:val="hybridMultilevel"/>
    <w:tmpl w:val="8EB0931E"/>
    <w:lvl w:ilvl="0" w:tplc="13449160">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3B317F9"/>
    <w:multiLevelType w:val="hybridMultilevel"/>
    <w:tmpl w:val="C8ACE43A"/>
    <w:lvl w:ilvl="0" w:tplc="04090001">
      <w:start w:val="1"/>
      <w:numFmt w:val="bullet"/>
      <w:lvlText w:val=""/>
      <w:lvlJc w:val="left"/>
      <w:pPr>
        <w:ind w:left="778" w:hanging="360"/>
      </w:pPr>
      <w:rPr>
        <w:rFonts w:ascii="Symbol" w:hAnsi="Symbol" w:hint="default"/>
      </w:rPr>
    </w:lvl>
    <w:lvl w:ilvl="1" w:tplc="04090003" w:tentative="1">
      <w:start w:val="1"/>
      <w:numFmt w:val="bullet"/>
      <w:lvlText w:val="o"/>
      <w:lvlJc w:val="left"/>
      <w:pPr>
        <w:ind w:left="1498" w:hanging="360"/>
      </w:pPr>
      <w:rPr>
        <w:rFonts w:ascii="Courier New" w:hAnsi="Courier New" w:cs="Courier New" w:hint="default"/>
      </w:rPr>
    </w:lvl>
    <w:lvl w:ilvl="2" w:tplc="04090005" w:tentative="1">
      <w:start w:val="1"/>
      <w:numFmt w:val="bullet"/>
      <w:lvlText w:val=""/>
      <w:lvlJc w:val="left"/>
      <w:pPr>
        <w:ind w:left="2218" w:hanging="360"/>
      </w:pPr>
      <w:rPr>
        <w:rFonts w:ascii="Wingdings" w:hAnsi="Wingdings" w:hint="default"/>
      </w:rPr>
    </w:lvl>
    <w:lvl w:ilvl="3" w:tplc="04090001" w:tentative="1">
      <w:start w:val="1"/>
      <w:numFmt w:val="bullet"/>
      <w:lvlText w:val=""/>
      <w:lvlJc w:val="left"/>
      <w:pPr>
        <w:ind w:left="2938" w:hanging="360"/>
      </w:pPr>
      <w:rPr>
        <w:rFonts w:ascii="Symbol" w:hAnsi="Symbol" w:hint="default"/>
      </w:rPr>
    </w:lvl>
    <w:lvl w:ilvl="4" w:tplc="04090003" w:tentative="1">
      <w:start w:val="1"/>
      <w:numFmt w:val="bullet"/>
      <w:lvlText w:val="o"/>
      <w:lvlJc w:val="left"/>
      <w:pPr>
        <w:ind w:left="3658" w:hanging="360"/>
      </w:pPr>
      <w:rPr>
        <w:rFonts w:ascii="Courier New" w:hAnsi="Courier New" w:cs="Courier New" w:hint="default"/>
      </w:rPr>
    </w:lvl>
    <w:lvl w:ilvl="5" w:tplc="04090005" w:tentative="1">
      <w:start w:val="1"/>
      <w:numFmt w:val="bullet"/>
      <w:lvlText w:val=""/>
      <w:lvlJc w:val="left"/>
      <w:pPr>
        <w:ind w:left="4378" w:hanging="360"/>
      </w:pPr>
      <w:rPr>
        <w:rFonts w:ascii="Wingdings" w:hAnsi="Wingdings" w:hint="default"/>
      </w:rPr>
    </w:lvl>
    <w:lvl w:ilvl="6" w:tplc="04090001" w:tentative="1">
      <w:start w:val="1"/>
      <w:numFmt w:val="bullet"/>
      <w:lvlText w:val=""/>
      <w:lvlJc w:val="left"/>
      <w:pPr>
        <w:ind w:left="5098" w:hanging="360"/>
      </w:pPr>
      <w:rPr>
        <w:rFonts w:ascii="Symbol" w:hAnsi="Symbol" w:hint="default"/>
      </w:rPr>
    </w:lvl>
    <w:lvl w:ilvl="7" w:tplc="04090003" w:tentative="1">
      <w:start w:val="1"/>
      <w:numFmt w:val="bullet"/>
      <w:lvlText w:val="o"/>
      <w:lvlJc w:val="left"/>
      <w:pPr>
        <w:ind w:left="5818" w:hanging="360"/>
      </w:pPr>
      <w:rPr>
        <w:rFonts w:ascii="Courier New" w:hAnsi="Courier New" w:cs="Courier New" w:hint="default"/>
      </w:rPr>
    </w:lvl>
    <w:lvl w:ilvl="8" w:tplc="04090005" w:tentative="1">
      <w:start w:val="1"/>
      <w:numFmt w:val="bullet"/>
      <w:lvlText w:val=""/>
      <w:lvlJc w:val="left"/>
      <w:pPr>
        <w:ind w:left="6538" w:hanging="360"/>
      </w:pPr>
      <w:rPr>
        <w:rFonts w:ascii="Wingdings" w:hAnsi="Wingdings" w:hint="default"/>
      </w:rPr>
    </w:lvl>
  </w:abstractNum>
  <w:abstractNum w:abstractNumId="14" w15:restartNumberingAfterBreak="0">
    <w:nsid w:val="34BE248D"/>
    <w:multiLevelType w:val="hybridMultilevel"/>
    <w:tmpl w:val="D7A0B9C8"/>
    <w:lvl w:ilvl="0" w:tplc="76CAC282">
      <w:start w:val="13"/>
      <w:numFmt w:val="lowerLetter"/>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8DC711E"/>
    <w:multiLevelType w:val="multilevel"/>
    <w:tmpl w:val="D0DC45DC"/>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56996B4F"/>
    <w:multiLevelType w:val="hybridMultilevel"/>
    <w:tmpl w:val="B2D4F600"/>
    <w:lvl w:ilvl="0" w:tplc="451E04B4">
      <w:start w:val="9"/>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E5D7248"/>
    <w:multiLevelType w:val="hybridMultilevel"/>
    <w:tmpl w:val="2AAA1C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8695C0B"/>
    <w:multiLevelType w:val="hybridMultilevel"/>
    <w:tmpl w:val="A1BACF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72C369EC"/>
    <w:multiLevelType w:val="hybridMultilevel"/>
    <w:tmpl w:val="4914EEE6"/>
    <w:lvl w:ilvl="0" w:tplc="F09E9688">
      <w:start w:val="1"/>
      <w:numFmt w:val="upperLetter"/>
      <w:lvlText w:val="%1&gt;"/>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0" w15:restartNumberingAfterBreak="0">
    <w:nsid w:val="7AB836C0"/>
    <w:multiLevelType w:val="hybridMultilevel"/>
    <w:tmpl w:val="C232ACF4"/>
    <w:lvl w:ilvl="0" w:tplc="500A0015">
      <w:start w:val="1"/>
      <w:numFmt w:val="upp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1" w15:restartNumberingAfterBreak="0">
    <w:nsid w:val="7E166ABC"/>
    <w:multiLevelType w:val="hybridMultilevel"/>
    <w:tmpl w:val="E4146A4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25515291">
    <w:abstractNumId w:val="15"/>
  </w:num>
  <w:num w:numId="2" w16cid:durableId="612249085">
    <w:abstractNumId w:val="3"/>
  </w:num>
  <w:num w:numId="3" w16cid:durableId="191654121">
    <w:abstractNumId w:val="8"/>
  </w:num>
  <w:num w:numId="4" w16cid:durableId="251549162">
    <w:abstractNumId w:val="4"/>
  </w:num>
  <w:num w:numId="5" w16cid:durableId="77214083">
    <w:abstractNumId w:val="12"/>
  </w:num>
  <w:num w:numId="6" w16cid:durableId="344096040">
    <w:abstractNumId w:val="18"/>
  </w:num>
  <w:num w:numId="7" w16cid:durableId="1113287001">
    <w:abstractNumId w:val="10"/>
  </w:num>
  <w:num w:numId="8" w16cid:durableId="1631401959">
    <w:abstractNumId w:val="16"/>
  </w:num>
  <w:num w:numId="9" w16cid:durableId="591201020">
    <w:abstractNumId w:val="14"/>
  </w:num>
  <w:num w:numId="10" w16cid:durableId="645204287">
    <w:abstractNumId w:val="21"/>
  </w:num>
  <w:num w:numId="11" w16cid:durableId="1508133352">
    <w:abstractNumId w:val="9"/>
  </w:num>
  <w:num w:numId="12" w16cid:durableId="1889679253">
    <w:abstractNumId w:val="17"/>
  </w:num>
  <w:num w:numId="13" w16cid:durableId="325980482">
    <w:abstractNumId w:val="11"/>
  </w:num>
  <w:num w:numId="14" w16cid:durableId="1607613887">
    <w:abstractNumId w:val="19"/>
  </w:num>
  <w:num w:numId="15" w16cid:durableId="1411585931">
    <w:abstractNumId w:val="20"/>
  </w:num>
  <w:num w:numId="16" w16cid:durableId="39632354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49052023">
    <w:abstractNumId w:val="2"/>
  </w:num>
  <w:num w:numId="18" w16cid:durableId="2136944254">
    <w:abstractNumId w:val="0"/>
  </w:num>
  <w:num w:numId="19" w16cid:durableId="1710840828">
    <w:abstractNumId w:val="5"/>
  </w:num>
  <w:num w:numId="20" w16cid:durableId="548958047">
    <w:abstractNumId w:val="7"/>
  </w:num>
  <w:num w:numId="21" w16cid:durableId="1362589133">
    <w:abstractNumId w:val="6"/>
  </w:num>
  <w:num w:numId="22" w16cid:durableId="158273631">
    <w:abstractNumId w:val="13"/>
  </w:num>
  <w:num w:numId="23" w16cid:durableId="1804410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7D86"/>
    <w:rsid w:val="00002304"/>
    <w:rsid w:val="00015228"/>
    <w:rsid w:val="000252FA"/>
    <w:rsid w:val="000264E5"/>
    <w:rsid w:val="000307E4"/>
    <w:rsid w:val="00031276"/>
    <w:rsid w:val="000338DE"/>
    <w:rsid w:val="00041144"/>
    <w:rsid w:val="00042E4B"/>
    <w:rsid w:val="00050E9A"/>
    <w:rsid w:val="000526D4"/>
    <w:rsid w:val="00065D7E"/>
    <w:rsid w:val="000852EF"/>
    <w:rsid w:val="000869BE"/>
    <w:rsid w:val="0009035A"/>
    <w:rsid w:val="000968F0"/>
    <w:rsid w:val="000A0600"/>
    <w:rsid w:val="000A4C87"/>
    <w:rsid w:val="000A6E42"/>
    <w:rsid w:val="000B0D43"/>
    <w:rsid w:val="000B6B0E"/>
    <w:rsid w:val="000C66A9"/>
    <w:rsid w:val="000D2BDF"/>
    <w:rsid w:val="000D3E47"/>
    <w:rsid w:val="000D5F7E"/>
    <w:rsid w:val="000D68FC"/>
    <w:rsid w:val="000E30B7"/>
    <w:rsid w:val="000E5D36"/>
    <w:rsid w:val="000F67BD"/>
    <w:rsid w:val="001009AB"/>
    <w:rsid w:val="00100A6D"/>
    <w:rsid w:val="001015D5"/>
    <w:rsid w:val="00101C99"/>
    <w:rsid w:val="001049CF"/>
    <w:rsid w:val="001070BB"/>
    <w:rsid w:val="001209AD"/>
    <w:rsid w:val="001216B5"/>
    <w:rsid w:val="00124911"/>
    <w:rsid w:val="00126659"/>
    <w:rsid w:val="0012698D"/>
    <w:rsid w:val="001311BA"/>
    <w:rsid w:val="00140F2B"/>
    <w:rsid w:val="00141605"/>
    <w:rsid w:val="00141703"/>
    <w:rsid w:val="00145FF5"/>
    <w:rsid w:val="00151C7C"/>
    <w:rsid w:val="001526F8"/>
    <w:rsid w:val="00153D68"/>
    <w:rsid w:val="001601C3"/>
    <w:rsid w:val="00164E0B"/>
    <w:rsid w:val="0017100B"/>
    <w:rsid w:val="001711E6"/>
    <w:rsid w:val="00171CF8"/>
    <w:rsid w:val="00171FDF"/>
    <w:rsid w:val="001821D9"/>
    <w:rsid w:val="00186AD3"/>
    <w:rsid w:val="00186D37"/>
    <w:rsid w:val="001925F8"/>
    <w:rsid w:val="001A2296"/>
    <w:rsid w:val="001A5A3D"/>
    <w:rsid w:val="001B2109"/>
    <w:rsid w:val="001C73EE"/>
    <w:rsid w:val="001D5EE7"/>
    <w:rsid w:val="001D6791"/>
    <w:rsid w:val="001E4FEC"/>
    <w:rsid w:val="001E7C2B"/>
    <w:rsid w:val="001F5243"/>
    <w:rsid w:val="001F6C16"/>
    <w:rsid w:val="0020003E"/>
    <w:rsid w:val="00201829"/>
    <w:rsid w:val="00203D0D"/>
    <w:rsid w:val="00206D79"/>
    <w:rsid w:val="0021372D"/>
    <w:rsid w:val="0021380A"/>
    <w:rsid w:val="00216AC7"/>
    <w:rsid w:val="00221403"/>
    <w:rsid w:val="002219CD"/>
    <w:rsid w:val="00222012"/>
    <w:rsid w:val="00222C01"/>
    <w:rsid w:val="00225E03"/>
    <w:rsid w:val="00227846"/>
    <w:rsid w:val="0023302B"/>
    <w:rsid w:val="00235BD9"/>
    <w:rsid w:val="00237B77"/>
    <w:rsid w:val="00250E7B"/>
    <w:rsid w:val="00254965"/>
    <w:rsid w:val="00257C59"/>
    <w:rsid w:val="002653D5"/>
    <w:rsid w:val="0027134B"/>
    <w:rsid w:val="00275876"/>
    <w:rsid w:val="0028343B"/>
    <w:rsid w:val="002864AF"/>
    <w:rsid w:val="002939AA"/>
    <w:rsid w:val="00297E9D"/>
    <w:rsid w:val="002A4FBE"/>
    <w:rsid w:val="002A795A"/>
    <w:rsid w:val="002B5988"/>
    <w:rsid w:val="002B5EF6"/>
    <w:rsid w:val="002D2AD0"/>
    <w:rsid w:val="002D2D8C"/>
    <w:rsid w:val="002E247F"/>
    <w:rsid w:val="002E3B1E"/>
    <w:rsid w:val="002F16BF"/>
    <w:rsid w:val="00304248"/>
    <w:rsid w:val="0032744F"/>
    <w:rsid w:val="003308DC"/>
    <w:rsid w:val="00330C32"/>
    <w:rsid w:val="003344C6"/>
    <w:rsid w:val="003361A3"/>
    <w:rsid w:val="0034229A"/>
    <w:rsid w:val="00342992"/>
    <w:rsid w:val="00346CD5"/>
    <w:rsid w:val="00354EC7"/>
    <w:rsid w:val="00362594"/>
    <w:rsid w:val="00363448"/>
    <w:rsid w:val="00364147"/>
    <w:rsid w:val="00371331"/>
    <w:rsid w:val="00382AD9"/>
    <w:rsid w:val="00383A2A"/>
    <w:rsid w:val="0038510E"/>
    <w:rsid w:val="00392CEF"/>
    <w:rsid w:val="00393ADF"/>
    <w:rsid w:val="003B38A4"/>
    <w:rsid w:val="003B3DEE"/>
    <w:rsid w:val="003C2FC0"/>
    <w:rsid w:val="003D01F1"/>
    <w:rsid w:val="003D0B2A"/>
    <w:rsid w:val="003D38A5"/>
    <w:rsid w:val="003D5ABF"/>
    <w:rsid w:val="003D601E"/>
    <w:rsid w:val="003E4335"/>
    <w:rsid w:val="003E529E"/>
    <w:rsid w:val="003E6E10"/>
    <w:rsid w:val="003E7648"/>
    <w:rsid w:val="003F10BB"/>
    <w:rsid w:val="003F2674"/>
    <w:rsid w:val="00400F6F"/>
    <w:rsid w:val="00407674"/>
    <w:rsid w:val="0041310A"/>
    <w:rsid w:val="0042168B"/>
    <w:rsid w:val="0042378B"/>
    <w:rsid w:val="00431F68"/>
    <w:rsid w:val="00447224"/>
    <w:rsid w:val="0045061E"/>
    <w:rsid w:val="004512E8"/>
    <w:rsid w:val="00451AB6"/>
    <w:rsid w:val="00451F27"/>
    <w:rsid w:val="004523CD"/>
    <w:rsid w:val="00452D84"/>
    <w:rsid w:val="0045537D"/>
    <w:rsid w:val="00455DB5"/>
    <w:rsid w:val="00457C49"/>
    <w:rsid w:val="00462545"/>
    <w:rsid w:val="00462FE2"/>
    <w:rsid w:val="00464403"/>
    <w:rsid w:val="00467CB0"/>
    <w:rsid w:val="00471B96"/>
    <w:rsid w:val="004926E4"/>
    <w:rsid w:val="004946A7"/>
    <w:rsid w:val="00494D5B"/>
    <w:rsid w:val="004A5A18"/>
    <w:rsid w:val="004A6A4F"/>
    <w:rsid w:val="004B0EEC"/>
    <w:rsid w:val="004B4977"/>
    <w:rsid w:val="004B6881"/>
    <w:rsid w:val="004D28B0"/>
    <w:rsid w:val="004D4D0A"/>
    <w:rsid w:val="004E1BD8"/>
    <w:rsid w:val="004E356B"/>
    <w:rsid w:val="004E5B6D"/>
    <w:rsid w:val="004E7F19"/>
    <w:rsid w:val="004F3AEE"/>
    <w:rsid w:val="004F4250"/>
    <w:rsid w:val="004F4A0B"/>
    <w:rsid w:val="004F5C31"/>
    <w:rsid w:val="004F6DE0"/>
    <w:rsid w:val="004F79AB"/>
    <w:rsid w:val="00500A81"/>
    <w:rsid w:val="00506E31"/>
    <w:rsid w:val="00516AB2"/>
    <w:rsid w:val="0052569A"/>
    <w:rsid w:val="0052624F"/>
    <w:rsid w:val="00530CA5"/>
    <w:rsid w:val="00532F3A"/>
    <w:rsid w:val="00537CF7"/>
    <w:rsid w:val="00541E61"/>
    <w:rsid w:val="0054202D"/>
    <w:rsid w:val="005432C2"/>
    <w:rsid w:val="00546182"/>
    <w:rsid w:val="00560725"/>
    <w:rsid w:val="00566B83"/>
    <w:rsid w:val="00566BF6"/>
    <w:rsid w:val="00574EF4"/>
    <w:rsid w:val="00582CE9"/>
    <w:rsid w:val="00584753"/>
    <w:rsid w:val="00591833"/>
    <w:rsid w:val="00591C6D"/>
    <w:rsid w:val="00592D59"/>
    <w:rsid w:val="00593200"/>
    <w:rsid w:val="00594224"/>
    <w:rsid w:val="00596033"/>
    <w:rsid w:val="005A1F13"/>
    <w:rsid w:val="005B19F7"/>
    <w:rsid w:val="005B42F2"/>
    <w:rsid w:val="005B69A9"/>
    <w:rsid w:val="005B750B"/>
    <w:rsid w:val="005C5C89"/>
    <w:rsid w:val="005D5018"/>
    <w:rsid w:val="005D61F2"/>
    <w:rsid w:val="005D6D80"/>
    <w:rsid w:val="005D7358"/>
    <w:rsid w:val="005E48CD"/>
    <w:rsid w:val="005E6846"/>
    <w:rsid w:val="005F1DF8"/>
    <w:rsid w:val="00602E29"/>
    <w:rsid w:val="00603FE4"/>
    <w:rsid w:val="006116B9"/>
    <w:rsid w:val="00611979"/>
    <w:rsid w:val="006155AE"/>
    <w:rsid w:val="00624F3B"/>
    <w:rsid w:val="00633335"/>
    <w:rsid w:val="00637856"/>
    <w:rsid w:val="006430D4"/>
    <w:rsid w:val="006442F3"/>
    <w:rsid w:val="006620D1"/>
    <w:rsid w:val="006639CB"/>
    <w:rsid w:val="0066649B"/>
    <w:rsid w:val="00675201"/>
    <w:rsid w:val="0067566B"/>
    <w:rsid w:val="0069342C"/>
    <w:rsid w:val="00694718"/>
    <w:rsid w:val="006976A9"/>
    <w:rsid w:val="006A2B1A"/>
    <w:rsid w:val="006B2F9D"/>
    <w:rsid w:val="006B4F55"/>
    <w:rsid w:val="006B5716"/>
    <w:rsid w:val="006B7157"/>
    <w:rsid w:val="006E649B"/>
    <w:rsid w:val="006E6BEB"/>
    <w:rsid w:val="006F18DC"/>
    <w:rsid w:val="006F2A4F"/>
    <w:rsid w:val="006F6951"/>
    <w:rsid w:val="0070305E"/>
    <w:rsid w:val="0070319D"/>
    <w:rsid w:val="007100C8"/>
    <w:rsid w:val="00712592"/>
    <w:rsid w:val="00713C5E"/>
    <w:rsid w:val="00715AB6"/>
    <w:rsid w:val="007250C9"/>
    <w:rsid w:val="007267C4"/>
    <w:rsid w:val="00732A4B"/>
    <w:rsid w:val="00733C1D"/>
    <w:rsid w:val="00733E40"/>
    <w:rsid w:val="00744264"/>
    <w:rsid w:val="00757365"/>
    <w:rsid w:val="0076029D"/>
    <w:rsid w:val="00760D00"/>
    <w:rsid w:val="00766476"/>
    <w:rsid w:val="0077131A"/>
    <w:rsid w:val="00771553"/>
    <w:rsid w:val="00773FDD"/>
    <w:rsid w:val="0077444F"/>
    <w:rsid w:val="007761C9"/>
    <w:rsid w:val="00777CDD"/>
    <w:rsid w:val="00782A64"/>
    <w:rsid w:val="007842E6"/>
    <w:rsid w:val="0078548C"/>
    <w:rsid w:val="0079197C"/>
    <w:rsid w:val="00794ED4"/>
    <w:rsid w:val="007965B1"/>
    <w:rsid w:val="007B257D"/>
    <w:rsid w:val="007B2F4F"/>
    <w:rsid w:val="007C2430"/>
    <w:rsid w:val="007C5122"/>
    <w:rsid w:val="007D080A"/>
    <w:rsid w:val="007D22F5"/>
    <w:rsid w:val="007D79C4"/>
    <w:rsid w:val="007E2AC1"/>
    <w:rsid w:val="007E50D1"/>
    <w:rsid w:val="007E6834"/>
    <w:rsid w:val="007F2DE8"/>
    <w:rsid w:val="007F34C6"/>
    <w:rsid w:val="007F462C"/>
    <w:rsid w:val="00801B1B"/>
    <w:rsid w:val="00802900"/>
    <w:rsid w:val="008142DA"/>
    <w:rsid w:val="008162A8"/>
    <w:rsid w:val="00821551"/>
    <w:rsid w:val="00822FEF"/>
    <w:rsid w:val="00826766"/>
    <w:rsid w:val="008270AA"/>
    <w:rsid w:val="008326DB"/>
    <w:rsid w:val="0083492B"/>
    <w:rsid w:val="00835F00"/>
    <w:rsid w:val="00844E45"/>
    <w:rsid w:val="00844F91"/>
    <w:rsid w:val="00851E49"/>
    <w:rsid w:val="00862B38"/>
    <w:rsid w:val="008714C1"/>
    <w:rsid w:val="00871F4E"/>
    <w:rsid w:val="00877968"/>
    <w:rsid w:val="00881200"/>
    <w:rsid w:val="00885D3E"/>
    <w:rsid w:val="00887F45"/>
    <w:rsid w:val="00891B9E"/>
    <w:rsid w:val="00895ED0"/>
    <w:rsid w:val="008A268E"/>
    <w:rsid w:val="008B2313"/>
    <w:rsid w:val="008B25F8"/>
    <w:rsid w:val="008B701E"/>
    <w:rsid w:val="008C1517"/>
    <w:rsid w:val="008C5A1D"/>
    <w:rsid w:val="008C6BB3"/>
    <w:rsid w:val="008D490A"/>
    <w:rsid w:val="008F1AA4"/>
    <w:rsid w:val="008F1EEB"/>
    <w:rsid w:val="008F7755"/>
    <w:rsid w:val="00900740"/>
    <w:rsid w:val="0090114E"/>
    <w:rsid w:val="00907F44"/>
    <w:rsid w:val="00910DF8"/>
    <w:rsid w:val="0092113D"/>
    <w:rsid w:val="00926C28"/>
    <w:rsid w:val="009347CF"/>
    <w:rsid w:val="009412C4"/>
    <w:rsid w:val="00942E14"/>
    <w:rsid w:val="00950E91"/>
    <w:rsid w:val="009535ED"/>
    <w:rsid w:val="00954C22"/>
    <w:rsid w:val="00955F61"/>
    <w:rsid w:val="00961168"/>
    <w:rsid w:val="009676D2"/>
    <w:rsid w:val="0097085B"/>
    <w:rsid w:val="00971B72"/>
    <w:rsid w:val="00977DC2"/>
    <w:rsid w:val="0098038A"/>
    <w:rsid w:val="00986649"/>
    <w:rsid w:val="009914BF"/>
    <w:rsid w:val="00994EA2"/>
    <w:rsid w:val="009970E2"/>
    <w:rsid w:val="009971DC"/>
    <w:rsid w:val="009A2843"/>
    <w:rsid w:val="009A6C55"/>
    <w:rsid w:val="009A77DA"/>
    <w:rsid w:val="009B02C7"/>
    <w:rsid w:val="009B56D7"/>
    <w:rsid w:val="009D6D72"/>
    <w:rsid w:val="009D7052"/>
    <w:rsid w:val="009E55BD"/>
    <w:rsid w:val="009E5945"/>
    <w:rsid w:val="009E66CF"/>
    <w:rsid w:val="009E724B"/>
    <w:rsid w:val="009E7C72"/>
    <w:rsid w:val="009F35E7"/>
    <w:rsid w:val="009F364C"/>
    <w:rsid w:val="009F5A85"/>
    <w:rsid w:val="009F659C"/>
    <w:rsid w:val="00A00B06"/>
    <w:rsid w:val="00A10981"/>
    <w:rsid w:val="00A11658"/>
    <w:rsid w:val="00A11747"/>
    <w:rsid w:val="00A1240D"/>
    <w:rsid w:val="00A22725"/>
    <w:rsid w:val="00A26824"/>
    <w:rsid w:val="00A310CE"/>
    <w:rsid w:val="00A45537"/>
    <w:rsid w:val="00A56260"/>
    <w:rsid w:val="00A77BD5"/>
    <w:rsid w:val="00A83335"/>
    <w:rsid w:val="00A87BAA"/>
    <w:rsid w:val="00A87C62"/>
    <w:rsid w:val="00A94F9A"/>
    <w:rsid w:val="00A97256"/>
    <w:rsid w:val="00AA34ED"/>
    <w:rsid w:val="00AA3A37"/>
    <w:rsid w:val="00AA613A"/>
    <w:rsid w:val="00AB70A8"/>
    <w:rsid w:val="00AC3E49"/>
    <w:rsid w:val="00AD2768"/>
    <w:rsid w:val="00AE4D11"/>
    <w:rsid w:val="00AE5181"/>
    <w:rsid w:val="00AF10DE"/>
    <w:rsid w:val="00AF14D0"/>
    <w:rsid w:val="00AF17B1"/>
    <w:rsid w:val="00AF449A"/>
    <w:rsid w:val="00B16378"/>
    <w:rsid w:val="00B241A8"/>
    <w:rsid w:val="00B33A97"/>
    <w:rsid w:val="00B34F68"/>
    <w:rsid w:val="00B4018B"/>
    <w:rsid w:val="00B40369"/>
    <w:rsid w:val="00B45797"/>
    <w:rsid w:val="00B51406"/>
    <w:rsid w:val="00B55DDB"/>
    <w:rsid w:val="00B57A18"/>
    <w:rsid w:val="00B62E5E"/>
    <w:rsid w:val="00B62EFA"/>
    <w:rsid w:val="00B635B7"/>
    <w:rsid w:val="00B6734D"/>
    <w:rsid w:val="00B67472"/>
    <w:rsid w:val="00B85B25"/>
    <w:rsid w:val="00B97E64"/>
    <w:rsid w:val="00BA0B5D"/>
    <w:rsid w:val="00BA204F"/>
    <w:rsid w:val="00BA4A48"/>
    <w:rsid w:val="00BA4B6B"/>
    <w:rsid w:val="00BB4B2C"/>
    <w:rsid w:val="00BC0B39"/>
    <w:rsid w:val="00BC108E"/>
    <w:rsid w:val="00BD28BD"/>
    <w:rsid w:val="00BE2D33"/>
    <w:rsid w:val="00BF4F7B"/>
    <w:rsid w:val="00BF5BE0"/>
    <w:rsid w:val="00C05583"/>
    <w:rsid w:val="00C07866"/>
    <w:rsid w:val="00C16411"/>
    <w:rsid w:val="00C17189"/>
    <w:rsid w:val="00C20218"/>
    <w:rsid w:val="00C24FEB"/>
    <w:rsid w:val="00C25592"/>
    <w:rsid w:val="00C43FB3"/>
    <w:rsid w:val="00C47244"/>
    <w:rsid w:val="00C50A72"/>
    <w:rsid w:val="00C54AD6"/>
    <w:rsid w:val="00C651D0"/>
    <w:rsid w:val="00C87850"/>
    <w:rsid w:val="00C9100A"/>
    <w:rsid w:val="00C92DB1"/>
    <w:rsid w:val="00CA1A5E"/>
    <w:rsid w:val="00CA31A0"/>
    <w:rsid w:val="00CA508A"/>
    <w:rsid w:val="00CC1984"/>
    <w:rsid w:val="00CC26FF"/>
    <w:rsid w:val="00CC558C"/>
    <w:rsid w:val="00CC6626"/>
    <w:rsid w:val="00CD1379"/>
    <w:rsid w:val="00CD58D8"/>
    <w:rsid w:val="00CE1153"/>
    <w:rsid w:val="00CE16EE"/>
    <w:rsid w:val="00CE2077"/>
    <w:rsid w:val="00CE54D8"/>
    <w:rsid w:val="00CE7486"/>
    <w:rsid w:val="00CF2FE6"/>
    <w:rsid w:val="00D00F5B"/>
    <w:rsid w:val="00D054DE"/>
    <w:rsid w:val="00D15827"/>
    <w:rsid w:val="00D43875"/>
    <w:rsid w:val="00D44A4A"/>
    <w:rsid w:val="00D50870"/>
    <w:rsid w:val="00D514EA"/>
    <w:rsid w:val="00D5157A"/>
    <w:rsid w:val="00D51A50"/>
    <w:rsid w:val="00D60D6E"/>
    <w:rsid w:val="00D60DA4"/>
    <w:rsid w:val="00D61A4E"/>
    <w:rsid w:val="00D6227D"/>
    <w:rsid w:val="00D62A5D"/>
    <w:rsid w:val="00D7288F"/>
    <w:rsid w:val="00D84FD0"/>
    <w:rsid w:val="00D85064"/>
    <w:rsid w:val="00D86878"/>
    <w:rsid w:val="00D86F2E"/>
    <w:rsid w:val="00D93990"/>
    <w:rsid w:val="00D95C66"/>
    <w:rsid w:val="00DB6542"/>
    <w:rsid w:val="00DC2214"/>
    <w:rsid w:val="00DC2703"/>
    <w:rsid w:val="00DC738B"/>
    <w:rsid w:val="00DD6D02"/>
    <w:rsid w:val="00DE5DAA"/>
    <w:rsid w:val="00DF647F"/>
    <w:rsid w:val="00DF7D86"/>
    <w:rsid w:val="00DF7F63"/>
    <w:rsid w:val="00E04AA9"/>
    <w:rsid w:val="00E05E49"/>
    <w:rsid w:val="00E14A31"/>
    <w:rsid w:val="00E16F4C"/>
    <w:rsid w:val="00E271CF"/>
    <w:rsid w:val="00E343B4"/>
    <w:rsid w:val="00E434BC"/>
    <w:rsid w:val="00E50D55"/>
    <w:rsid w:val="00E542CD"/>
    <w:rsid w:val="00E5593E"/>
    <w:rsid w:val="00E60768"/>
    <w:rsid w:val="00E638A7"/>
    <w:rsid w:val="00E84C3D"/>
    <w:rsid w:val="00E94262"/>
    <w:rsid w:val="00E9522A"/>
    <w:rsid w:val="00E97D41"/>
    <w:rsid w:val="00EA3579"/>
    <w:rsid w:val="00EA3A79"/>
    <w:rsid w:val="00EB3484"/>
    <w:rsid w:val="00EB5319"/>
    <w:rsid w:val="00EC4423"/>
    <w:rsid w:val="00EC7D5C"/>
    <w:rsid w:val="00ED7F90"/>
    <w:rsid w:val="00F00CBF"/>
    <w:rsid w:val="00F0476A"/>
    <w:rsid w:val="00F169E1"/>
    <w:rsid w:val="00F17F1C"/>
    <w:rsid w:val="00F2160D"/>
    <w:rsid w:val="00F248D5"/>
    <w:rsid w:val="00F25FE5"/>
    <w:rsid w:val="00F41AC8"/>
    <w:rsid w:val="00F525B3"/>
    <w:rsid w:val="00F52F26"/>
    <w:rsid w:val="00F53669"/>
    <w:rsid w:val="00F65C51"/>
    <w:rsid w:val="00F66656"/>
    <w:rsid w:val="00F75150"/>
    <w:rsid w:val="00F769AE"/>
    <w:rsid w:val="00F80750"/>
    <w:rsid w:val="00F8237D"/>
    <w:rsid w:val="00F82809"/>
    <w:rsid w:val="00F91378"/>
    <w:rsid w:val="00F91857"/>
    <w:rsid w:val="00F91B1D"/>
    <w:rsid w:val="00F9450C"/>
    <w:rsid w:val="00F94815"/>
    <w:rsid w:val="00FA1532"/>
    <w:rsid w:val="00FA1CAF"/>
    <w:rsid w:val="00FB0100"/>
    <w:rsid w:val="00FC6E48"/>
    <w:rsid w:val="00FD3FFB"/>
    <w:rsid w:val="00FD4CE7"/>
    <w:rsid w:val="00FD6179"/>
    <w:rsid w:val="00FE1B6F"/>
    <w:rsid w:val="00FE2BD2"/>
    <w:rsid w:val="00FE4E67"/>
    <w:rsid w:val="00FE7780"/>
    <w:rsid w:val="00FE7A0A"/>
    <w:rsid w:val="00FF59B3"/>
    <w:rsid w:val="00FF770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E1D6F4"/>
  <w15:docId w15:val="{B0BD1501-3802-4BEE-B3E4-903351449B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lang w:val="es-ES_tradnl"/>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1"/>
    <w:qFormat/>
    <w:rsid w:val="00967E05"/>
    <w:pPr>
      <w:ind w:left="720"/>
      <w:contextualSpacing/>
    </w:pPr>
  </w:style>
  <w:style w:type="paragraph" w:styleId="FootnoteText">
    <w:name w:val="footnote text"/>
    <w:basedOn w:val="Normal"/>
    <w:link w:val="FootnoteTextChar"/>
    <w:uiPriority w:val="99"/>
    <w:semiHidden/>
    <w:unhideWhenUsed/>
    <w:rsid w:val="00E40CF6"/>
    <w:rPr>
      <w:sz w:val="20"/>
      <w:lang w:val="es-PR"/>
    </w:rPr>
  </w:style>
  <w:style w:type="character" w:customStyle="1" w:styleId="FootnoteTextChar">
    <w:name w:val="Footnote Text Char"/>
    <w:basedOn w:val="DefaultParagraphFont"/>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 w:type="character" w:styleId="UnresolvedMention">
    <w:name w:val="Unresolved Mention"/>
    <w:basedOn w:val="DefaultParagraphFont"/>
    <w:uiPriority w:val="99"/>
    <w:semiHidden/>
    <w:unhideWhenUsed/>
    <w:rsid w:val="00FA1532"/>
    <w:rPr>
      <w:color w:val="605E5C"/>
      <w:shd w:val="clear" w:color="auto" w:fill="E1DFDD"/>
    </w:rPr>
  </w:style>
  <w:style w:type="paragraph" w:styleId="EndnoteText">
    <w:name w:val="endnote text"/>
    <w:basedOn w:val="Normal"/>
    <w:link w:val="EndnoteTextChar"/>
    <w:uiPriority w:val="99"/>
    <w:semiHidden/>
    <w:unhideWhenUsed/>
    <w:rsid w:val="00712592"/>
    <w:rPr>
      <w:sz w:val="20"/>
    </w:rPr>
  </w:style>
  <w:style w:type="character" w:customStyle="1" w:styleId="EndnoteTextChar">
    <w:name w:val="Endnote Text Char"/>
    <w:basedOn w:val="DefaultParagraphFont"/>
    <w:link w:val="EndnoteText"/>
    <w:uiPriority w:val="99"/>
    <w:semiHidden/>
    <w:rsid w:val="00712592"/>
    <w:rPr>
      <w:sz w:val="20"/>
      <w:szCs w:val="20"/>
    </w:rPr>
  </w:style>
  <w:style w:type="character" w:styleId="EndnoteReference">
    <w:name w:val="endnote reference"/>
    <w:basedOn w:val="DefaultParagraphFont"/>
    <w:uiPriority w:val="99"/>
    <w:semiHidden/>
    <w:unhideWhenUsed/>
    <w:rsid w:val="00712592"/>
    <w:rPr>
      <w:vertAlign w:val="superscript"/>
    </w:rPr>
  </w:style>
  <w:style w:type="paragraph" w:styleId="CommentText">
    <w:name w:val="annotation text"/>
    <w:basedOn w:val="Normal"/>
    <w:link w:val="CommentTextChar"/>
    <w:uiPriority w:val="99"/>
    <w:unhideWhenUsed/>
    <w:qFormat/>
    <w:rsid w:val="00F8237D"/>
    <w:pPr>
      <w:spacing w:after="160"/>
    </w:pPr>
    <w:rPr>
      <w:rFonts w:asciiTheme="minorHAnsi" w:eastAsia="MS Mincho" w:hAnsiTheme="minorHAnsi" w:cstheme="minorBidi"/>
      <w:sz w:val="20"/>
      <w:lang w:val="en-US"/>
    </w:rPr>
  </w:style>
  <w:style w:type="character" w:customStyle="1" w:styleId="CommentTextChar">
    <w:name w:val="Comment Text Char"/>
    <w:basedOn w:val="DefaultParagraphFont"/>
    <w:link w:val="CommentText"/>
    <w:uiPriority w:val="99"/>
    <w:qFormat/>
    <w:rsid w:val="00F8237D"/>
    <w:rPr>
      <w:rFonts w:asciiTheme="minorHAnsi" w:eastAsia="MS Mincho" w:hAnsiTheme="minorHAnsi" w:cstheme="minorBidi"/>
      <w:sz w:val="20"/>
      <w:szCs w:val="20"/>
      <w:lang w:val="en-US"/>
    </w:rPr>
  </w:style>
  <w:style w:type="paragraph" w:customStyle="1" w:styleId="footnotedescription">
    <w:name w:val="footnote description"/>
    <w:next w:val="Normal"/>
    <w:link w:val="footnotedescriptionChar"/>
    <w:hidden/>
    <w:rsid w:val="00D054DE"/>
    <w:pPr>
      <w:spacing w:line="259" w:lineRule="auto"/>
      <w:ind w:left="33"/>
    </w:pPr>
    <w:rPr>
      <w:color w:val="000000"/>
      <w:kern w:val="2"/>
      <w:sz w:val="22"/>
      <w:lang w:val="en-US"/>
      <w14:ligatures w14:val="standardContextual"/>
    </w:rPr>
  </w:style>
  <w:style w:type="character" w:customStyle="1" w:styleId="footnotedescriptionChar">
    <w:name w:val="footnote description Char"/>
    <w:link w:val="footnotedescription"/>
    <w:rsid w:val="00D054DE"/>
    <w:rPr>
      <w:color w:val="000000"/>
      <w:kern w:val="2"/>
      <w:sz w:val="22"/>
      <w:lang w:val="en-US"/>
      <w14:ligatures w14:val="standardContextual"/>
    </w:rPr>
  </w:style>
  <w:style w:type="character" w:customStyle="1" w:styleId="footnotemark">
    <w:name w:val="footnote mark"/>
    <w:hidden/>
    <w:rsid w:val="00D054DE"/>
    <w:rPr>
      <w:rFonts w:ascii="Times New Roman" w:eastAsia="Times New Roman" w:hAnsi="Times New Roman" w:cs="Times New Roman"/>
      <w:color w:val="000000"/>
      <w:sz w:val="16"/>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0555522">
      <w:bodyDiv w:val="1"/>
      <w:marLeft w:val="0"/>
      <w:marRight w:val="0"/>
      <w:marTop w:val="0"/>
      <w:marBottom w:val="0"/>
      <w:divBdr>
        <w:top w:val="none" w:sz="0" w:space="0" w:color="auto"/>
        <w:left w:val="none" w:sz="0" w:space="0" w:color="auto"/>
        <w:bottom w:val="none" w:sz="0" w:space="0" w:color="auto"/>
        <w:right w:val="none" w:sz="0" w:space="0" w:color="auto"/>
      </w:divBdr>
      <w:divsChild>
        <w:div w:id="823739303">
          <w:marLeft w:val="0"/>
          <w:marRight w:val="0"/>
          <w:marTop w:val="0"/>
          <w:marBottom w:val="0"/>
          <w:divBdr>
            <w:top w:val="none" w:sz="0" w:space="0" w:color="auto"/>
            <w:left w:val="none" w:sz="0" w:space="0" w:color="auto"/>
            <w:bottom w:val="none" w:sz="0" w:space="0" w:color="auto"/>
            <w:right w:val="none" w:sz="0" w:space="0" w:color="auto"/>
          </w:divBdr>
          <w:divsChild>
            <w:div w:id="803885020">
              <w:marLeft w:val="0"/>
              <w:marRight w:val="0"/>
              <w:marTop w:val="0"/>
              <w:marBottom w:val="0"/>
              <w:divBdr>
                <w:top w:val="none" w:sz="0" w:space="0" w:color="auto"/>
                <w:left w:val="none" w:sz="0" w:space="0" w:color="auto"/>
                <w:bottom w:val="none" w:sz="0" w:space="0" w:color="auto"/>
                <w:right w:val="none" w:sz="0" w:space="0" w:color="auto"/>
              </w:divBdr>
            </w:div>
            <w:div w:id="1264725473">
              <w:marLeft w:val="0"/>
              <w:marRight w:val="0"/>
              <w:marTop w:val="0"/>
              <w:marBottom w:val="0"/>
              <w:divBdr>
                <w:top w:val="none" w:sz="0" w:space="0" w:color="auto"/>
                <w:left w:val="none" w:sz="0" w:space="0" w:color="auto"/>
                <w:bottom w:val="none" w:sz="0" w:space="0" w:color="auto"/>
                <w:right w:val="none" w:sz="0" w:space="0" w:color="auto"/>
              </w:divBdr>
              <w:divsChild>
                <w:div w:id="1491098289">
                  <w:marLeft w:val="0"/>
                  <w:marRight w:val="0"/>
                  <w:marTop w:val="0"/>
                  <w:marBottom w:val="0"/>
                  <w:divBdr>
                    <w:top w:val="none" w:sz="0" w:space="0" w:color="auto"/>
                    <w:left w:val="none" w:sz="0" w:space="0" w:color="auto"/>
                    <w:bottom w:val="none" w:sz="0" w:space="0" w:color="auto"/>
                    <w:right w:val="none" w:sz="0" w:space="0" w:color="auto"/>
                  </w:divBdr>
                  <w:divsChild>
                    <w:div w:id="153836162">
                      <w:blockQuote w:val="1"/>
                      <w:marLeft w:val="300"/>
                      <w:marRight w:val="300"/>
                      <w:marTop w:val="240"/>
                      <w:marBottom w:val="240"/>
                      <w:divBdr>
                        <w:top w:val="none" w:sz="0" w:space="0" w:color="auto"/>
                        <w:left w:val="none" w:sz="0" w:space="0" w:color="auto"/>
                        <w:bottom w:val="none" w:sz="0" w:space="0" w:color="auto"/>
                        <w:right w:val="none" w:sz="0" w:space="0" w:color="auto"/>
                      </w:divBdr>
                      <w:divsChild>
                        <w:div w:id="1147211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2659243">
          <w:marLeft w:val="0"/>
          <w:marRight w:val="0"/>
          <w:marTop w:val="0"/>
          <w:marBottom w:val="0"/>
          <w:divBdr>
            <w:top w:val="none" w:sz="0" w:space="0" w:color="auto"/>
            <w:left w:val="none" w:sz="0" w:space="0" w:color="auto"/>
            <w:bottom w:val="none" w:sz="0" w:space="0" w:color="auto"/>
            <w:right w:val="none" w:sz="0" w:space="0" w:color="auto"/>
          </w:divBdr>
          <w:divsChild>
            <w:div w:id="881868790">
              <w:marLeft w:val="0"/>
              <w:marRight w:val="0"/>
              <w:marTop w:val="0"/>
              <w:marBottom w:val="0"/>
              <w:divBdr>
                <w:top w:val="none" w:sz="0" w:space="0" w:color="auto"/>
                <w:left w:val="none" w:sz="0" w:space="0" w:color="auto"/>
                <w:bottom w:val="none" w:sz="0" w:space="0" w:color="auto"/>
                <w:right w:val="none" w:sz="0" w:space="0" w:color="auto"/>
              </w:divBdr>
              <w:divsChild>
                <w:div w:id="730661903">
                  <w:marLeft w:val="0"/>
                  <w:marRight w:val="0"/>
                  <w:marTop w:val="0"/>
                  <w:marBottom w:val="0"/>
                  <w:divBdr>
                    <w:top w:val="none" w:sz="0" w:space="0" w:color="auto"/>
                    <w:left w:val="none" w:sz="0" w:space="0" w:color="auto"/>
                    <w:bottom w:val="none" w:sz="0" w:space="0" w:color="auto"/>
                    <w:right w:val="none" w:sz="0" w:space="0" w:color="auto"/>
                  </w:divBdr>
                  <w:divsChild>
                    <w:div w:id="1328706432">
                      <w:blockQuote w:val="1"/>
                      <w:marLeft w:val="300"/>
                      <w:marRight w:val="300"/>
                      <w:marTop w:val="240"/>
                      <w:marBottom w:val="240"/>
                      <w:divBdr>
                        <w:top w:val="none" w:sz="0" w:space="0" w:color="auto"/>
                        <w:left w:val="none" w:sz="0" w:space="0" w:color="auto"/>
                        <w:bottom w:val="none" w:sz="0" w:space="0" w:color="auto"/>
                        <w:right w:val="none" w:sz="0" w:space="0" w:color="auto"/>
                      </w:divBdr>
                      <w:divsChild>
                        <w:div w:id="1484157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3156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7904167">
      <w:bodyDiv w:val="1"/>
      <w:marLeft w:val="0"/>
      <w:marRight w:val="0"/>
      <w:marTop w:val="0"/>
      <w:marBottom w:val="0"/>
      <w:divBdr>
        <w:top w:val="none" w:sz="0" w:space="0" w:color="auto"/>
        <w:left w:val="none" w:sz="0" w:space="0" w:color="auto"/>
        <w:bottom w:val="none" w:sz="0" w:space="0" w:color="auto"/>
        <w:right w:val="none" w:sz="0" w:space="0" w:color="auto"/>
      </w:divBdr>
      <w:divsChild>
        <w:div w:id="258173188">
          <w:marLeft w:val="0"/>
          <w:marRight w:val="0"/>
          <w:marTop w:val="0"/>
          <w:marBottom w:val="0"/>
          <w:divBdr>
            <w:top w:val="none" w:sz="0" w:space="0" w:color="auto"/>
            <w:left w:val="none" w:sz="0" w:space="0" w:color="auto"/>
            <w:bottom w:val="none" w:sz="0" w:space="0" w:color="auto"/>
            <w:right w:val="none" w:sz="0" w:space="0" w:color="auto"/>
          </w:divBdr>
          <w:divsChild>
            <w:div w:id="539323562">
              <w:marLeft w:val="0"/>
              <w:marRight w:val="0"/>
              <w:marTop w:val="0"/>
              <w:marBottom w:val="0"/>
              <w:divBdr>
                <w:top w:val="none" w:sz="0" w:space="0" w:color="auto"/>
                <w:left w:val="none" w:sz="0" w:space="0" w:color="auto"/>
                <w:bottom w:val="none" w:sz="0" w:space="0" w:color="auto"/>
                <w:right w:val="none" w:sz="0" w:space="0" w:color="auto"/>
              </w:divBdr>
            </w:div>
            <w:div w:id="1836456966">
              <w:marLeft w:val="0"/>
              <w:marRight w:val="0"/>
              <w:marTop w:val="0"/>
              <w:marBottom w:val="0"/>
              <w:divBdr>
                <w:top w:val="none" w:sz="0" w:space="0" w:color="auto"/>
                <w:left w:val="none" w:sz="0" w:space="0" w:color="auto"/>
                <w:bottom w:val="none" w:sz="0" w:space="0" w:color="auto"/>
                <w:right w:val="none" w:sz="0" w:space="0" w:color="auto"/>
              </w:divBdr>
              <w:divsChild>
                <w:div w:id="912353147">
                  <w:marLeft w:val="0"/>
                  <w:marRight w:val="0"/>
                  <w:marTop w:val="0"/>
                  <w:marBottom w:val="0"/>
                  <w:divBdr>
                    <w:top w:val="none" w:sz="0" w:space="0" w:color="auto"/>
                    <w:left w:val="none" w:sz="0" w:space="0" w:color="auto"/>
                    <w:bottom w:val="none" w:sz="0" w:space="0" w:color="auto"/>
                    <w:right w:val="none" w:sz="0" w:space="0" w:color="auto"/>
                  </w:divBdr>
                  <w:divsChild>
                    <w:div w:id="1499927188">
                      <w:blockQuote w:val="1"/>
                      <w:marLeft w:val="300"/>
                      <w:marRight w:val="300"/>
                      <w:marTop w:val="240"/>
                      <w:marBottom w:val="240"/>
                      <w:divBdr>
                        <w:top w:val="none" w:sz="0" w:space="0" w:color="auto"/>
                        <w:left w:val="none" w:sz="0" w:space="0" w:color="auto"/>
                        <w:bottom w:val="none" w:sz="0" w:space="0" w:color="auto"/>
                        <w:right w:val="none" w:sz="0" w:space="0" w:color="auto"/>
                      </w:divBdr>
                      <w:divsChild>
                        <w:div w:id="1670673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3430676">
          <w:marLeft w:val="0"/>
          <w:marRight w:val="0"/>
          <w:marTop w:val="0"/>
          <w:marBottom w:val="0"/>
          <w:divBdr>
            <w:top w:val="none" w:sz="0" w:space="0" w:color="auto"/>
            <w:left w:val="none" w:sz="0" w:space="0" w:color="auto"/>
            <w:bottom w:val="none" w:sz="0" w:space="0" w:color="auto"/>
            <w:right w:val="none" w:sz="0" w:space="0" w:color="auto"/>
          </w:divBdr>
          <w:divsChild>
            <w:div w:id="1464232762">
              <w:marLeft w:val="0"/>
              <w:marRight w:val="0"/>
              <w:marTop w:val="0"/>
              <w:marBottom w:val="0"/>
              <w:divBdr>
                <w:top w:val="none" w:sz="0" w:space="0" w:color="auto"/>
                <w:left w:val="none" w:sz="0" w:space="0" w:color="auto"/>
                <w:bottom w:val="none" w:sz="0" w:space="0" w:color="auto"/>
                <w:right w:val="none" w:sz="0" w:space="0" w:color="auto"/>
              </w:divBdr>
              <w:divsChild>
                <w:div w:id="1070230221">
                  <w:marLeft w:val="0"/>
                  <w:marRight w:val="0"/>
                  <w:marTop w:val="0"/>
                  <w:marBottom w:val="0"/>
                  <w:divBdr>
                    <w:top w:val="none" w:sz="0" w:space="0" w:color="auto"/>
                    <w:left w:val="none" w:sz="0" w:space="0" w:color="auto"/>
                    <w:bottom w:val="none" w:sz="0" w:space="0" w:color="auto"/>
                    <w:right w:val="none" w:sz="0" w:space="0" w:color="auto"/>
                  </w:divBdr>
                  <w:divsChild>
                    <w:div w:id="2074770586">
                      <w:blockQuote w:val="1"/>
                      <w:marLeft w:val="300"/>
                      <w:marRight w:val="300"/>
                      <w:marTop w:val="240"/>
                      <w:marBottom w:val="240"/>
                      <w:divBdr>
                        <w:top w:val="none" w:sz="0" w:space="0" w:color="auto"/>
                        <w:left w:val="none" w:sz="0" w:space="0" w:color="auto"/>
                        <w:bottom w:val="none" w:sz="0" w:space="0" w:color="auto"/>
                        <w:right w:val="none" w:sz="0" w:space="0" w:color="auto"/>
                      </w:divBdr>
                      <w:divsChild>
                        <w:div w:id="295184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6529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0153611">
      <w:bodyDiv w:val="1"/>
      <w:marLeft w:val="0"/>
      <w:marRight w:val="0"/>
      <w:marTop w:val="0"/>
      <w:marBottom w:val="0"/>
      <w:divBdr>
        <w:top w:val="none" w:sz="0" w:space="0" w:color="auto"/>
        <w:left w:val="none" w:sz="0" w:space="0" w:color="auto"/>
        <w:bottom w:val="none" w:sz="0" w:space="0" w:color="auto"/>
        <w:right w:val="none" w:sz="0" w:space="0" w:color="auto"/>
      </w:divBdr>
    </w:div>
    <w:div w:id="1172261227">
      <w:bodyDiv w:val="1"/>
      <w:marLeft w:val="0"/>
      <w:marRight w:val="0"/>
      <w:marTop w:val="0"/>
      <w:marBottom w:val="0"/>
      <w:divBdr>
        <w:top w:val="none" w:sz="0" w:space="0" w:color="auto"/>
        <w:left w:val="none" w:sz="0" w:space="0" w:color="auto"/>
        <w:bottom w:val="none" w:sz="0" w:space="0" w:color="auto"/>
        <w:right w:val="none" w:sz="0" w:space="0" w:color="auto"/>
      </w:divBdr>
    </w:div>
    <w:div w:id="1214191027">
      <w:bodyDiv w:val="1"/>
      <w:marLeft w:val="0"/>
      <w:marRight w:val="0"/>
      <w:marTop w:val="0"/>
      <w:marBottom w:val="0"/>
      <w:divBdr>
        <w:top w:val="none" w:sz="0" w:space="0" w:color="auto"/>
        <w:left w:val="none" w:sz="0" w:space="0" w:color="auto"/>
        <w:bottom w:val="none" w:sz="0" w:space="0" w:color="auto"/>
        <w:right w:val="none" w:sz="0" w:space="0" w:color="auto"/>
      </w:divBdr>
    </w:div>
    <w:div w:id="1276523305">
      <w:bodyDiv w:val="1"/>
      <w:marLeft w:val="0"/>
      <w:marRight w:val="0"/>
      <w:marTop w:val="0"/>
      <w:marBottom w:val="0"/>
      <w:divBdr>
        <w:top w:val="none" w:sz="0" w:space="0" w:color="auto"/>
        <w:left w:val="none" w:sz="0" w:space="0" w:color="auto"/>
        <w:bottom w:val="none" w:sz="0" w:space="0" w:color="auto"/>
        <w:right w:val="none" w:sz="0" w:space="0" w:color="auto"/>
      </w:divBdr>
    </w:div>
    <w:div w:id="1448157695">
      <w:bodyDiv w:val="1"/>
      <w:marLeft w:val="0"/>
      <w:marRight w:val="0"/>
      <w:marTop w:val="0"/>
      <w:marBottom w:val="0"/>
      <w:divBdr>
        <w:top w:val="none" w:sz="0" w:space="0" w:color="auto"/>
        <w:left w:val="none" w:sz="0" w:space="0" w:color="auto"/>
        <w:bottom w:val="none" w:sz="0" w:space="0" w:color="auto"/>
        <w:right w:val="none" w:sz="0" w:space="0" w:color="auto"/>
      </w:divBdr>
    </w:div>
    <w:div w:id="1498956298">
      <w:bodyDiv w:val="1"/>
      <w:marLeft w:val="0"/>
      <w:marRight w:val="0"/>
      <w:marTop w:val="0"/>
      <w:marBottom w:val="0"/>
      <w:divBdr>
        <w:top w:val="none" w:sz="0" w:space="0" w:color="auto"/>
        <w:left w:val="none" w:sz="0" w:space="0" w:color="auto"/>
        <w:bottom w:val="none" w:sz="0" w:space="0" w:color="auto"/>
        <w:right w:val="none" w:sz="0" w:space="0" w:color="auto"/>
      </w:divBdr>
    </w:div>
    <w:div w:id="20632067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go:gDocsCustomXmlDataStorage xmlns:go="http://customooxmlschemas.google.com/" xmlns:r="http://schemas.openxmlformats.org/officeDocument/2006/relationships">
  <go:docsCustomData xmlns:go="http://customooxmlschemas.google.com/" roundtripDataSignature="AMtx7micJ/PAJHcphl+aOKL+MDyaKVwvgg==">AMUW2mVJGkVif2c7DnMvYSnUsjiTH77BrzEe0TUsF2AoRvrE35M9cs6uY90hO6RjZ0YCJXmkxSRdF2bureosVWuQ0/U8ChJc0H20Q3rH7VrDjil9Pfo1CMJjFENhf5q/SNwlYLZk3JDMG0ZwMuC/cwOAA9fsEhPHjtqr8j+4czSp2F80DOMITOeYKltaxzwddg4AGAUjsWws</go:docsCustomData>
</go:gDocsCustomXmlDataStorage>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7dba3f0e9a57f2a4acd0d32ac13827cb">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bb87b168c194885e45ed0de52b263d16"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6BDCFE0-9650-4D1F-A08D-558ADABB5F05}">
  <ds:schemaRefs>
    <ds:schemaRef ds:uri="http://schemas.microsoft.com/sharepoint/v3/contenttype/forms"/>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EFA5204A-FFE3-43F9-ABCE-A43C203B1C4E}">
  <ds:schemaRefs>
    <ds:schemaRef ds:uri="http://schemas.openxmlformats.org/officeDocument/2006/bibliography"/>
  </ds:schemaRefs>
</ds:datastoreItem>
</file>

<file path=customXml/itemProps4.xml><?xml version="1.0" encoding="utf-8"?>
<ds:datastoreItem xmlns:ds="http://schemas.openxmlformats.org/officeDocument/2006/customXml" ds:itemID="{186A1827-AC6E-4689-A048-AD2A8E693742}">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customXml/itemProps5.xml><?xml version="1.0" encoding="utf-8"?>
<ds:datastoreItem xmlns:ds="http://schemas.openxmlformats.org/officeDocument/2006/customXml" ds:itemID="{45993BD5-D27F-44F2-BB7A-BEEF1E7E9A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3589</Words>
  <Characters>18488</Characters>
  <Application>Microsoft Office Word</Application>
  <DocSecurity>4</DocSecurity>
  <Lines>330</Lines>
  <Paragraphs>83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21994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Yadira Saavedra</dc:creator>
  <cp:keywords/>
  <dc:description/>
  <cp:lastModifiedBy>Camyl Moreno Pantojas</cp:lastModifiedBy>
  <cp:revision>2</cp:revision>
  <cp:lastPrinted>2025-02-26T14:29:00Z</cp:lastPrinted>
  <dcterms:created xsi:type="dcterms:W3CDTF">2026-01-13T18:42:00Z</dcterms:created>
  <dcterms:modified xsi:type="dcterms:W3CDTF">2026-01-13T18:42:00Z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0x010100831C0761637D684EABBCE64BDDA1E45F</vt:lpwstr>
  </property>
  <property fmtid="{D5CDD505-2E9C-101B-9397-08002B2CF9AE}" pid="3" name="MediaServiceImageTags">
    <vt:lpwstr/>
  </property>
</Properties>
</file>