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E8D428" w14:textId="08BB2264" w:rsidR="008B72B9" w:rsidRPr="00905B92" w:rsidRDefault="008B72B9" w:rsidP="001D5B38">
      <w:pPr>
        <w:jc w:val="center"/>
        <w:rPr>
          <w:rFonts w:ascii="Book Antiqua" w:hAnsi="Book Antiqua"/>
          <w:b/>
          <w:bCs/>
          <w:sz w:val="36"/>
          <w:u w:val="single"/>
          <w:lang w:val="es-ES_tradnl"/>
        </w:rPr>
      </w:pPr>
      <w:r w:rsidRPr="00905B92">
        <w:rPr>
          <w:rFonts w:ascii="Book Antiqua" w:hAnsi="Book Antiqua"/>
          <w:b/>
          <w:bCs/>
          <w:sz w:val="36"/>
          <w:u w:val="single"/>
          <w:lang w:val="es-ES_tradnl"/>
        </w:rPr>
        <w:t>ENTIRILLADO ELECTRÓNICO</w:t>
      </w:r>
    </w:p>
    <w:p w14:paraId="3E75E497" w14:textId="7D01B77B" w:rsidR="001D5B38" w:rsidRPr="00905B92" w:rsidRDefault="001D5B38" w:rsidP="001D5B38">
      <w:pPr>
        <w:jc w:val="center"/>
        <w:rPr>
          <w:rFonts w:ascii="Book Antiqua" w:hAnsi="Book Antiqua"/>
          <w:sz w:val="36"/>
          <w:lang w:val="es-ES_tradnl"/>
        </w:rPr>
      </w:pPr>
      <w:r w:rsidRPr="00905B92">
        <w:rPr>
          <w:rFonts w:ascii="Book Antiqua" w:hAnsi="Book Antiqua"/>
          <w:sz w:val="36"/>
          <w:lang w:val="es-ES_tradnl"/>
        </w:rPr>
        <w:t>GOBIERNO DE PUERTO RICO</w:t>
      </w:r>
    </w:p>
    <w:p w14:paraId="4BCF4C26" w14:textId="77777777" w:rsidR="001D5B38" w:rsidRPr="00905B92" w:rsidRDefault="001D5B38" w:rsidP="001D5B38">
      <w:pPr>
        <w:jc w:val="center"/>
        <w:rPr>
          <w:rFonts w:ascii="Book Antiqua" w:hAnsi="Book Antiqua"/>
          <w:sz w:val="36"/>
          <w:szCs w:val="36"/>
          <w:lang w:val="es-ES_tradnl"/>
        </w:rPr>
      </w:pPr>
    </w:p>
    <w:p w14:paraId="6AA918BB" w14:textId="77777777" w:rsidR="001D5B38" w:rsidRPr="00905B92" w:rsidRDefault="001D5B38" w:rsidP="001D5B38">
      <w:pPr>
        <w:pStyle w:val="Title2"/>
        <w:rPr>
          <w:rFonts w:ascii="Book Antiqua" w:hAnsi="Book Antiqua"/>
          <w:lang w:val="es-ES_tradnl"/>
        </w:rPr>
      </w:pPr>
      <w:r w:rsidRPr="00905B92">
        <w:rPr>
          <w:rFonts w:ascii="Book Antiqua" w:hAnsi="Book Antiqua"/>
          <w:lang w:val="es-ES_tradnl"/>
        </w:rPr>
        <w:t xml:space="preserve">20 </w:t>
      </w:r>
      <w:r w:rsidRPr="00905B92">
        <w:rPr>
          <w:rFonts w:ascii="Book Antiqua" w:hAnsi="Book Antiqua"/>
          <w:vertAlign w:val="superscript"/>
          <w:lang w:val="es-ES_tradnl"/>
        </w:rPr>
        <w:t>ma.</w:t>
      </w:r>
      <w:r w:rsidRPr="00905B92">
        <w:rPr>
          <w:rFonts w:ascii="Book Antiqua" w:hAnsi="Book Antiqua"/>
          <w:lang w:val="es-ES_tradnl"/>
        </w:rPr>
        <w:tab/>
        <w:t>Asamblea</w:t>
      </w:r>
      <w:r w:rsidRPr="00905B92">
        <w:rPr>
          <w:rFonts w:ascii="Book Antiqua" w:hAnsi="Book Antiqua"/>
          <w:lang w:val="es-ES_tradnl"/>
        </w:rPr>
        <w:tab/>
        <w:t xml:space="preserve">1 </w:t>
      </w:r>
      <w:proofErr w:type="spellStart"/>
      <w:r w:rsidRPr="00905B92">
        <w:rPr>
          <w:rFonts w:ascii="Book Antiqua" w:hAnsi="Book Antiqua"/>
          <w:vertAlign w:val="superscript"/>
          <w:lang w:val="es-ES_tradnl"/>
        </w:rPr>
        <w:t>ra</w:t>
      </w:r>
      <w:proofErr w:type="spellEnd"/>
      <w:r w:rsidRPr="00905B92">
        <w:rPr>
          <w:rFonts w:ascii="Book Antiqua" w:hAnsi="Book Antiqua"/>
          <w:vertAlign w:val="superscript"/>
          <w:lang w:val="es-ES_tradnl"/>
        </w:rPr>
        <w:t>.</w:t>
      </w:r>
      <w:r w:rsidRPr="00905B92">
        <w:rPr>
          <w:rFonts w:ascii="Book Antiqua" w:hAnsi="Book Antiqua"/>
          <w:lang w:val="es-ES_tradnl"/>
        </w:rPr>
        <w:tab/>
        <w:t>Sesión</w:t>
      </w:r>
    </w:p>
    <w:p w14:paraId="7426B059" w14:textId="77777777" w:rsidR="001D5B38" w:rsidRPr="00905B92" w:rsidRDefault="001D5B38" w:rsidP="001D5B38">
      <w:pPr>
        <w:pStyle w:val="Title2"/>
        <w:rPr>
          <w:rFonts w:ascii="Book Antiqua" w:hAnsi="Book Antiqua"/>
          <w:lang w:val="es-ES_tradnl"/>
        </w:rPr>
      </w:pPr>
      <w:r w:rsidRPr="00905B92">
        <w:rPr>
          <w:rFonts w:ascii="Book Antiqua" w:hAnsi="Book Antiqua"/>
          <w:lang w:val="es-ES_tradnl"/>
        </w:rPr>
        <w:tab/>
        <w:t>Legislativa</w:t>
      </w:r>
      <w:r w:rsidRPr="00905B92">
        <w:rPr>
          <w:rFonts w:ascii="Book Antiqua" w:hAnsi="Book Antiqua"/>
          <w:lang w:val="es-ES_tradnl"/>
        </w:rPr>
        <w:tab/>
      </w:r>
      <w:r w:rsidRPr="00905B92">
        <w:rPr>
          <w:rFonts w:ascii="Book Antiqua" w:hAnsi="Book Antiqua"/>
          <w:lang w:val="es-ES_tradnl"/>
        </w:rPr>
        <w:tab/>
        <w:t>Ordinaria</w:t>
      </w:r>
    </w:p>
    <w:p w14:paraId="0B482E30" w14:textId="77777777" w:rsidR="001D5B38" w:rsidRPr="00905B92" w:rsidRDefault="001D5B38" w:rsidP="001D5B38">
      <w:pPr>
        <w:rPr>
          <w:rFonts w:ascii="Book Antiqua" w:hAnsi="Book Antiqua"/>
          <w:sz w:val="32"/>
          <w:szCs w:val="32"/>
          <w:lang w:val="es-ES_tradnl"/>
        </w:rPr>
      </w:pPr>
    </w:p>
    <w:p w14:paraId="6B20919F" w14:textId="77777777" w:rsidR="001D5B38" w:rsidRPr="00905B92" w:rsidRDefault="001D5B38" w:rsidP="001D5B38">
      <w:pPr>
        <w:jc w:val="center"/>
        <w:rPr>
          <w:rFonts w:ascii="Book Antiqua" w:hAnsi="Book Antiqua"/>
          <w:b/>
          <w:sz w:val="36"/>
          <w:szCs w:val="36"/>
          <w:lang w:val="es-ES_tradnl"/>
        </w:rPr>
      </w:pPr>
      <w:r w:rsidRPr="00905B92">
        <w:rPr>
          <w:rFonts w:ascii="Book Antiqua" w:hAnsi="Book Antiqua"/>
          <w:b/>
          <w:sz w:val="36"/>
          <w:szCs w:val="36"/>
          <w:lang w:val="es-ES_tradnl"/>
        </w:rPr>
        <w:t>SENADO DE PUERTO RICO</w:t>
      </w:r>
    </w:p>
    <w:p w14:paraId="5B7F64B7" w14:textId="77777777" w:rsidR="001D5B38" w:rsidRPr="00905B92" w:rsidRDefault="001D5B38" w:rsidP="001D5B38">
      <w:pPr>
        <w:spacing w:before="240"/>
        <w:jc w:val="center"/>
        <w:rPr>
          <w:rFonts w:ascii="Book Antiqua" w:hAnsi="Book Antiqua"/>
          <w:b/>
          <w:sz w:val="52"/>
          <w:lang w:val="es-ES_tradnl"/>
        </w:rPr>
      </w:pPr>
      <w:r w:rsidRPr="00905B92">
        <w:rPr>
          <w:rFonts w:ascii="Book Antiqua" w:hAnsi="Book Antiqua"/>
          <w:b/>
          <w:sz w:val="52"/>
          <w:lang w:val="es-ES_tradnl"/>
        </w:rPr>
        <w:t>R. C. del S.</w:t>
      </w:r>
      <w:r w:rsidR="00064707" w:rsidRPr="00905B92">
        <w:rPr>
          <w:rFonts w:ascii="Book Antiqua" w:hAnsi="Book Antiqua"/>
          <w:b/>
          <w:sz w:val="52"/>
          <w:lang w:val="es-ES_tradnl"/>
        </w:rPr>
        <w:t xml:space="preserve"> 61</w:t>
      </w:r>
      <w:r w:rsidRPr="00905B92">
        <w:rPr>
          <w:rFonts w:ascii="Book Antiqua" w:hAnsi="Book Antiqua"/>
          <w:b/>
          <w:sz w:val="52"/>
          <w:lang w:val="es-ES_tradnl"/>
        </w:rPr>
        <w:t xml:space="preserve"> </w:t>
      </w:r>
    </w:p>
    <w:p w14:paraId="4147A64F" w14:textId="77777777" w:rsidR="001D5B38" w:rsidRPr="00905B92" w:rsidRDefault="00064707" w:rsidP="001D5B38">
      <w:pPr>
        <w:spacing w:before="120"/>
        <w:jc w:val="center"/>
        <w:rPr>
          <w:rFonts w:ascii="Book Antiqua" w:hAnsi="Book Antiqua"/>
          <w:lang w:val="es-ES_tradnl"/>
        </w:rPr>
      </w:pPr>
      <w:r w:rsidRPr="00905B92">
        <w:rPr>
          <w:rFonts w:ascii="Book Antiqua" w:hAnsi="Book Antiqua"/>
          <w:lang w:val="es-ES_tradnl"/>
        </w:rPr>
        <w:t xml:space="preserve">12 </w:t>
      </w:r>
      <w:r w:rsidR="00E71040" w:rsidRPr="00905B92">
        <w:rPr>
          <w:rFonts w:ascii="Book Antiqua" w:hAnsi="Book Antiqua"/>
          <w:lang w:val="es-ES_tradnl"/>
        </w:rPr>
        <w:t xml:space="preserve">de </w:t>
      </w:r>
      <w:r w:rsidR="001D5B38" w:rsidRPr="00905B92">
        <w:rPr>
          <w:rFonts w:ascii="Book Antiqua" w:hAnsi="Book Antiqua"/>
          <w:lang w:val="es-ES_tradnl"/>
        </w:rPr>
        <w:t>mayo</w:t>
      </w:r>
      <w:r w:rsidR="009A00F8" w:rsidRPr="00905B92">
        <w:rPr>
          <w:rFonts w:ascii="Book Antiqua" w:hAnsi="Book Antiqua"/>
          <w:lang w:val="es-ES_tradnl"/>
        </w:rPr>
        <w:t xml:space="preserve"> de</w:t>
      </w:r>
      <w:r w:rsidR="001D5B38" w:rsidRPr="00905B92">
        <w:rPr>
          <w:rFonts w:ascii="Book Antiqua" w:hAnsi="Book Antiqua"/>
          <w:lang w:val="es-ES_tradnl"/>
        </w:rPr>
        <w:t xml:space="preserve"> 2025</w:t>
      </w:r>
    </w:p>
    <w:p w14:paraId="74C3F8C4" w14:textId="77777777" w:rsidR="001D5B38" w:rsidRPr="00905B92" w:rsidRDefault="001D5B38" w:rsidP="001D5B38">
      <w:pPr>
        <w:spacing w:before="120"/>
        <w:jc w:val="center"/>
        <w:rPr>
          <w:rFonts w:ascii="Book Antiqua" w:hAnsi="Book Antiqua"/>
          <w:lang w:val="es-ES_tradnl"/>
        </w:rPr>
      </w:pPr>
      <w:r w:rsidRPr="00905B92">
        <w:rPr>
          <w:rFonts w:ascii="Book Antiqua" w:hAnsi="Book Antiqua"/>
          <w:lang w:val="es-ES_tradnl"/>
        </w:rPr>
        <w:t>Presentada por el señor</w:t>
      </w:r>
      <w:r w:rsidRPr="00905B92">
        <w:rPr>
          <w:rFonts w:ascii="Book Antiqua" w:hAnsi="Book Antiqua"/>
          <w:i/>
          <w:lang w:val="es-ES_tradnl"/>
        </w:rPr>
        <w:t xml:space="preserve"> Santos Ortiz</w:t>
      </w:r>
    </w:p>
    <w:p w14:paraId="1D2B6FC4" w14:textId="77777777" w:rsidR="001D5B38" w:rsidRPr="00905B92" w:rsidRDefault="001D5B38" w:rsidP="001D5B38">
      <w:pPr>
        <w:spacing w:before="120"/>
        <w:jc w:val="center"/>
        <w:rPr>
          <w:rFonts w:ascii="Book Antiqua" w:hAnsi="Book Antiqua"/>
          <w:i/>
          <w:iCs/>
          <w:lang w:val="es-ES_tradnl"/>
        </w:rPr>
      </w:pPr>
      <w:r w:rsidRPr="00905B92">
        <w:rPr>
          <w:rFonts w:ascii="Book Antiqua" w:hAnsi="Book Antiqua"/>
          <w:i/>
          <w:iCs/>
          <w:lang w:val="es-ES_tradnl"/>
        </w:rPr>
        <w:t xml:space="preserve">Referida a </w:t>
      </w:r>
      <w:r w:rsidR="003A2CAE" w:rsidRPr="00905B92">
        <w:rPr>
          <w:rFonts w:ascii="Book Antiqua" w:hAnsi="Book Antiqua"/>
          <w:i/>
          <w:iCs/>
          <w:lang w:val="es-ES_tradnl"/>
        </w:rPr>
        <w:t xml:space="preserve">la Comisión de </w:t>
      </w:r>
      <w:r w:rsidR="00A13AD3" w:rsidRPr="00905B92">
        <w:rPr>
          <w:rFonts w:ascii="Book Antiqua" w:hAnsi="Book Antiqua"/>
          <w:i/>
          <w:iCs/>
          <w:lang w:val="es-ES_tradnl"/>
        </w:rPr>
        <w:t>Agricultura</w:t>
      </w:r>
    </w:p>
    <w:p w14:paraId="266B6FB9" w14:textId="77777777" w:rsidR="001D5B38" w:rsidRPr="00905B92" w:rsidRDefault="001D5B38" w:rsidP="001D5B38">
      <w:pPr>
        <w:jc w:val="both"/>
        <w:rPr>
          <w:rFonts w:ascii="Book Antiqua" w:hAnsi="Book Antiqua"/>
          <w:sz w:val="32"/>
          <w:szCs w:val="32"/>
          <w:lang w:val="es-ES_tradnl"/>
        </w:rPr>
      </w:pPr>
    </w:p>
    <w:p w14:paraId="02A9C48F" w14:textId="77777777" w:rsidR="001D5B38" w:rsidRPr="00905B92" w:rsidRDefault="001D5B38" w:rsidP="001D5B38">
      <w:pPr>
        <w:jc w:val="center"/>
        <w:rPr>
          <w:rFonts w:ascii="Book Antiqua" w:hAnsi="Book Antiqua"/>
          <w:b/>
          <w:szCs w:val="24"/>
          <w:lang w:val="es-ES_tradnl"/>
        </w:rPr>
      </w:pPr>
      <w:r w:rsidRPr="00905B92">
        <w:rPr>
          <w:rFonts w:ascii="Book Antiqua" w:hAnsi="Book Antiqua"/>
          <w:b/>
          <w:szCs w:val="24"/>
          <w:lang w:val="es-ES_tradnl"/>
        </w:rPr>
        <w:t>RESOLUCIÓN CONJUNTA</w:t>
      </w:r>
    </w:p>
    <w:p w14:paraId="45E645D7" w14:textId="77777777" w:rsidR="001D5B38" w:rsidRPr="00905B92" w:rsidRDefault="001D5B38" w:rsidP="001D5B38">
      <w:pPr>
        <w:jc w:val="both"/>
        <w:rPr>
          <w:rFonts w:ascii="Book Antiqua" w:hAnsi="Book Antiqua"/>
          <w:sz w:val="16"/>
          <w:szCs w:val="16"/>
          <w:lang w:val="es-ES_tradnl"/>
        </w:rPr>
      </w:pPr>
    </w:p>
    <w:p w14:paraId="2E12232C" w14:textId="6A71EDA7" w:rsidR="001D5B38" w:rsidRPr="00905B92" w:rsidRDefault="001D5B38" w:rsidP="001D5B38">
      <w:pPr>
        <w:ind w:left="567" w:hanging="567"/>
        <w:jc w:val="both"/>
        <w:rPr>
          <w:rFonts w:ascii="Book Antiqua" w:hAnsi="Book Antiqua"/>
          <w:lang w:val="es-PR"/>
        </w:rPr>
      </w:pPr>
      <w:r w:rsidRPr="00905B92">
        <w:rPr>
          <w:rFonts w:ascii="Book Antiqua" w:hAnsi="Book Antiqua"/>
          <w:szCs w:val="24"/>
          <w:lang w:val="es-ES_tradnl"/>
        </w:rPr>
        <w:t xml:space="preserve">Para </w:t>
      </w:r>
      <w:r w:rsidRPr="00905B92">
        <w:rPr>
          <w:rFonts w:ascii="Book Antiqua" w:hAnsi="Book Antiqua"/>
          <w:lang w:val="es-PR"/>
        </w:rPr>
        <w:t xml:space="preserve">ordenar </w:t>
      </w:r>
      <w:r w:rsidRPr="00905B92">
        <w:rPr>
          <w:rFonts w:ascii="Book Antiqua" w:hAnsi="Book Antiqua"/>
          <w:strike/>
          <w:lang w:val="es-PR"/>
        </w:rPr>
        <w:t>al Departamento de Agricultura</w:t>
      </w:r>
      <w:r w:rsidRPr="00905B92">
        <w:rPr>
          <w:rFonts w:ascii="Book Antiqua" w:hAnsi="Book Antiqua"/>
          <w:lang w:val="es-PR"/>
        </w:rPr>
        <w:t xml:space="preserve"> </w:t>
      </w:r>
      <w:r w:rsidR="008B72B9" w:rsidRPr="00905B92">
        <w:rPr>
          <w:rFonts w:ascii="Book Antiqua" w:hAnsi="Book Antiqua"/>
          <w:i/>
          <w:iCs/>
          <w:u w:val="single"/>
          <w:lang w:val="es-PR"/>
        </w:rPr>
        <w:t>a la Autoridad de Tierras</w:t>
      </w:r>
      <w:r w:rsidR="008B72B9" w:rsidRPr="00905B92">
        <w:rPr>
          <w:rFonts w:ascii="Book Antiqua" w:hAnsi="Book Antiqua"/>
          <w:lang w:val="es-PR"/>
        </w:rPr>
        <w:t xml:space="preserve"> </w:t>
      </w:r>
      <w:r w:rsidRPr="00905B92">
        <w:rPr>
          <w:rFonts w:ascii="Book Antiqua" w:hAnsi="Book Antiqua"/>
          <w:lang w:val="es-PR"/>
        </w:rPr>
        <w:t>y a la Junta de Planificación de Puerto Rico</w:t>
      </w:r>
      <w:r w:rsidR="008B72B9" w:rsidRPr="00905B92">
        <w:rPr>
          <w:rFonts w:ascii="Book Antiqua" w:hAnsi="Book Antiqua"/>
          <w:i/>
          <w:iCs/>
          <w:u w:val="single"/>
          <w:lang w:val="es-PR"/>
        </w:rPr>
        <w:t>,</w:t>
      </w:r>
      <w:r w:rsidRPr="00905B92">
        <w:rPr>
          <w:rFonts w:ascii="Book Antiqua" w:hAnsi="Book Antiqua"/>
          <w:lang w:val="es-PR"/>
        </w:rPr>
        <w:t xml:space="preserve"> </w:t>
      </w:r>
      <w:r w:rsidRPr="00905B92">
        <w:rPr>
          <w:rFonts w:ascii="Book Antiqua" w:hAnsi="Book Antiqua"/>
          <w:strike/>
          <w:szCs w:val="24"/>
          <w:lang w:val="es-ES"/>
        </w:rPr>
        <w:t>según</w:t>
      </w:r>
      <w:r w:rsidRPr="00905B92">
        <w:rPr>
          <w:rFonts w:ascii="Book Antiqua" w:hAnsi="Book Antiqua"/>
          <w:szCs w:val="24"/>
          <w:lang w:val="es-ES"/>
        </w:rPr>
        <w:t xml:space="preserve"> </w:t>
      </w:r>
      <w:r w:rsidR="008B72B9" w:rsidRPr="00905B92">
        <w:rPr>
          <w:rFonts w:ascii="Book Antiqua" w:hAnsi="Book Antiqua"/>
          <w:i/>
          <w:iCs/>
          <w:szCs w:val="24"/>
          <w:u w:val="single"/>
          <w:lang w:val="es-ES"/>
        </w:rPr>
        <w:t>conforme lo</w:t>
      </w:r>
      <w:r w:rsidR="008B72B9" w:rsidRPr="00905B92">
        <w:rPr>
          <w:rFonts w:ascii="Book Antiqua" w:hAnsi="Book Antiqua"/>
          <w:szCs w:val="24"/>
          <w:lang w:val="es-ES"/>
        </w:rPr>
        <w:t xml:space="preserve"> </w:t>
      </w:r>
      <w:r w:rsidRPr="00905B92">
        <w:rPr>
          <w:rFonts w:ascii="Book Antiqua" w:hAnsi="Book Antiqua"/>
          <w:szCs w:val="24"/>
          <w:lang w:val="es-ES"/>
        </w:rPr>
        <w:t>dispuesto por la Ley Núm. 107 de 3 de julio de 1974,</w:t>
      </w:r>
      <w:r w:rsidR="008B72B9" w:rsidRPr="00905B92">
        <w:rPr>
          <w:rFonts w:ascii="Book Antiqua" w:hAnsi="Book Antiqua"/>
          <w:szCs w:val="24"/>
          <w:lang w:val="es-ES"/>
        </w:rPr>
        <w:t xml:space="preserve"> </w:t>
      </w:r>
      <w:r w:rsidR="008B72B9" w:rsidRPr="00905B92">
        <w:rPr>
          <w:rFonts w:ascii="Book Antiqua" w:hAnsi="Book Antiqua"/>
          <w:i/>
          <w:iCs/>
          <w:szCs w:val="24"/>
          <w:u w:val="single"/>
          <w:lang w:val="es-ES"/>
        </w:rPr>
        <w:t>según enmendada, comúnmente llamada</w:t>
      </w:r>
      <w:r w:rsidRPr="00905B92">
        <w:rPr>
          <w:rFonts w:ascii="Book Antiqua" w:hAnsi="Book Antiqua"/>
          <w:szCs w:val="24"/>
          <w:lang w:val="es-ES"/>
        </w:rPr>
        <w:t xml:space="preserve"> “</w:t>
      </w:r>
      <w:r w:rsidRPr="00905B92">
        <w:rPr>
          <w:rFonts w:ascii="Book Antiqua" w:hAnsi="Book Antiqua"/>
          <w:lang w:val="es-PR"/>
        </w:rPr>
        <w:t>Ley de Preservación de Tierras para Uso Agrícola”</w:t>
      </w:r>
      <w:r w:rsidR="008B72B9" w:rsidRPr="00905B92">
        <w:rPr>
          <w:rFonts w:ascii="Book Antiqua" w:hAnsi="Book Antiqua"/>
          <w:i/>
          <w:iCs/>
          <w:u w:val="single"/>
          <w:lang w:val="es-PR"/>
        </w:rPr>
        <w:t>,</w:t>
      </w:r>
      <w:r w:rsidR="008B72B9" w:rsidRPr="00905B92">
        <w:rPr>
          <w:rFonts w:ascii="Book Antiqua" w:hAnsi="Book Antiqua"/>
          <w:lang w:val="es-PR"/>
        </w:rPr>
        <w:t xml:space="preserve"> </w:t>
      </w:r>
      <w:r w:rsidRPr="00905B92">
        <w:rPr>
          <w:rFonts w:ascii="Book Antiqua" w:hAnsi="Book Antiqua"/>
          <w:strike/>
          <w:szCs w:val="24"/>
          <w:lang w:val="es-ES"/>
        </w:rPr>
        <w:t>según enmendada</w:t>
      </w:r>
      <w:r w:rsidRPr="00905B92">
        <w:rPr>
          <w:rFonts w:ascii="Book Antiqua" w:hAnsi="Book Antiqua"/>
          <w:szCs w:val="24"/>
          <w:lang w:val="es-ES"/>
        </w:rPr>
        <w:t xml:space="preserve"> </w:t>
      </w:r>
      <w:r w:rsidRPr="00905B92">
        <w:rPr>
          <w:rFonts w:ascii="Book Antiqua" w:hAnsi="Book Antiqua"/>
          <w:lang w:val="es-PR"/>
        </w:rPr>
        <w:t xml:space="preserve">a proceder con la liberación de las condiciones y restricciones contenidas </w:t>
      </w:r>
      <w:r w:rsidRPr="00905B92">
        <w:rPr>
          <w:rFonts w:ascii="Book Antiqua" w:hAnsi="Book Antiqua"/>
          <w:lang w:val="es-ES_tradnl"/>
        </w:rPr>
        <w:t xml:space="preserve">en la Escritura Pública número 64, otorgada en San Juan, Puerto Rico, el día 11 de mayo de 1972 ante el Notario Público Bolívar Dones Rivera, sobre la finca número 4,281, inscrita en el folio 18 del tomo 94 del Registro de la Propiedad de Barranquitas. Dicha escritura consta a favor de </w:t>
      </w:r>
      <w:r w:rsidR="00C43FBB" w:rsidRPr="00905B92">
        <w:rPr>
          <w:rFonts w:ascii="Book Antiqua" w:hAnsi="Book Antiqua"/>
          <w:lang w:val="es-ES_tradnl"/>
        </w:rPr>
        <w:t>D</w:t>
      </w:r>
      <w:r w:rsidRPr="00905B92">
        <w:rPr>
          <w:rFonts w:ascii="Book Antiqua" w:hAnsi="Book Antiqua"/>
          <w:lang w:val="es-ES_tradnl"/>
        </w:rPr>
        <w:t xml:space="preserve">on Pablo Otero Rodríguez y </w:t>
      </w:r>
      <w:r w:rsidR="00C43FBB" w:rsidRPr="00905B92">
        <w:rPr>
          <w:rFonts w:ascii="Book Antiqua" w:hAnsi="Book Antiqua"/>
          <w:lang w:val="es-ES_tradnl"/>
        </w:rPr>
        <w:t>D</w:t>
      </w:r>
      <w:r w:rsidRPr="00905B92">
        <w:rPr>
          <w:rFonts w:ascii="Book Antiqua" w:hAnsi="Book Antiqua"/>
          <w:lang w:val="es-ES_tradnl"/>
        </w:rPr>
        <w:t>oña Eulogia Ortiz.</w:t>
      </w:r>
    </w:p>
    <w:p w14:paraId="08DC2634" w14:textId="77777777" w:rsidR="001D5B38" w:rsidRPr="001D5B38" w:rsidRDefault="001D5B38" w:rsidP="001D5B38">
      <w:pPr>
        <w:ind w:left="360" w:hanging="360"/>
        <w:jc w:val="both"/>
        <w:rPr>
          <w:rFonts w:ascii="Book Antiqua" w:hAnsi="Book Antiqua"/>
          <w:szCs w:val="24"/>
          <w:lang w:val="es-PR"/>
        </w:rPr>
      </w:pPr>
    </w:p>
    <w:p w14:paraId="00B25CDB" w14:textId="77777777" w:rsidR="001D5B38" w:rsidRPr="003A2CAE" w:rsidRDefault="001D5B38" w:rsidP="001D5B38">
      <w:pPr>
        <w:ind w:left="360" w:hanging="360"/>
        <w:jc w:val="center"/>
        <w:rPr>
          <w:rFonts w:ascii="Book Antiqua" w:hAnsi="Book Antiqua"/>
          <w:b/>
          <w:bCs/>
          <w:szCs w:val="24"/>
          <w:lang w:val="es-ES_tradnl"/>
        </w:rPr>
      </w:pPr>
      <w:r w:rsidRPr="003A2CAE">
        <w:rPr>
          <w:rFonts w:ascii="Book Antiqua" w:hAnsi="Book Antiqua"/>
          <w:b/>
          <w:bCs/>
          <w:szCs w:val="24"/>
          <w:lang w:val="es-ES_tradnl"/>
        </w:rPr>
        <w:t>EXPOSICIÓN DE MOTIVOS</w:t>
      </w:r>
    </w:p>
    <w:p w14:paraId="55A0E75E" w14:textId="77777777" w:rsidR="00D33781" w:rsidRPr="003A2CAE" w:rsidRDefault="00D33781" w:rsidP="001D5B38">
      <w:pPr>
        <w:ind w:left="360" w:hanging="360"/>
        <w:jc w:val="center"/>
        <w:rPr>
          <w:rFonts w:ascii="Book Antiqua" w:hAnsi="Book Antiqua"/>
          <w:b/>
          <w:bCs/>
          <w:sz w:val="16"/>
          <w:szCs w:val="16"/>
          <w:lang w:val="es-ES_tradnl"/>
        </w:rPr>
      </w:pPr>
    </w:p>
    <w:p w14:paraId="18D8E8A1" w14:textId="6F7359ED" w:rsidR="001D5B38" w:rsidRPr="001D5B38" w:rsidRDefault="001D5B38" w:rsidP="001D5B38">
      <w:pPr>
        <w:spacing w:before="120" w:after="120" w:line="360" w:lineRule="auto"/>
        <w:ind w:firstLine="360"/>
        <w:jc w:val="both"/>
        <w:rPr>
          <w:rFonts w:ascii="Book Antiqua" w:hAnsi="Book Antiqua"/>
          <w:lang w:val="es-ES_tradnl"/>
        </w:rPr>
      </w:pPr>
      <w:r w:rsidRPr="001D5B38">
        <w:rPr>
          <w:rFonts w:ascii="Book Antiqua" w:hAnsi="Book Antiqua"/>
          <w:lang w:val="es-ES_tradnl"/>
        </w:rPr>
        <w:t xml:space="preserve">La </w:t>
      </w:r>
      <w:bookmarkStart w:id="0" w:name="_Hlk201310246"/>
      <w:r w:rsidRPr="001D5B38">
        <w:rPr>
          <w:rFonts w:ascii="Book Antiqua" w:hAnsi="Book Antiqua"/>
          <w:lang w:val="es-ES_tradnl"/>
        </w:rPr>
        <w:t>Ley Núm. 107 de 3 de julio de 1974,</w:t>
      </w:r>
      <w:r w:rsidR="008B72B9">
        <w:rPr>
          <w:rFonts w:ascii="Book Antiqua" w:hAnsi="Book Antiqua"/>
          <w:lang w:val="es-ES_tradnl"/>
        </w:rPr>
        <w:t xml:space="preserve"> </w:t>
      </w:r>
      <w:r w:rsidR="008B72B9">
        <w:rPr>
          <w:rFonts w:ascii="Book Antiqua" w:hAnsi="Book Antiqua"/>
          <w:i/>
          <w:iCs/>
          <w:u w:val="single"/>
          <w:lang w:val="es-ES_tradnl"/>
        </w:rPr>
        <w:t>según enmendada, comúnmente llamada</w:t>
      </w:r>
      <w:r w:rsidRPr="001D5B38">
        <w:rPr>
          <w:rFonts w:ascii="Book Antiqua" w:hAnsi="Book Antiqua"/>
          <w:szCs w:val="24"/>
          <w:lang w:val="es-ES"/>
        </w:rPr>
        <w:t xml:space="preserve"> “</w:t>
      </w:r>
      <w:r w:rsidRPr="001D5B38">
        <w:rPr>
          <w:rFonts w:ascii="Book Antiqua" w:hAnsi="Book Antiqua"/>
          <w:lang w:val="es-PR"/>
        </w:rPr>
        <w:t xml:space="preserve">Ley de Preservación de Tierras para </w:t>
      </w:r>
      <w:r w:rsidR="0066168E">
        <w:rPr>
          <w:rFonts w:ascii="Book Antiqua" w:hAnsi="Book Antiqua"/>
          <w:lang w:val="es-PR"/>
        </w:rPr>
        <w:t>u</w:t>
      </w:r>
      <w:r w:rsidRPr="001D5B38">
        <w:rPr>
          <w:rFonts w:ascii="Book Antiqua" w:hAnsi="Book Antiqua"/>
          <w:lang w:val="es-PR"/>
        </w:rPr>
        <w:t xml:space="preserve">so </w:t>
      </w:r>
      <w:r w:rsidR="00D33781" w:rsidRPr="001D5B38">
        <w:rPr>
          <w:rFonts w:ascii="Book Antiqua" w:hAnsi="Book Antiqua"/>
          <w:lang w:val="es-PR"/>
        </w:rPr>
        <w:t>Agrícola”</w:t>
      </w:r>
      <w:r w:rsidR="008B72B9">
        <w:rPr>
          <w:rFonts w:ascii="Book Antiqua" w:hAnsi="Book Antiqua"/>
          <w:i/>
          <w:iCs/>
          <w:u w:val="single"/>
          <w:lang w:val="es-PR"/>
        </w:rPr>
        <w:t>,</w:t>
      </w:r>
      <w:r w:rsidR="00D33781" w:rsidRPr="001D5B38">
        <w:rPr>
          <w:rFonts w:ascii="Book Antiqua" w:hAnsi="Book Antiqua"/>
          <w:szCs w:val="24"/>
          <w:lang w:val="es-ES"/>
        </w:rPr>
        <w:t xml:space="preserve"> </w:t>
      </w:r>
      <w:r w:rsidR="00D33781" w:rsidRPr="007B188E">
        <w:rPr>
          <w:rFonts w:ascii="Book Antiqua" w:hAnsi="Book Antiqua"/>
          <w:strike/>
          <w:szCs w:val="24"/>
          <w:lang w:val="es-ES"/>
        </w:rPr>
        <w:t>según</w:t>
      </w:r>
      <w:r w:rsidRPr="007B188E">
        <w:rPr>
          <w:rFonts w:ascii="Book Antiqua" w:hAnsi="Book Antiqua"/>
          <w:strike/>
          <w:szCs w:val="24"/>
          <w:lang w:val="es-ES"/>
        </w:rPr>
        <w:t xml:space="preserve"> enmendada</w:t>
      </w:r>
      <w:r w:rsidRPr="001D5B38">
        <w:rPr>
          <w:rFonts w:ascii="Book Antiqua" w:hAnsi="Book Antiqua"/>
          <w:szCs w:val="24"/>
          <w:lang w:val="es-ES"/>
        </w:rPr>
        <w:t xml:space="preserve"> </w:t>
      </w:r>
      <w:r w:rsidRPr="001D5B38">
        <w:rPr>
          <w:rFonts w:ascii="Book Antiqua" w:hAnsi="Book Antiqua"/>
          <w:lang w:val="es-ES_tradnl"/>
        </w:rPr>
        <w:t xml:space="preserve">instauró el Programa de Fincas de Tipo Familiar, conocido como Título VI de la Ley de Tierras. El </w:t>
      </w:r>
      <w:proofErr w:type="gramStart"/>
      <w:r w:rsidRPr="001D5B38">
        <w:rPr>
          <w:rFonts w:ascii="Book Antiqua" w:hAnsi="Book Antiqua"/>
          <w:lang w:val="es-ES_tradnl"/>
        </w:rPr>
        <w:t>Secretario</w:t>
      </w:r>
      <w:proofErr w:type="gramEnd"/>
      <w:r w:rsidRPr="001D5B38">
        <w:rPr>
          <w:rFonts w:ascii="Book Antiqua" w:hAnsi="Book Antiqua"/>
          <w:lang w:val="es-ES_tradnl"/>
        </w:rPr>
        <w:t xml:space="preserve"> de Agricultura fue facultado para la disposición de terrenos para uso agrícola mediante cesión, venta, arrendamiento o donaciones. A través de este Programa se realizaba la venta de estas fincas bajo una serie de condiciones y restricciones que formaban parte del acuerdo de compraventa que se indicaban expresamente en la Escritura Pública inscrita en el Registro de la Propiedad. </w:t>
      </w:r>
      <w:r w:rsidR="008B72B9">
        <w:rPr>
          <w:rFonts w:ascii="Book Antiqua" w:hAnsi="Book Antiqua"/>
          <w:i/>
          <w:iCs/>
          <w:u w:val="single"/>
          <w:lang w:val="es-PR"/>
        </w:rPr>
        <w:t xml:space="preserve">Sin embargo, con la aprobación del </w:t>
      </w:r>
      <w:r w:rsidR="008B72B9" w:rsidRPr="00EA2781">
        <w:rPr>
          <w:rFonts w:ascii="Book Antiqua" w:hAnsi="Book Antiqua"/>
          <w:i/>
          <w:iCs/>
          <w:u w:val="single"/>
          <w:lang w:val="es-PR"/>
        </w:rPr>
        <w:t xml:space="preserve">Plan </w:t>
      </w:r>
      <w:r w:rsidR="008B72B9">
        <w:rPr>
          <w:rFonts w:ascii="Book Antiqua" w:hAnsi="Book Antiqua"/>
          <w:i/>
          <w:iCs/>
          <w:u w:val="single"/>
          <w:lang w:val="es-PR"/>
        </w:rPr>
        <w:t xml:space="preserve">de Reorganización </w:t>
      </w:r>
      <w:r w:rsidR="008B72B9" w:rsidRPr="00EA2781">
        <w:rPr>
          <w:rFonts w:ascii="Book Antiqua" w:hAnsi="Book Antiqua"/>
          <w:i/>
          <w:iCs/>
          <w:u w:val="single"/>
          <w:lang w:val="es-PR"/>
        </w:rPr>
        <w:t>4-</w:t>
      </w:r>
      <w:r w:rsidR="008B72B9" w:rsidRPr="00EA2781">
        <w:rPr>
          <w:rFonts w:ascii="Book Antiqua" w:hAnsi="Book Antiqua"/>
          <w:i/>
          <w:iCs/>
          <w:u w:val="single"/>
          <w:lang w:val="es-PR"/>
        </w:rPr>
        <w:lastRenderedPageBreak/>
        <w:t>2010, según enmendado</w:t>
      </w:r>
      <w:r w:rsidR="008B72B9">
        <w:rPr>
          <w:rFonts w:ascii="Book Antiqua" w:hAnsi="Book Antiqua"/>
          <w:i/>
          <w:iCs/>
          <w:u w:val="single"/>
          <w:lang w:val="es-PR"/>
        </w:rPr>
        <w:t xml:space="preserve">, conocido como </w:t>
      </w:r>
      <w:r w:rsidR="008B72B9" w:rsidRPr="00EA2781">
        <w:rPr>
          <w:rFonts w:ascii="Book Antiqua" w:hAnsi="Book Antiqua"/>
          <w:i/>
          <w:iCs/>
          <w:u w:val="single"/>
          <w:lang w:val="es-PR"/>
        </w:rPr>
        <w:t>“Plan de Reorganización del Departamento de Agricultura de 2010”</w:t>
      </w:r>
      <w:r w:rsidR="008B72B9">
        <w:rPr>
          <w:rFonts w:ascii="Book Antiqua" w:hAnsi="Book Antiqua"/>
          <w:i/>
          <w:iCs/>
          <w:u w:val="single"/>
          <w:lang w:val="es-PR"/>
        </w:rPr>
        <w:t xml:space="preserve">, se le transfirió </w:t>
      </w:r>
      <w:r w:rsidR="008B72B9" w:rsidRPr="00EA2781">
        <w:rPr>
          <w:rFonts w:ascii="Book Antiqua" w:hAnsi="Book Antiqua"/>
          <w:i/>
          <w:iCs/>
          <w:u w:val="single"/>
          <w:lang w:val="es-PR"/>
        </w:rPr>
        <w:t xml:space="preserve">el Programa de Fincas de Tipo Familiar </w:t>
      </w:r>
      <w:r w:rsidR="008B72B9">
        <w:rPr>
          <w:rFonts w:ascii="Book Antiqua" w:hAnsi="Book Antiqua"/>
          <w:i/>
          <w:iCs/>
          <w:u w:val="single"/>
          <w:lang w:val="es-PR"/>
        </w:rPr>
        <w:t xml:space="preserve">desde la </w:t>
      </w:r>
      <w:r w:rsidR="008B72B9" w:rsidRPr="00B10709">
        <w:rPr>
          <w:rFonts w:ascii="Book Antiqua" w:hAnsi="Book Antiqua"/>
          <w:i/>
          <w:iCs/>
          <w:u w:val="single"/>
          <w:lang w:val="es-PR"/>
        </w:rPr>
        <w:t xml:space="preserve">Corporación para el Desarrollo Rural de Puerto Rico </w:t>
      </w:r>
      <w:r w:rsidR="008B72B9" w:rsidRPr="00EA2781">
        <w:rPr>
          <w:rFonts w:ascii="Book Antiqua" w:hAnsi="Book Antiqua"/>
          <w:i/>
          <w:iCs/>
          <w:u w:val="single"/>
          <w:lang w:val="es-PR"/>
        </w:rPr>
        <w:t>a la A</w:t>
      </w:r>
      <w:r w:rsidR="008B72B9">
        <w:rPr>
          <w:rFonts w:ascii="Book Antiqua" w:hAnsi="Book Antiqua"/>
          <w:i/>
          <w:iCs/>
          <w:u w:val="single"/>
          <w:lang w:val="es-PR"/>
        </w:rPr>
        <w:t>utoridad de Tierras de Puerto Rico.</w:t>
      </w:r>
    </w:p>
    <w:p w14:paraId="54612182" w14:textId="068921BA" w:rsidR="001D5B38" w:rsidRPr="001D5B38" w:rsidRDefault="001D5B38" w:rsidP="001D5B38">
      <w:pPr>
        <w:spacing w:before="120" w:after="120" w:line="360" w:lineRule="auto"/>
        <w:ind w:firstLine="360"/>
        <w:jc w:val="both"/>
        <w:rPr>
          <w:rFonts w:ascii="Book Antiqua" w:hAnsi="Book Antiqua"/>
          <w:lang w:val="es-ES_tradnl"/>
        </w:rPr>
      </w:pPr>
      <w:r w:rsidRPr="001D5B38">
        <w:rPr>
          <w:rFonts w:ascii="Book Antiqua" w:hAnsi="Book Antiqua"/>
          <w:lang w:val="es-ES_tradnl"/>
        </w:rPr>
        <w:t xml:space="preserve">En el caso que nos ocupa, la Sucesión de </w:t>
      </w:r>
      <w:r w:rsidR="00C43FBB">
        <w:rPr>
          <w:rFonts w:ascii="Book Antiqua" w:hAnsi="Book Antiqua"/>
          <w:lang w:val="es-ES_tradnl"/>
        </w:rPr>
        <w:t>D</w:t>
      </w:r>
      <w:r w:rsidRPr="001D5B38">
        <w:rPr>
          <w:rFonts w:ascii="Book Antiqua" w:hAnsi="Book Antiqua"/>
          <w:lang w:val="es-ES_tradnl"/>
        </w:rPr>
        <w:t xml:space="preserve">on Pablo Otero Rodríguez y </w:t>
      </w:r>
      <w:r w:rsidR="00C43FBB">
        <w:rPr>
          <w:rFonts w:ascii="Book Antiqua" w:hAnsi="Book Antiqua"/>
          <w:lang w:val="es-ES_tradnl"/>
        </w:rPr>
        <w:t>D</w:t>
      </w:r>
      <w:r w:rsidRPr="001D5B38">
        <w:rPr>
          <w:rFonts w:ascii="Book Antiqua" w:hAnsi="Book Antiqua"/>
          <w:lang w:val="es-ES_tradnl"/>
        </w:rPr>
        <w:t xml:space="preserve">oña Eulogia Ortiz, compuesta por sus hijos, Rafaela, Carmen, </w:t>
      </w:r>
      <w:r w:rsidRPr="00FB006F">
        <w:rPr>
          <w:rFonts w:ascii="Book Antiqua" w:hAnsi="Book Antiqua"/>
          <w:strike/>
          <w:lang w:val="es-ES_tradnl"/>
        </w:rPr>
        <w:t>Angel</w:t>
      </w:r>
      <w:r w:rsidRPr="001D5B38">
        <w:rPr>
          <w:rFonts w:ascii="Book Antiqua" w:hAnsi="Book Antiqua"/>
          <w:lang w:val="es-ES_tradnl"/>
        </w:rPr>
        <w:t xml:space="preserve"> </w:t>
      </w:r>
      <w:r w:rsidR="00FB006F">
        <w:rPr>
          <w:rFonts w:ascii="Book Antiqua" w:hAnsi="Book Antiqua"/>
          <w:i/>
          <w:iCs/>
          <w:u w:val="single"/>
          <w:lang w:val="es-ES_tradnl"/>
        </w:rPr>
        <w:t>Ángel</w:t>
      </w:r>
      <w:r w:rsidR="00FB006F">
        <w:rPr>
          <w:rFonts w:ascii="Book Antiqua" w:hAnsi="Book Antiqua"/>
          <w:lang w:val="es-ES_tradnl"/>
        </w:rPr>
        <w:t xml:space="preserve"> </w:t>
      </w:r>
      <w:r w:rsidRPr="001D5B38">
        <w:rPr>
          <w:rFonts w:ascii="Book Antiqua" w:hAnsi="Book Antiqua"/>
          <w:lang w:val="es-ES_tradnl"/>
        </w:rPr>
        <w:t>Gilberto, Andrés Antonio y Pablo, todos de apellidos Otero Ortiz, interesan la liberación de estas condiciones y restricciones para proceder a la partición hereditaria</w:t>
      </w:r>
      <w:r w:rsidR="008B72B9">
        <w:rPr>
          <w:rFonts w:ascii="Book Antiqua" w:hAnsi="Book Antiqua"/>
          <w:i/>
          <w:iCs/>
          <w:u w:val="single"/>
          <w:lang w:val="es-ES_tradnl"/>
        </w:rPr>
        <w:t>,</w:t>
      </w:r>
      <w:r w:rsidRPr="001D5B38">
        <w:rPr>
          <w:rFonts w:ascii="Book Antiqua" w:hAnsi="Book Antiqua"/>
          <w:lang w:val="es-ES_tradnl"/>
        </w:rPr>
        <w:t xml:space="preserve"> ya que ellos son los legítimos herederos y propietarios. El propósito de la solicitud de liberación de condiciones y restricciones es proceder con la partición de la herencia y no con </w:t>
      </w:r>
      <w:r w:rsidR="00D33781" w:rsidRPr="001D5B38">
        <w:rPr>
          <w:rFonts w:ascii="Book Antiqua" w:hAnsi="Book Antiqua"/>
          <w:lang w:val="es-ES_tradnl"/>
        </w:rPr>
        <w:t>fines lucrativos</w:t>
      </w:r>
      <w:r w:rsidRPr="001D5B38">
        <w:rPr>
          <w:rFonts w:ascii="Book Antiqua" w:hAnsi="Book Antiqua"/>
          <w:lang w:val="es-ES_tradnl"/>
        </w:rPr>
        <w:t xml:space="preserve"> o especulativos. Las restricciones y condiciones en este caso constan en la Escritura Pública número 64, la cual fue otorgada el 11 de mayo de 1972 en San Juan, </w:t>
      </w:r>
      <w:r w:rsidR="00D33781" w:rsidRPr="001D5B38">
        <w:rPr>
          <w:rFonts w:ascii="Book Antiqua" w:hAnsi="Book Antiqua"/>
          <w:lang w:val="es-ES_tradnl"/>
        </w:rPr>
        <w:t>Puerto Rico</w:t>
      </w:r>
      <w:r w:rsidRPr="001D5B38">
        <w:rPr>
          <w:rFonts w:ascii="Book Antiqua" w:hAnsi="Book Antiqua"/>
          <w:lang w:val="es-ES_tradnl"/>
        </w:rPr>
        <w:t xml:space="preserve">, ante el Notario Público Bolívar Dones Rivera y en la que los esposos Pablo Otero Rodríguez y Eulogia Ortiz adquirieron el inmueble inscrito al folio 18 del tomo 94, identificado bajo la finca número 4,281 </w:t>
      </w:r>
      <w:r w:rsidRPr="001D5B38">
        <w:rPr>
          <w:rFonts w:ascii="Book Antiqua" w:hAnsi="Book Antiqua"/>
          <w:szCs w:val="24"/>
          <w:lang w:val="es-ES"/>
        </w:rPr>
        <w:t>del Registro de la Propiedad de Barranquitas</w:t>
      </w:r>
      <w:r w:rsidRPr="001D5B38">
        <w:rPr>
          <w:rFonts w:ascii="Book Antiqua" w:hAnsi="Book Antiqua"/>
          <w:lang w:val="es-ES_tradnl"/>
        </w:rPr>
        <w:t xml:space="preserve">.    </w:t>
      </w:r>
    </w:p>
    <w:p w14:paraId="2D4F5AD5" w14:textId="214834E2" w:rsidR="001D5B38" w:rsidRPr="001D5B38" w:rsidRDefault="001D5B38" w:rsidP="001D5B38">
      <w:pPr>
        <w:spacing w:before="120" w:after="120" w:line="360" w:lineRule="auto"/>
        <w:ind w:firstLine="360"/>
        <w:jc w:val="both"/>
        <w:rPr>
          <w:rFonts w:ascii="Book Antiqua" w:hAnsi="Book Antiqua"/>
          <w:lang w:val="es-ES_tradnl"/>
        </w:rPr>
      </w:pPr>
      <w:r w:rsidRPr="001D5B38">
        <w:rPr>
          <w:rFonts w:ascii="Book Antiqua" w:hAnsi="Book Antiqua"/>
          <w:lang w:val="es-ES_tradnl"/>
        </w:rPr>
        <w:t>En su origen</w:t>
      </w:r>
      <w:r w:rsidR="008B72B9">
        <w:rPr>
          <w:rFonts w:ascii="Book Antiqua" w:hAnsi="Book Antiqua"/>
          <w:i/>
          <w:iCs/>
          <w:u w:val="single"/>
          <w:lang w:val="es-ES_tradnl"/>
        </w:rPr>
        <w:t>,</w:t>
      </w:r>
      <w:r w:rsidRPr="001D5B38">
        <w:rPr>
          <w:rFonts w:ascii="Book Antiqua" w:hAnsi="Book Antiqua"/>
          <w:lang w:val="es-ES_tradnl"/>
        </w:rPr>
        <w:t xml:space="preserve"> la finalidad del Programa de Fincas de Tipo Familiar, establecido por la Ley Núm. 107, </w:t>
      </w:r>
      <w:r w:rsidRPr="001D5B38">
        <w:rPr>
          <w:rFonts w:ascii="Book Antiqua" w:hAnsi="Book Antiqua"/>
          <w:i/>
          <w:lang w:val="es-ES_tradnl"/>
        </w:rPr>
        <w:t>supra</w:t>
      </w:r>
      <w:r w:rsidRPr="001D5B38">
        <w:rPr>
          <w:rFonts w:ascii="Book Antiqua" w:hAnsi="Book Antiqua"/>
          <w:lang w:val="es-ES_tradnl"/>
        </w:rPr>
        <w:t xml:space="preserve">, era promover la agricultura en pequeños predios. No obstante, a lo largo de cuatro décadas de cambios sociales, económicos y demográficos en la Isla, la realidad es que los hijos de aquellos primeros beneficiarios del Programa necesitaron un lugar donde vivir y desarrollarse en momentos de un auge poblacional. Por ello, fueron ampliando el entorno a través del establecimiento de comunidades en dichas tierras. Hoy, transcurrido el tiempo en que muchas de aquellas fincas dejaran de tener un fin agrícola para tenerlo comunitario y habitacional, es necesario atemperar en los casos que lo requieran esa realidad en el Registro de la Propiedad. De este modo, los hijos de los titulares originales pueden llevar a cabo la partición hereditaria y poseer en calidad de dueños. </w:t>
      </w:r>
    </w:p>
    <w:p w14:paraId="7F16743D" w14:textId="77777777" w:rsidR="00C972E0" w:rsidRDefault="001D5B38" w:rsidP="00C972E0">
      <w:pPr>
        <w:spacing w:before="120" w:after="120" w:line="360" w:lineRule="auto"/>
        <w:ind w:firstLine="360"/>
        <w:jc w:val="both"/>
        <w:rPr>
          <w:rFonts w:ascii="Book Antiqua" w:hAnsi="Book Antiqua"/>
          <w:lang w:val="es-ES_tradnl"/>
        </w:rPr>
      </w:pPr>
      <w:r>
        <w:rPr>
          <w:rFonts w:ascii="Book Antiqua" w:hAnsi="Book Antiqua"/>
          <w:lang w:val="es-ES_tradnl"/>
        </w:rPr>
        <w:t>La Sección 3</w:t>
      </w:r>
      <w:r w:rsidRPr="001D5B38">
        <w:rPr>
          <w:rFonts w:ascii="Book Antiqua" w:hAnsi="Book Antiqua"/>
          <w:lang w:val="es-ES_tradnl"/>
        </w:rPr>
        <w:t xml:space="preserve"> de la Ley Núm. 107, </w:t>
      </w:r>
      <w:r w:rsidRPr="001D5B38">
        <w:rPr>
          <w:rFonts w:ascii="Book Antiqua" w:hAnsi="Book Antiqua"/>
          <w:i/>
          <w:lang w:val="es-ES_tradnl"/>
        </w:rPr>
        <w:t>supra</w:t>
      </w:r>
      <w:r w:rsidRPr="001D5B38">
        <w:rPr>
          <w:rFonts w:ascii="Book Antiqua" w:hAnsi="Book Antiqua"/>
          <w:lang w:val="es-ES_tradnl"/>
        </w:rPr>
        <w:t xml:space="preserve">, reconoce ya la facultad inherente de esta Asamblea Legislativa para ordenar que se liberen las restricciones que establece la propia Ley en aquellos casos que lo estimare meritorio, y así lo ha hecho en reiteradas ocasiones </w:t>
      </w:r>
      <w:r w:rsidRPr="001D5B38">
        <w:rPr>
          <w:rFonts w:ascii="Book Antiqua" w:hAnsi="Book Antiqua"/>
          <w:lang w:val="es-ES_tradnl"/>
        </w:rPr>
        <w:lastRenderedPageBreak/>
        <w:t>en las últimas Asambleas Legislativas. Por ello, consideramos meritorio ejercer nuestras prerrogativas en el caso de la Sucesión aludida.</w:t>
      </w:r>
    </w:p>
    <w:bookmarkEnd w:id="0"/>
    <w:p w14:paraId="6E8FEE6D" w14:textId="0373732F" w:rsidR="001D5B38" w:rsidRPr="0066168E" w:rsidRDefault="001D5B38" w:rsidP="00C972E0">
      <w:pPr>
        <w:spacing w:before="120" w:after="120" w:line="360" w:lineRule="auto"/>
        <w:ind w:firstLine="360"/>
        <w:jc w:val="both"/>
        <w:rPr>
          <w:rFonts w:ascii="Book Antiqua" w:hAnsi="Book Antiqua"/>
          <w:b/>
          <w:bCs/>
          <w:iCs/>
          <w:lang w:val="es-ES_tradnl"/>
        </w:rPr>
      </w:pPr>
      <w:r w:rsidRPr="0066168E">
        <w:rPr>
          <w:rFonts w:ascii="Book Antiqua" w:hAnsi="Book Antiqua"/>
          <w:b/>
          <w:bCs/>
          <w:iCs/>
          <w:lang w:val="es-ES_tradnl"/>
        </w:rPr>
        <w:t>RESUÉLVESE POR LA ASAMBLEA LEGISLATIVA DE PUERTO RICO:</w:t>
      </w:r>
    </w:p>
    <w:p w14:paraId="22BAC5A8" w14:textId="77777777" w:rsidR="001D5B38" w:rsidRPr="00756530" w:rsidRDefault="001D5B38" w:rsidP="001D5B38">
      <w:pPr>
        <w:spacing w:line="480" w:lineRule="auto"/>
        <w:jc w:val="both"/>
        <w:rPr>
          <w:rFonts w:ascii="Book Antiqua" w:hAnsi="Book Antiqua"/>
          <w:i/>
          <w:lang w:val="es-ES_tradnl"/>
        </w:rPr>
        <w:sectPr w:rsidR="001D5B38" w:rsidRPr="00756530" w:rsidSect="001D5B38">
          <w:headerReference w:type="default" r:id="rId12"/>
          <w:pgSz w:w="12240" w:h="15840" w:code="1"/>
          <w:pgMar w:top="1440" w:right="1440" w:bottom="1440" w:left="1440" w:header="720" w:footer="720" w:gutter="0"/>
          <w:cols w:space="720"/>
          <w:titlePg/>
        </w:sectPr>
      </w:pPr>
    </w:p>
    <w:p w14:paraId="723D93D2" w14:textId="1DD89541" w:rsidR="001D5B38" w:rsidRDefault="001D5B38" w:rsidP="001D5B38">
      <w:pPr>
        <w:spacing w:line="480" w:lineRule="auto"/>
        <w:ind w:firstLine="720"/>
        <w:jc w:val="both"/>
        <w:rPr>
          <w:rFonts w:ascii="Book Antiqua" w:hAnsi="Book Antiqua"/>
          <w:lang w:val="es-PR"/>
        </w:rPr>
      </w:pPr>
      <w:r w:rsidRPr="00AF014B">
        <w:rPr>
          <w:rFonts w:ascii="Book Antiqua" w:eastAsia="Aptos" w:hAnsi="Book Antiqua"/>
          <w:kern w:val="2"/>
          <w:szCs w:val="24"/>
          <w:lang w:val="es-ES"/>
        </w:rPr>
        <w:t>Sección 1.-</w:t>
      </w:r>
      <w:r w:rsidR="00627ED2">
        <w:rPr>
          <w:rFonts w:ascii="Book Antiqua" w:eastAsia="Aptos" w:hAnsi="Book Antiqua"/>
          <w:kern w:val="2"/>
          <w:szCs w:val="24"/>
          <w:lang w:val="es-ES"/>
        </w:rPr>
        <w:t xml:space="preserve"> </w:t>
      </w:r>
      <w:r w:rsidRPr="00AF014B">
        <w:rPr>
          <w:rFonts w:ascii="Book Antiqua" w:eastAsia="Aptos" w:hAnsi="Book Antiqua"/>
          <w:kern w:val="2"/>
          <w:szCs w:val="24"/>
          <w:lang w:val="es-ES"/>
        </w:rPr>
        <w:t xml:space="preserve">Se ordena </w:t>
      </w:r>
      <w:r w:rsidRPr="00C972E0">
        <w:rPr>
          <w:rFonts w:ascii="Book Antiqua" w:eastAsia="Aptos" w:hAnsi="Book Antiqua"/>
          <w:strike/>
          <w:kern w:val="2"/>
          <w:szCs w:val="24"/>
          <w:lang w:val="es-ES"/>
        </w:rPr>
        <w:t>al Departamento de Agricultura</w:t>
      </w:r>
      <w:r w:rsidRPr="00AF014B">
        <w:rPr>
          <w:rFonts w:ascii="Book Antiqua" w:eastAsia="Aptos" w:hAnsi="Book Antiqua"/>
          <w:kern w:val="2"/>
          <w:szCs w:val="24"/>
          <w:lang w:val="es-ES"/>
        </w:rPr>
        <w:t xml:space="preserve"> </w:t>
      </w:r>
      <w:r w:rsidR="00C972E0">
        <w:rPr>
          <w:rFonts w:ascii="Book Antiqua" w:eastAsia="Aptos" w:hAnsi="Book Antiqua"/>
          <w:i/>
          <w:iCs/>
          <w:kern w:val="2"/>
          <w:szCs w:val="24"/>
          <w:u w:val="single"/>
          <w:lang w:val="es-ES"/>
        </w:rPr>
        <w:t>a la Autoridad de Tierras</w:t>
      </w:r>
      <w:r w:rsidR="00C972E0">
        <w:rPr>
          <w:rFonts w:ascii="Book Antiqua" w:eastAsia="Aptos" w:hAnsi="Book Antiqua"/>
          <w:kern w:val="2"/>
          <w:szCs w:val="24"/>
          <w:lang w:val="es-ES"/>
        </w:rPr>
        <w:t xml:space="preserve"> </w:t>
      </w:r>
      <w:r w:rsidRPr="00AF014B">
        <w:rPr>
          <w:rFonts w:ascii="Book Antiqua" w:eastAsia="Aptos" w:hAnsi="Book Antiqua"/>
          <w:kern w:val="2"/>
          <w:szCs w:val="24"/>
          <w:lang w:val="es-ES"/>
        </w:rPr>
        <w:t>y a la Junta de Planificación de</w:t>
      </w:r>
      <w:r>
        <w:rPr>
          <w:rFonts w:ascii="Book Antiqua" w:eastAsia="Aptos" w:hAnsi="Book Antiqua"/>
          <w:kern w:val="2"/>
          <w:szCs w:val="24"/>
          <w:lang w:val="es-ES"/>
        </w:rPr>
        <w:t xml:space="preserve"> </w:t>
      </w:r>
      <w:r w:rsidRPr="00AF014B">
        <w:rPr>
          <w:rFonts w:ascii="Book Antiqua" w:eastAsia="Aptos" w:hAnsi="Book Antiqua"/>
          <w:kern w:val="2"/>
          <w:szCs w:val="24"/>
          <w:lang w:val="es-ES"/>
        </w:rPr>
        <w:t>Puerto Rico</w:t>
      </w:r>
      <w:r w:rsidR="00C972E0">
        <w:rPr>
          <w:rFonts w:ascii="Book Antiqua" w:eastAsia="Aptos" w:hAnsi="Book Antiqua"/>
          <w:i/>
          <w:iCs/>
          <w:kern w:val="2"/>
          <w:szCs w:val="24"/>
          <w:u w:val="single"/>
          <w:lang w:val="es-ES"/>
        </w:rPr>
        <w:t>,</w:t>
      </w:r>
      <w:r w:rsidRPr="00AF014B">
        <w:rPr>
          <w:rFonts w:ascii="Book Antiqua" w:eastAsia="Aptos" w:hAnsi="Book Antiqua"/>
          <w:kern w:val="2"/>
          <w:szCs w:val="24"/>
          <w:lang w:val="es-ES"/>
        </w:rPr>
        <w:t xml:space="preserve"> </w:t>
      </w:r>
      <w:r>
        <w:rPr>
          <w:rFonts w:ascii="Book Antiqua" w:eastAsia="Aptos" w:hAnsi="Book Antiqua"/>
          <w:kern w:val="2"/>
          <w:szCs w:val="24"/>
          <w:lang w:val="es-ES"/>
        </w:rPr>
        <w:t xml:space="preserve">a </w:t>
      </w:r>
      <w:r w:rsidRPr="00AF014B">
        <w:rPr>
          <w:rFonts w:ascii="Book Antiqua" w:eastAsia="Aptos" w:hAnsi="Book Antiqua"/>
          <w:kern w:val="2"/>
          <w:szCs w:val="24"/>
          <w:lang w:val="es-ES"/>
        </w:rPr>
        <w:t xml:space="preserve">proceder con la liberación de las condiciones restrictivas contenidas </w:t>
      </w:r>
      <w:r w:rsidRPr="001D5B38">
        <w:rPr>
          <w:rFonts w:ascii="Book Antiqua" w:hAnsi="Book Antiqua"/>
          <w:lang w:val="es-ES_tradnl"/>
        </w:rPr>
        <w:t xml:space="preserve">en la Escritura Pública número 64, otorgada en San Juan, Puerto Rico, el día 11 de mayo de 1972 ante el Notario Público Bolívar Dones Rivera, sobre la finca número 4,281, inscrita en el folio 18 del tomo 94 del Registro de la Propiedad de Barranquitas. Dicha escritura consta a favor de </w:t>
      </w:r>
      <w:r w:rsidR="00C43FBB">
        <w:rPr>
          <w:rFonts w:ascii="Book Antiqua" w:hAnsi="Book Antiqua"/>
          <w:lang w:val="es-ES_tradnl"/>
        </w:rPr>
        <w:t>D</w:t>
      </w:r>
      <w:r w:rsidRPr="001D5B38">
        <w:rPr>
          <w:rFonts w:ascii="Book Antiqua" w:hAnsi="Book Antiqua"/>
          <w:lang w:val="es-ES_tradnl"/>
        </w:rPr>
        <w:t xml:space="preserve">on Pablo Otero Rodríguez y </w:t>
      </w:r>
      <w:r w:rsidR="00C43FBB">
        <w:rPr>
          <w:rFonts w:ascii="Book Antiqua" w:hAnsi="Book Antiqua"/>
          <w:lang w:val="es-ES_tradnl"/>
        </w:rPr>
        <w:t>D</w:t>
      </w:r>
      <w:r w:rsidRPr="001D5B38">
        <w:rPr>
          <w:rFonts w:ascii="Book Antiqua" w:hAnsi="Book Antiqua"/>
          <w:lang w:val="es-ES_tradnl"/>
        </w:rPr>
        <w:t>oña Eulogia Ortiz</w:t>
      </w:r>
      <w:r>
        <w:rPr>
          <w:rFonts w:ascii="Book Antiqua" w:hAnsi="Book Antiqua"/>
          <w:lang w:val="es-ES_tradnl"/>
        </w:rPr>
        <w:t>.</w:t>
      </w:r>
    </w:p>
    <w:p w14:paraId="3F5CDEAB" w14:textId="77777777" w:rsidR="006D0BCA" w:rsidRPr="001D5B38" w:rsidRDefault="001D5B38" w:rsidP="001D5B38">
      <w:pPr>
        <w:spacing w:line="480" w:lineRule="auto"/>
        <w:ind w:firstLine="720"/>
        <w:jc w:val="both"/>
        <w:rPr>
          <w:rFonts w:ascii="Book Antiqua" w:hAnsi="Book Antiqua"/>
          <w:lang w:val="es-PR"/>
        </w:rPr>
      </w:pPr>
      <w:r w:rsidRPr="00AF014B">
        <w:rPr>
          <w:rFonts w:ascii="Book Antiqua" w:eastAsia="Aptos" w:hAnsi="Book Antiqua"/>
          <w:kern w:val="2"/>
          <w:szCs w:val="24"/>
          <w:lang w:val="es-ES"/>
        </w:rPr>
        <w:t xml:space="preserve">Sección </w:t>
      </w:r>
      <w:r w:rsidR="00ED0C88">
        <w:rPr>
          <w:rFonts w:ascii="Book Antiqua" w:eastAsia="Aptos" w:hAnsi="Book Antiqua"/>
          <w:kern w:val="2"/>
          <w:szCs w:val="24"/>
          <w:lang w:val="es-ES"/>
        </w:rPr>
        <w:t>2</w:t>
      </w:r>
      <w:r w:rsidRPr="00AF014B">
        <w:rPr>
          <w:rFonts w:ascii="Book Antiqua" w:eastAsia="Aptos" w:hAnsi="Book Antiqua"/>
          <w:kern w:val="2"/>
          <w:szCs w:val="24"/>
          <w:lang w:val="es-ES"/>
        </w:rPr>
        <w:t>.- Esta Resolución</w:t>
      </w:r>
      <w:r w:rsidR="00555AB9">
        <w:rPr>
          <w:rFonts w:ascii="Book Antiqua" w:eastAsia="Aptos" w:hAnsi="Book Antiqua"/>
          <w:kern w:val="2"/>
          <w:szCs w:val="24"/>
          <w:lang w:val="es-ES"/>
        </w:rPr>
        <w:t xml:space="preserve"> Conjunta</w:t>
      </w:r>
      <w:r w:rsidRPr="00AF014B">
        <w:rPr>
          <w:rFonts w:ascii="Book Antiqua" w:eastAsia="Aptos" w:hAnsi="Book Antiqua"/>
          <w:kern w:val="2"/>
          <w:szCs w:val="24"/>
          <w:lang w:val="es-ES"/>
        </w:rPr>
        <w:t xml:space="preserve"> entrará en vigor inmediatamente luego de su aprobación.</w:t>
      </w:r>
    </w:p>
    <w:sectPr w:rsidR="006D0BCA" w:rsidRPr="001D5B38" w:rsidSect="001D5B38">
      <w:type w:val="continuous"/>
      <w:pgSz w:w="12240" w:h="15840" w:code="1"/>
      <w:pgMar w:top="1440" w:right="1440" w:bottom="1440" w:left="1757"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0CF9EE" w14:textId="77777777" w:rsidR="00EB2F91" w:rsidRDefault="00EB2F91">
      <w:r>
        <w:separator/>
      </w:r>
    </w:p>
  </w:endnote>
  <w:endnote w:type="continuationSeparator" w:id="0">
    <w:p w14:paraId="7B1C2CC7" w14:textId="77777777" w:rsidR="00EB2F91" w:rsidRDefault="00EB2F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BB8002" w14:textId="77777777" w:rsidR="00EB2F91" w:rsidRDefault="00EB2F91">
      <w:r>
        <w:separator/>
      </w:r>
    </w:p>
  </w:footnote>
  <w:footnote w:type="continuationSeparator" w:id="0">
    <w:p w14:paraId="6EE93581" w14:textId="77777777" w:rsidR="00EB2F91" w:rsidRDefault="00EB2F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1B93D2" w14:textId="77777777" w:rsidR="0035699E" w:rsidRDefault="0040665D">
    <w:pPr>
      <w:pStyle w:val="Header"/>
      <w:jc w:val="center"/>
    </w:pPr>
    <w:r w:rsidRPr="00AF014B">
      <w:rPr>
        <w:rStyle w:val="PageNumber"/>
      </w:rPr>
      <w:fldChar w:fldCharType="begin"/>
    </w:r>
    <w:r w:rsidRPr="00AF014B">
      <w:rPr>
        <w:rStyle w:val="PageNumber"/>
      </w:rPr>
      <w:instrText xml:space="preserve"> PAGE </w:instrText>
    </w:r>
    <w:r w:rsidRPr="00AF014B">
      <w:rPr>
        <w:rStyle w:val="PageNumber"/>
      </w:rPr>
      <w:fldChar w:fldCharType="separate"/>
    </w:r>
    <w:r w:rsidRPr="00AF014B">
      <w:rPr>
        <w:rStyle w:val="PageNumber"/>
        <w:noProof/>
      </w:rPr>
      <w:t>4</w:t>
    </w:r>
    <w:r w:rsidRPr="00AF014B">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5B38"/>
    <w:rsid w:val="00064707"/>
    <w:rsid w:val="00110A02"/>
    <w:rsid w:val="00122C6C"/>
    <w:rsid w:val="00155A54"/>
    <w:rsid w:val="001722DC"/>
    <w:rsid w:val="001D5B38"/>
    <w:rsid w:val="002278C2"/>
    <w:rsid w:val="002C788D"/>
    <w:rsid w:val="0030303D"/>
    <w:rsid w:val="003072D8"/>
    <w:rsid w:val="0035699E"/>
    <w:rsid w:val="003A2CAE"/>
    <w:rsid w:val="0040665D"/>
    <w:rsid w:val="00555AB9"/>
    <w:rsid w:val="005B7DC7"/>
    <w:rsid w:val="00627ED2"/>
    <w:rsid w:val="0066168E"/>
    <w:rsid w:val="006D0BCA"/>
    <w:rsid w:val="00723C07"/>
    <w:rsid w:val="0072418A"/>
    <w:rsid w:val="007B188E"/>
    <w:rsid w:val="00832BE0"/>
    <w:rsid w:val="008B72B9"/>
    <w:rsid w:val="00905B92"/>
    <w:rsid w:val="009377DB"/>
    <w:rsid w:val="0098332B"/>
    <w:rsid w:val="009A00F8"/>
    <w:rsid w:val="009E5B99"/>
    <w:rsid w:val="009F51C0"/>
    <w:rsid w:val="00A13AD3"/>
    <w:rsid w:val="00B155AA"/>
    <w:rsid w:val="00C43FBB"/>
    <w:rsid w:val="00C53156"/>
    <w:rsid w:val="00C972E0"/>
    <w:rsid w:val="00D33781"/>
    <w:rsid w:val="00E71040"/>
    <w:rsid w:val="00EB2F91"/>
    <w:rsid w:val="00ED0C88"/>
    <w:rsid w:val="00FB006F"/>
    <w:rsid w:val="00FD30AB"/>
    <w:rsid w:val="00FE3D9D"/>
  </w:rsids>
  <m:mathPr>
    <m:mathFont m:val="Cambria Math"/>
    <m:brkBin m:val="before"/>
    <m:brkBinSub m:val="--"/>
    <m:smallFrac m:val="0"/>
    <m:dispDef/>
    <m:lMargin m:val="0"/>
    <m:rMargin m:val="0"/>
    <m:defJc m:val="centerGroup"/>
    <m:wrapIndent m:val="1440"/>
    <m:intLim m:val="subSup"/>
    <m:naryLim m:val="undOvr"/>
  </m:mathPr>
  <w:themeFontLang w:val="es-P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7746EB"/>
  <w15:chartTrackingRefBased/>
  <w15:docId w15:val="{6226DC4E-67C5-4C61-BC28-2786731DE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5B38"/>
    <w:rPr>
      <w:rFonts w:ascii="Times New Roman" w:eastAsia="Times New Roman" w:hAnsi="Times New Roman"/>
      <w:sz w:val="24"/>
      <w:lang w:val="en-US" w:eastAsia="en-US"/>
    </w:rPr>
  </w:style>
  <w:style w:type="paragraph" w:styleId="Heading1">
    <w:name w:val="heading 1"/>
    <w:basedOn w:val="Normal"/>
    <w:next w:val="Normal"/>
    <w:link w:val="Heading1Char"/>
    <w:uiPriority w:val="9"/>
    <w:qFormat/>
    <w:rsid w:val="001D5B38"/>
    <w:pPr>
      <w:keepNext/>
      <w:keepLines/>
      <w:spacing w:before="360" w:after="80" w:line="278" w:lineRule="auto"/>
      <w:outlineLvl w:val="0"/>
    </w:pPr>
    <w:rPr>
      <w:rFonts w:ascii="Aptos Display" w:hAnsi="Aptos Display"/>
      <w:color w:val="0F4761"/>
      <w:kern w:val="2"/>
      <w:sz w:val="40"/>
      <w:szCs w:val="40"/>
    </w:rPr>
  </w:style>
  <w:style w:type="paragraph" w:styleId="Heading2">
    <w:name w:val="heading 2"/>
    <w:basedOn w:val="Normal"/>
    <w:next w:val="Normal"/>
    <w:link w:val="Heading2Char"/>
    <w:uiPriority w:val="9"/>
    <w:semiHidden/>
    <w:unhideWhenUsed/>
    <w:qFormat/>
    <w:rsid w:val="001D5B38"/>
    <w:pPr>
      <w:keepNext/>
      <w:keepLines/>
      <w:spacing w:before="160" w:after="80" w:line="278" w:lineRule="auto"/>
      <w:outlineLvl w:val="1"/>
    </w:pPr>
    <w:rPr>
      <w:rFonts w:ascii="Aptos Display" w:hAnsi="Aptos Display"/>
      <w:color w:val="0F4761"/>
      <w:kern w:val="2"/>
      <w:sz w:val="32"/>
      <w:szCs w:val="32"/>
    </w:rPr>
  </w:style>
  <w:style w:type="paragraph" w:styleId="Heading3">
    <w:name w:val="heading 3"/>
    <w:basedOn w:val="Normal"/>
    <w:next w:val="Normal"/>
    <w:link w:val="Heading3Char"/>
    <w:uiPriority w:val="9"/>
    <w:semiHidden/>
    <w:unhideWhenUsed/>
    <w:qFormat/>
    <w:rsid w:val="001D5B38"/>
    <w:pPr>
      <w:keepNext/>
      <w:keepLines/>
      <w:spacing w:before="160" w:after="80" w:line="278" w:lineRule="auto"/>
      <w:outlineLvl w:val="2"/>
    </w:pPr>
    <w:rPr>
      <w:rFonts w:ascii="Aptos" w:hAnsi="Aptos"/>
      <w:color w:val="0F4761"/>
      <w:kern w:val="2"/>
      <w:sz w:val="28"/>
      <w:szCs w:val="28"/>
    </w:rPr>
  </w:style>
  <w:style w:type="paragraph" w:styleId="Heading4">
    <w:name w:val="heading 4"/>
    <w:basedOn w:val="Normal"/>
    <w:next w:val="Normal"/>
    <w:link w:val="Heading4Char"/>
    <w:uiPriority w:val="9"/>
    <w:semiHidden/>
    <w:unhideWhenUsed/>
    <w:qFormat/>
    <w:rsid w:val="001D5B38"/>
    <w:pPr>
      <w:keepNext/>
      <w:keepLines/>
      <w:spacing w:before="80" w:after="40" w:line="278" w:lineRule="auto"/>
      <w:outlineLvl w:val="3"/>
    </w:pPr>
    <w:rPr>
      <w:rFonts w:ascii="Aptos" w:hAnsi="Aptos"/>
      <w:i/>
      <w:iCs/>
      <w:color w:val="0F4761"/>
      <w:kern w:val="2"/>
      <w:szCs w:val="24"/>
    </w:rPr>
  </w:style>
  <w:style w:type="paragraph" w:styleId="Heading5">
    <w:name w:val="heading 5"/>
    <w:basedOn w:val="Normal"/>
    <w:next w:val="Normal"/>
    <w:link w:val="Heading5Char"/>
    <w:uiPriority w:val="9"/>
    <w:semiHidden/>
    <w:unhideWhenUsed/>
    <w:qFormat/>
    <w:rsid w:val="001D5B38"/>
    <w:pPr>
      <w:keepNext/>
      <w:keepLines/>
      <w:spacing w:before="80" w:after="40" w:line="278" w:lineRule="auto"/>
      <w:outlineLvl w:val="4"/>
    </w:pPr>
    <w:rPr>
      <w:rFonts w:ascii="Aptos" w:hAnsi="Aptos"/>
      <w:color w:val="0F4761"/>
      <w:kern w:val="2"/>
      <w:szCs w:val="24"/>
    </w:rPr>
  </w:style>
  <w:style w:type="paragraph" w:styleId="Heading6">
    <w:name w:val="heading 6"/>
    <w:basedOn w:val="Normal"/>
    <w:next w:val="Normal"/>
    <w:link w:val="Heading6Char"/>
    <w:uiPriority w:val="9"/>
    <w:semiHidden/>
    <w:unhideWhenUsed/>
    <w:qFormat/>
    <w:rsid w:val="001D5B38"/>
    <w:pPr>
      <w:keepNext/>
      <w:keepLines/>
      <w:spacing w:before="40" w:line="278" w:lineRule="auto"/>
      <w:outlineLvl w:val="5"/>
    </w:pPr>
    <w:rPr>
      <w:rFonts w:ascii="Aptos" w:hAnsi="Aptos"/>
      <w:i/>
      <w:iCs/>
      <w:color w:val="595959"/>
      <w:kern w:val="2"/>
      <w:szCs w:val="24"/>
    </w:rPr>
  </w:style>
  <w:style w:type="paragraph" w:styleId="Heading7">
    <w:name w:val="heading 7"/>
    <w:basedOn w:val="Normal"/>
    <w:next w:val="Normal"/>
    <w:link w:val="Heading7Char"/>
    <w:uiPriority w:val="9"/>
    <w:semiHidden/>
    <w:unhideWhenUsed/>
    <w:qFormat/>
    <w:rsid w:val="001D5B38"/>
    <w:pPr>
      <w:keepNext/>
      <w:keepLines/>
      <w:spacing w:before="40" w:line="278" w:lineRule="auto"/>
      <w:outlineLvl w:val="6"/>
    </w:pPr>
    <w:rPr>
      <w:rFonts w:ascii="Aptos" w:hAnsi="Aptos"/>
      <w:color w:val="595959"/>
      <w:kern w:val="2"/>
      <w:szCs w:val="24"/>
    </w:rPr>
  </w:style>
  <w:style w:type="paragraph" w:styleId="Heading8">
    <w:name w:val="heading 8"/>
    <w:basedOn w:val="Normal"/>
    <w:next w:val="Normal"/>
    <w:link w:val="Heading8Char"/>
    <w:uiPriority w:val="9"/>
    <w:semiHidden/>
    <w:unhideWhenUsed/>
    <w:qFormat/>
    <w:rsid w:val="001D5B38"/>
    <w:pPr>
      <w:keepNext/>
      <w:keepLines/>
      <w:spacing w:line="278" w:lineRule="auto"/>
      <w:outlineLvl w:val="7"/>
    </w:pPr>
    <w:rPr>
      <w:rFonts w:ascii="Aptos" w:hAnsi="Aptos"/>
      <w:i/>
      <w:iCs/>
      <w:color w:val="272727"/>
      <w:kern w:val="2"/>
      <w:szCs w:val="24"/>
    </w:rPr>
  </w:style>
  <w:style w:type="paragraph" w:styleId="Heading9">
    <w:name w:val="heading 9"/>
    <w:basedOn w:val="Normal"/>
    <w:next w:val="Normal"/>
    <w:link w:val="Heading9Char"/>
    <w:uiPriority w:val="9"/>
    <w:semiHidden/>
    <w:unhideWhenUsed/>
    <w:qFormat/>
    <w:rsid w:val="001D5B38"/>
    <w:pPr>
      <w:keepNext/>
      <w:keepLines/>
      <w:spacing w:line="278" w:lineRule="auto"/>
      <w:outlineLvl w:val="8"/>
    </w:pPr>
    <w:rPr>
      <w:rFonts w:ascii="Aptos" w:hAnsi="Aptos"/>
      <w:color w:val="272727"/>
      <w:kern w:val="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1D5B38"/>
    <w:rPr>
      <w:rFonts w:ascii="Aptos Display" w:eastAsia="Times New Roman" w:hAnsi="Aptos Display" w:cs="Times New Roman"/>
      <w:color w:val="0F4761"/>
      <w:sz w:val="40"/>
      <w:szCs w:val="40"/>
    </w:rPr>
  </w:style>
  <w:style w:type="character" w:customStyle="1" w:styleId="Heading2Char">
    <w:name w:val="Heading 2 Char"/>
    <w:link w:val="Heading2"/>
    <w:uiPriority w:val="9"/>
    <w:semiHidden/>
    <w:rsid w:val="001D5B38"/>
    <w:rPr>
      <w:rFonts w:ascii="Aptos Display" w:eastAsia="Times New Roman" w:hAnsi="Aptos Display" w:cs="Times New Roman"/>
      <w:color w:val="0F4761"/>
      <w:sz w:val="32"/>
      <w:szCs w:val="32"/>
    </w:rPr>
  </w:style>
  <w:style w:type="character" w:customStyle="1" w:styleId="Heading3Char">
    <w:name w:val="Heading 3 Char"/>
    <w:link w:val="Heading3"/>
    <w:uiPriority w:val="9"/>
    <w:semiHidden/>
    <w:rsid w:val="001D5B38"/>
    <w:rPr>
      <w:rFonts w:eastAsia="Times New Roman" w:cs="Times New Roman"/>
      <w:color w:val="0F4761"/>
      <w:sz w:val="28"/>
      <w:szCs w:val="28"/>
    </w:rPr>
  </w:style>
  <w:style w:type="character" w:customStyle="1" w:styleId="Heading4Char">
    <w:name w:val="Heading 4 Char"/>
    <w:link w:val="Heading4"/>
    <w:uiPriority w:val="9"/>
    <w:semiHidden/>
    <w:rsid w:val="001D5B38"/>
    <w:rPr>
      <w:rFonts w:eastAsia="Times New Roman" w:cs="Times New Roman"/>
      <w:i/>
      <w:iCs/>
      <w:color w:val="0F4761"/>
    </w:rPr>
  </w:style>
  <w:style w:type="character" w:customStyle="1" w:styleId="Heading5Char">
    <w:name w:val="Heading 5 Char"/>
    <w:link w:val="Heading5"/>
    <w:uiPriority w:val="9"/>
    <w:semiHidden/>
    <w:rsid w:val="001D5B38"/>
    <w:rPr>
      <w:rFonts w:eastAsia="Times New Roman" w:cs="Times New Roman"/>
      <w:color w:val="0F4761"/>
    </w:rPr>
  </w:style>
  <w:style w:type="character" w:customStyle="1" w:styleId="Heading6Char">
    <w:name w:val="Heading 6 Char"/>
    <w:link w:val="Heading6"/>
    <w:uiPriority w:val="9"/>
    <w:semiHidden/>
    <w:rsid w:val="001D5B38"/>
    <w:rPr>
      <w:rFonts w:eastAsia="Times New Roman" w:cs="Times New Roman"/>
      <w:i/>
      <w:iCs/>
      <w:color w:val="595959"/>
    </w:rPr>
  </w:style>
  <w:style w:type="character" w:customStyle="1" w:styleId="Heading7Char">
    <w:name w:val="Heading 7 Char"/>
    <w:link w:val="Heading7"/>
    <w:uiPriority w:val="9"/>
    <w:semiHidden/>
    <w:rsid w:val="001D5B38"/>
    <w:rPr>
      <w:rFonts w:eastAsia="Times New Roman" w:cs="Times New Roman"/>
      <w:color w:val="595959"/>
    </w:rPr>
  </w:style>
  <w:style w:type="character" w:customStyle="1" w:styleId="Heading8Char">
    <w:name w:val="Heading 8 Char"/>
    <w:link w:val="Heading8"/>
    <w:uiPriority w:val="9"/>
    <w:semiHidden/>
    <w:rsid w:val="001D5B38"/>
    <w:rPr>
      <w:rFonts w:eastAsia="Times New Roman" w:cs="Times New Roman"/>
      <w:i/>
      <w:iCs/>
      <w:color w:val="272727"/>
    </w:rPr>
  </w:style>
  <w:style w:type="character" w:customStyle="1" w:styleId="Heading9Char">
    <w:name w:val="Heading 9 Char"/>
    <w:link w:val="Heading9"/>
    <w:uiPriority w:val="9"/>
    <w:semiHidden/>
    <w:rsid w:val="001D5B38"/>
    <w:rPr>
      <w:rFonts w:eastAsia="Times New Roman" w:cs="Times New Roman"/>
      <w:color w:val="272727"/>
    </w:rPr>
  </w:style>
  <w:style w:type="paragraph" w:styleId="Title">
    <w:name w:val="Title"/>
    <w:basedOn w:val="Normal"/>
    <w:next w:val="Normal"/>
    <w:link w:val="TitleChar"/>
    <w:uiPriority w:val="10"/>
    <w:qFormat/>
    <w:rsid w:val="001D5B38"/>
    <w:pPr>
      <w:spacing w:after="80"/>
      <w:contextualSpacing/>
    </w:pPr>
    <w:rPr>
      <w:rFonts w:ascii="Aptos Display" w:hAnsi="Aptos Display"/>
      <w:spacing w:val="-10"/>
      <w:kern w:val="28"/>
      <w:sz w:val="56"/>
      <w:szCs w:val="56"/>
    </w:rPr>
  </w:style>
  <w:style w:type="character" w:customStyle="1" w:styleId="TitleChar">
    <w:name w:val="Title Char"/>
    <w:link w:val="Title"/>
    <w:uiPriority w:val="10"/>
    <w:rsid w:val="001D5B38"/>
    <w:rPr>
      <w:rFonts w:ascii="Aptos Display" w:eastAsia="Times New Roman" w:hAnsi="Aptos Display" w:cs="Times New Roman"/>
      <w:spacing w:val="-10"/>
      <w:kern w:val="28"/>
      <w:sz w:val="56"/>
      <w:szCs w:val="56"/>
    </w:rPr>
  </w:style>
  <w:style w:type="paragraph" w:styleId="Subtitle">
    <w:name w:val="Subtitle"/>
    <w:basedOn w:val="Normal"/>
    <w:next w:val="Normal"/>
    <w:link w:val="SubtitleChar"/>
    <w:uiPriority w:val="11"/>
    <w:qFormat/>
    <w:rsid w:val="001D5B38"/>
    <w:pPr>
      <w:numPr>
        <w:ilvl w:val="1"/>
      </w:numPr>
      <w:spacing w:after="160" w:line="278" w:lineRule="auto"/>
    </w:pPr>
    <w:rPr>
      <w:rFonts w:ascii="Aptos" w:hAnsi="Aptos"/>
      <w:color w:val="595959"/>
      <w:spacing w:val="15"/>
      <w:kern w:val="2"/>
      <w:sz w:val="28"/>
      <w:szCs w:val="28"/>
    </w:rPr>
  </w:style>
  <w:style w:type="character" w:customStyle="1" w:styleId="SubtitleChar">
    <w:name w:val="Subtitle Char"/>
    <w:link w:val="Subtitle"/>
    <w:uiPriority w:val="11"/>
    <w:rsid w:val="001D5B38"/>
    <w:rPr>
      <w:rFonts w:eastAsia="Times New Roman" w:cs="Times New Roman"/>
      <w:color w:val="595959"/>
      <w:spacing w:val="15"/>
      <w:sz w:val="28"/>
      <w:szCs w:val="28"/>
    </w:rPr>
  </w:style>
  <w:style w:type="paragraph" w:styleId="Quote">
    <w:name w:val="Quote"/>
    <w:basedOn w:val="Normal"/>
    <w:next w:val="Normal"/>
    <w:link w:val="QuoteChar"/>
    <w:uiPriority w:val="29"/>
    <w:qFormat/>
    <w:rsid w:val="001D5B38"/>
    <w:pPr>
      <w:spacing w:before="160" w:after="160" w:line="278" w:lineRule="auto"/>
      <w:jc w:val="center"/>
    </w:pPr>
    <w:rPr>
      <w:rFonts w:ascii="Aptos" w:eastAsia="Aptos" w:hAnsi="Aptos"/>
      <w:i/>
      <w:iCs/>
      <w:color w:val="404040"/>
      <w:kern w:val="2"/>
      <w:szCs w:val="24"/>
    </w:rPr>
  </w:style>
  <w:style w:type="character" w:customStyle="1" w:styleId="QuoteChar">
    <w:name w:val="Quote Char"/>
    <w:link w:val="Quote"/>
    <w:uiPriority w:val="29"/>
    <w:rsid w:val="001D5B38"/>
    <w:rPr>
      <w:i/>
      <w:iCs/>
      <w:color w:val="404040"/>
    </w:rPr>
  </w:style>
  <w:style w:type="paragraph" w:styleId="ListParagraph">
    <w:name w:val="List Paragraph"/>
    <w:basedOn w:val="Normal"/>
    <w:uiPriority w:val="34"/>
    <w:qFormat/>
    <w:rsid w:val="001D5B38"/>
    <w:pPr>
      <w:spacing w:after="160" w:line="278" w:lineRule="auto"/>
      <w:ind w:left="720"/>
      <w:contextualSpacing/>
    </w:pPr>
    <w:rPr>
      <w:rFonts w:ascii="Aptos" w:eastAsia="Aptos" w:hAnsi="Aptos"/>
      <w:kern w:val="2"/>
      <w:szCs w:val="24"/>
    </w:rPr>
  </w:style>
  <w:style w:type="character" w:styleId="IntenseEmphasis">
    <w:name w:val="Intense Emphasis"/>
    <w:uiPriority w:val="21"/>
    <w:qFormat/>
    <w:rsid w:val="001D5B38"/>
    <w:rPr>
      <w:i/>
      <w:iCs/>
      <w:color w:val="0F4761"/>
    </w:rPr>
  </w:style>
  <w:style w:type="paragraph" w:styleId="IntenseQuote">
    <w:name w:val="Intense Quote"/>
    <w:basedOn w:val="Normal"/>
    <w:next w:val="Normal"/>
    <w:link w:val="IntenseQuoteChar"/>
    <w:uiPriority w:val="30"/>
    <w:qFormat/>
    <w:rsid w:val="001D5B38"/>
    <w:pPr>
      <w:pBdr>
        <w:top w:val="single" w:sz="4" w:space="10" w:color="0F4761"/>
        <w:bottom w:val="single" w:sz="4" w:space="10" w:color="0F4761"/>
      </w:pBdr>
      <w:spacing w:before="360" w:after="360" w:line="278" w:lineRule="auto"/>
      <w:ind w:left="864" w:right="864"/>
      <w:jc w:val="center"/>
    </w:pPr>
    <w:rPr>
      <w:rFonts w:ascii="Aptos" w:eastAsia="Aptos" w:hAnsi="Aptos"/>
      <w:i/>
      <w:iCs/>
      <w:color w:val="0F4761"/>
      <w:kern w:val="2"/>
      <w:szCs w:val="24"/>
    </w:rPr>
  </w:style>
  <w:style w:type="character" w:customStyle="1" w:styleId="IntenseQuoteChar">
    <w:name w:val="Intense Quote Char"/>
    <w:link w:val="IntenseQuote"/>
    <w:uiPriority w:val="30"/>
    <w:rsid w:val="001D5B38"/>
    <w:rPr>
      <w:i/>
      <w:iCs/>
      <w:color w:val="0F4761"/>
    </w:rPr>
  </w:style>
  <w:style w:type="character" w:styleId="IntenseReference">
    <w:name w:val="Intense Reference"/>
    <w:uiPriority w:val="32"/>
    <w:qFormat/>
    <w:rsid w:val="001D5B38"/>
    <w:rPr>
      <w:b/>
      <w:bCs/>
      <w:smallCaps/>
      <w:color w:val="0F4761"/>
      <w:spacing w:val="5"/>
    </w:rPr>
  </w:style>
  <w:style w:type="paragraph" w:customStyle="1" w:styleId="Title2">
    <w:name w:val="Title2"/>
    <w:basedOn w:val="Normal"/>
    <w:next w:val="Normal"/>
    <w:rsid w:val="001D5B38"/>
    <w:pPr>
      <w:tabs>
        <w:tab w:val="left" w:pos="648"/>
        <w:tab w:val="right" w:pos="7776"/>
        <w:tab w:val="left" w:pos="7848"/>
      </w:tabs>
    </w:pPr>
  </w:style>
  <w:style w:type="paragraph" w:styleId="Header">
    <w:name w:val="header"/>
    <w:basedOn w:val="Normal"/>
    <w:link w:val="HeaderChar"/>
    <w:rsid w:val="001D5B38"/>
    <w:pPr>
      <w:tabs>
        <w:tab w:val="center" w:pos="4320"/>
        <w:tab w:val="right" w:pos="8640"/>
      </w:tabs>
    </w:pPr>
  </w:style>
  <w:style w:type="character" w:customStyle="1" w:styleId="HeaderChar">
    <w:name w:val="Header Char"/>
    <w:link w:val="Header"/>
    <w:rsid w:val="001D5B38"/>
    <w:rPr>
      <w:rFonts w:ascii="Times New Roman" w:eastAsia="Times New Roman" w:hAnsi="Times New Roman" w:cs="Times New Roman"/>
      <w:kern w:val="0"/>
      <w:szCs w:val="20"/>
    </w:rPr>
  </w:style>
  <w:style w:type="character" w:styleId="PageNumber">
    <w:name w:val="page number"/>
    <w:basedOn w:val="DefaultParagraphFont"/>
    <w:rsid w:val="001D5B38"/>
  </w:style>
  <w:style w:type="character" w:styleId="LineNumber">
    <w:name w:val="line number"/>
    <w:basedOn w:val="DefaultParagraphFont"/>
    <w:uiPriority w:val="99"/>
    <w:semiHidden/>
    <w:unhideWhenUsed/>
    <w:rsid w:val="001D5B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3856018">
      <w:bodyDiv w:val="1"/>
      <w:marLeft w:val="0"/>
      <w:marRight w:val="0"/>
      <w:marTop w:val="0"/>
      <w:marBottom w:val="0"/>
      <w:divBdr>
        <w:top w:val="none" w:sz="0" w:space="0" w:color="auto"/>
        <w:left w:val="none" w:sz="0" w:space="0" w:color="auto"/>
        <w:bottom w:val="none" w:sz="0" w:space="0" w:color="auto"/>
        <w:right w:val="none" w:sz="0" w:space="0" w:color="auto"/>
      </w:divBdr>
    </w:div>
    <w:div w:id="1554005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4SQX5P7U7WPY-958212181-816622</_dlc_DocId>
    <_dlc_DocIdUrl xmlns="c890fddd-4e87-4e08-8b51-545f2a3f7b06">
      <Url>https://senpr.sharepoint.com/sites/obralegislativa/_layouts/15/DocIdRedir.aspx?ID=4SQX5P7U7WPY-958212181-816622</Url>
      <Description>4SQX5P7U7WPY-958212181-816622</Description>
    </_dlc_DocIdUrl>
  </documentManagement>
</p:properties>
</file>

<file path=customXml/item3.xml><?xml version="1.0" encoding="utf-8"?>
<LongProperties xmlns="http://schemas.microsoft.com/office/2006/metadata/long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C7D952-BAF2-46EE-B287-376C6BEB94B2}">
  <ds:schemaRefs>
    <ds:schemaRef ds:uri="http://schemas.microsoft.com/sharepoint/v3/contenttype/forms"/>
  </ds:schemaRefs>
</ds:datastoreItem>
</file>

<file path=customXml/itemProps2.xml><?xml version="1.0" encoding="utf-8"?>
<ds:datastoreItem xmlns:ds="http://schemas.openxmlformats.org/officeDocument/2006/customXml" ds:itemID="{725A8F68-75CB-4481-968D-A051B07AB2CE}">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3.xml><?xml version="1.0" encoding="utf-8"?>
<ds:datastoreItem xmlns:ds="http://schemas.openxmlformats.org/officeDocument/2006/customXml" ds:itemID="{CF412276-3588-440F-885C-BEE0265260E7}">
  <ds:schemaRefs>
    <ds:schemaRef ds:uri="http://schemas.microsoft.com/office/2006/metadata/longProperties"/>
  </ds:schemaRefs>
</ds:datastoreItem>
</file>

<file path=customXml/itemProps4.xml><?xml version="1.0" encoding="utf-8"?>
<ds:datastoreItem xmlns:ds="http://schemas.openxmlformats.org/officeDocument/2006/customXml" ds:itemID="{E67B590D-98BE-4F09-BE1E-4C1E0A7D5598}">
  <ds:schemaRefs>
    <ds:schemaRef ds:uri="http://schemas.microsoft.com/sharepoint/events"/>
  </ds:schemaRefs>
</ds:datastoreItem>
</file>

<file path=customXml/itemProps5.xml><?xml version="1.0" encoding="utf-8"?>
<ds:datastoreItem xmlns:ds="http://schemas.openxmlformats.org/officeDocument/2006/customXml" ds:itemID="{FF36762E-9BC3-4265-9F6A-BF7BD656F0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F6D7B83A-A9F2-4FCD-8C1B-20E33B9C74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723</Words>
  <Characters>4125</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Valerie Vargas Rodríguez (Sen. Rafael Santos Ortiz)</dc:creator>
  <cp:keywords/>
  <dc:description/>
  <cp:lastModifiedBy>Monica Maldonado Gonzalez (Secretaria)</cp:lastModifiedBy>
  <cp:revision>2</cp:revision>
  <cp:lastPrinted>2025-05-12T21:33:00Z</cp:lastPrinted>
  <dcterms:created xsi:type="dcterms:W3CDTF">2025-06-26T15:53:00Z</dcterms:created>
  <dcterms:modified xsi:type="dcterms:W3CDTF">2025-06-26T15:53:00Z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4SQX5P7U7WPY-958212181-813437</vt:lpwstr>
  </property>
  <property fmtid="{D5CDD505-2E9C-101B-9397-08002B2CF9AE}" pid="3" name="_dlc_DocIdItemGuid">
    <vt:lpwstr>fa24e4e4-0b1b-4bab-9c87-cab9846832fa</vt:lpwstr>
  </property>
  <property fmtid="{D5CDD505-2E9C-101B-9397-08002B2CF9AE}" pid="4" name="_dlc_DocIdUrl">
    <vt:lpwstr>https://senpr.sharepoint.com/sites/obralegislativa/_layouts/15/DocIdRedir.aspx?ID=4SQX5P7U7WPY-958212181-813437, 4SQX5P7U7WPY-958212181-813437</vt:lpwstr>
  </property>
  <property fmtid="{D5CDD505-2E9C-101B-9397-08002B2CF9AE}" pid="5" name="ContentTypeId">
    <vt:lpwstr>0x0101008C58FC75B682744FB4A53C756BEDC3A3</vt:lpwstr>
  </property>
  <property fmtid="{D5CDD505-2E9C-101B-9397-08002B2CF9AE}" pid="6" name="MediaServiceImageTags">
    <vt:lpwstr/>
  </property>
</Properties>
</file>