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4F3BC514"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593865">
        <w:rPr>
          <w:rFonts w:ascii="Book Antiqua" w:hAnsi="Book Antiqua"/>
          <w:lang w:val="es-ES_tradnl"/>
        </w:rPr>
        <w:t>3</w:t>
      </w:r>
      <w:r w:rsidR="001A4A89" w:rsidRPr="0049600B">
        <w:rPr>
          <w:rFonts w:ascii="Book Antiqua" w:hAnsi="Book Antiqua"/>
          <w:lang w:val="es-ES_tradnl"/>
        </w:rPr>
        <w:t xml:space="preserve"> </w:t>
      </w:r>
      <w:proofErr w:type="spellStart"/>
      <w:r w:rsidR="00593865">
        <w:rPr>
          <w:rFonts w:ascii="Book Antiqua" w:hAnsi="Book Antiqua"/>
          <w:vertAlign w:val="superscript"/>
          <w:lang w:val="es-ES_tradnl"/>
        </w:rPr>
        <w:t>ra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3F152183" w14:textId="291863FF" w:rsidR="00091A87" w:rsidRPr="00593865" w:rsidRDefault="00B76F7C" w:rsidP="008A0DB7">
      <w:pPr>
        <w:spacing w:line="360" w:lineRule="auto"/>
        <w:ind w:firstLine="720"/>
        <w:jc w:val="center"/>
        <w:rPr>
          <w:rFonts w:ascii="Book Antiqua" w:hAnsi="Book Antiqua"/>
          <w:b/>
          <w:sz w:val="52"/>
          <w:lang w:val="es-ES"/>
        </w:rPr>
      </w:pPr>
      <w:r w:rsidRPr="00AC627E">
        <w:rPr>
          <w:rFonts w:ascii="Book Antiqua" w:hAnsi="Book Antiqua"/>
          <w:b/>
          <w:sz w:val="52"/>
          <w:lang w:val="es-ES"/>
        </w:rPr>
        <w:t>R.</w:t>
      </w:r>
      <w:r w:rsidR="00593865">
        <w:rPr>
          <w:rFonts w:ascii="Book Antiqua" w:hAnsi="Book Antiqua"/>
          <w:b/>
          <w:sz w:val="52"/>
          <w:lang w:val="es-ES"/>
        </w:rPr>
        <w:t xml:space="preserve"> </w:t>
      </w:r>
      <w:r w:rsidRPr="00AC627E">
        <w:rPr>
          <w:rFonts w:ascii="Book Antiqua" w:hAnsi="Book Antiqua"/>
          <w:b/>
          <w:sz w:val="52"/>
          <w:lang w:val="es-ES"/>
        </w:rPr>
        <w:t>C</w:t>
      </w:r>
      <w:r w:rsidR="001A4A89" w:rsidRPr="00AC627E">
        <w:rPr>
          <w:rFonts w:ascii="Book Antiqua" w:hAnsi="Book Antiqua"/>
          <w:b/>
          <w:sz w:val="52"/>
          <w:lang w:val="es-ES"/>
        </w:rPr>
        <w:t>.</w:t>
      </w:r>
      <w:r w:rsidR="00A10113" w:rsidRPr="00AC627E">
        <w:rPr>
          <w:rFonts w:ascii="Book Antiqua" w:hAnsi="Book Antiqua"/>
          <w:b/>
          <w:sz w:val="52"/>
          <w:lang w:val="es-ES"/>
        </w:rPr>
        <w:t xml:space="preserve"> de</w:t>
      </w:r>
      <w:r w:rsidR="006271D1">
        <w:rPr>
          <w:rFonts w:ascii="Book Antiqua" w:hAnsi="Book Antiqua"/>
          <w:b/>
          <w:sz w:val="52"/>
          <w:lang w:val="es-ES"/>
        </w:rPr>
        <w:t>l S</w:t>
      </w:r>
      <w:r w:rsidR="00A10113" w:rsidRPr="00AC627E">
        <w:rPr>
          <w:rFonts w:ascii="Book Antiqua" w:hAnsi="Book Antiqua"/>
          <w:b/>
          <w:sz w:val="52"/>
          <w:lang w:val="es-ES"/>
        </w:rPr>
        <w:t xml:space="preserve">. </w:t>
      </w:r>
      <w:r w:rsidR="006271D1">
        <w:rPr>
          <w:rFonts w:ascii="Book Antiqua" w:hAnsi="Book Antiqua"/>
          <w:b/>
          <w:sz w:val="52"/>
          <w:lang w:val="es-ES"/>
        </w:rPr>
        <w:t>66</w:t>
      </w:r>
    </w:p>
    <w:p w14:paraId="25AC6B70" w14:textId="08621A70" w:rsidR="00D71003" w:rsidRPr="00BE60D8" w:rsidRDefault="001A4A89" w:rsidP="008A0DB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60BDF4ED" w:rsidR="00D71003" w:rsidRPr="00160853" w:rsidRDefault="00C87515"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sz w:val="22"/>
          <w:szCs w:val="18"/>
          <w:lang w:val="es-PR"/>
        </w:rPr>
        <w:t>28</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593865">
        <w:rPr>
          <w:rFonts w:ascii="Book Antiqua" w:hAnsi="Book Antiqua"/>
          <w:color w:val="000000" w:themeColor="text1"/>
          <w:sz w:val="22"/>
          <w:szCs w:val="18"/>
          <w:lang w:val="es-PR"/>
        </w:rPr>
        <w:t>ENERO</w:t>
      </w:r>
      <w:r w:rsidR="00C120CE">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59386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FC9BB31" w14:textId="7EABF8F1" w:rsidR="00AC627E" w:rsidRDefault="00AC627E" w:rsidP="00AC627E">
      <w:pPr>
        <w:spacing w:before="100" w:beforeAutospacing="1" w:after="100" w:afterAutospacing="1"/>
        <w:ind w:firstLine="720"/>
        <w:jc w:val="both"/>
        <w:rPr>
          <w:rFonts w:ascii="Book Antiqua" w:hAnsi="Book Antiqua"/>
          <w:lang w:val="es-PR"/>
        </w:rPr>
      </w:pPr>
      <w:bookmarkStart w:id="0" w:name="_Hlk191047724"/>
      <w:r w:rsidRPr="00AC627E">
        <w:rPr>
          <w:rFonts w:ascii="Book Antiqua" w:hAnsi="Book Antiqua"/>
          <w:lang w:val="es-PR"/>
        </w:rPr>
        <w:t>La Comisión de Educación</w:t>
      </w:r>
      <w:r w:rsidR="00593865">
        <w:rPr>
          <w:rFonts w:ascii="Book Antiqua" w:hAnsi="Book Antiqua"/>
          <w:lang w:val="es-PR"/>
        </w:rPr>
        <w:t xml:space="preserve"> de la Cámara de Representantes de Puerto Rico</w:t>
      </w:r>
      <w:r w:rsidRPr="00AC627E">
        <w:rPr>
          <w:rFonts w:ascii="Book Antiqua" w:hAnsi="Book Antiqua"/>
          <w:lang w:val="es-PR"/>
        </w:rPr>
        <w:t xml:space="preserve">, </w:t>
      </w:r>
      <w:r w:rsidR="00593865">
        <w:rPr>
          <w:rFonts w:ascii="Book Antiqua" w:hAnsi="Book Antiqua"/>
          <w:lang w:val="es-PR"/>
        </w:rPr>
        <w:t>previo</w:t>
      </w:r>
      <w:r w:rsidRPr="00AC627E">
        <w:rPr>
          <w:rFonts w:ascii="Book Antiqua" w:hAnsi="Book Antiqua"/>
          <w:lang w:val="es-PR"/>
        </w:rPr>
        <w:t xml:space="preserve"> un exhaustivo análisis y evaluación, </w:t>
      </w:r>
      <w:r w:rsidR="00593865">
        <w:rPr>
          <w:rFonts w:ascii="Book Antiqua" w:hAnsi="Book Antiqua"/>
          <w:lang w:val="es-PR"/>
        </w:rPr>
        <w:t xml:space="preserve">tiene a su bien someter su Informe con relación a la </w:t>
      </w:r>
      <w:r>
        <w:rPr>
          <w:rFonts w:ascii="Book Antiqua" w:hAnsi="Book Antiqua"/>
          <w:lang w:val="es-PR"/>
        </w:rPr>
        <w:t>Resolución Conjunta</w:t>
      </w:r>
      <w:r w:rsidRPr="00AC627E">
        <w:rPr>
          <w:rFonts w:ascii="Book Antiqua" w:hAnsi="Book Antiqua"/>
          <w:lang w:val="es-PR"/>
        </w:rPr>
        <w:t xml:space="preserve"> d</w:t>
      </w:r>
      <w:r w:rsidR="006271D1">
        <w:rPr>
          <w:rFonts w:ascii="Book Antiqua" w:hAnsi="Book Antiqua"/>
          <w:lang w:val="es-PR"/>
        </w:rPr>
        <w:t>el Senado</w:t>
      </w:r>
      <w:r w:rsidRPr="00AC627E">
        <w:rPr>
          <w:rFonts w:ascii="Book Antiqua" w:hAnsi="Book Antiqua"/>
          <w:lang w:val="es-PR"/>
        </w:rPr>
        <w:t xml:space="preserve"> </w:t>
      </w:r>
      <w:r w:rsidR="006271D1">
        <w:rPr>
          <w:rFonts w:ascii="Book Antiqua" w:hAnsi="Book Antiqua"/>
          <w:lang w:val="es-PR"/>
        </w:rPr>
        <w:t>66</w:t>
      </w:r>
      <w:r w:rsidRPr="00AC627E">
        <w:rPr>
          <w:rFonts w:ascii="Book Antiqua" w:hAnsi="Book Antiqua"/>
          <w:lang w:val="es-PR"/>
        </w:rPr>
        <w:t xml:space="preserve"> (en adelante, </w:t>
      </w:r>
      <w:r>
        <w:rPr>
          <w:rFonts w:ascii="Book Antiqua" w:hAnsi="Book Antiqua"/>
          <w:lang w:val="es-PR"/>
        </w:rPr>
        <w:t>R.</w:t>
      </w:r>
      <w:r w:rsidR="00593865">
        <w:rPr>
          <w:rFonts w:ascii="Book Antiqua" w:hAnsi="Book Antiqua"/>
          <w:lang w:val="es-PR"/>
        </w:rPr>
        <w:t xml:space="preserve"> </w:t>
      </w:r>
      <w:r>
        <w:rPr>
          <w:rFonts w:ascii="Book Antiqua" w:hAnsi="Book Antiqua"/>
          <w:lang w:val="es-PR"/>
        </w:rPr>
        <w:t>C. de</w:t>
      </w:r>
      <w:r w:rsidR="006271D1">
        <w:rPr>
          <w:rFonts w:ascii="Book Antiqua" w:hAnsi="Book Antiqua"/>
          <w:lang w:val="es-PR"/>
        </w:rPr>
        <w:t>l S</w:t>
      </w:r>
      <w:r>
        <w:rPr>
          <w:rFonts w:ascii="Book Antiqua" w:hAnsi="Book Antiqua"/>
          <w:lang w:val="es-PR"/>
        </w:rPr>
        <w:t xml:space="preserve">. </w:t>
      </w:r>
      <w:r w:rsidR="006271D1">
        <w:rPr>
          <w:rFonts w:ascii="Book Antiqua" w:hAnsi="Book Antiqua"/>
          <w:lang w:val="es-PR"/>
        </w:rPr>
        <w:t>66</w:t>
      </w:r>
      <w:r w:rsidRPr="00AC627E">
        <w:rPr>
          <w:rFonts w:ascii="Book Antiqua" w:hAnsi="Book Antiqua"/>
          <w:lang w:val="es-PR"/>
        </w:rPr>
        <w:t>)</w:t>
      </w:r>
      <w:r w:rsidR="00593865">
        <w:rPr>
          <w:rFonts w:ascii="Book Antiqua" w:hAnsi="Book Antiqua"/>
          <w:lang w:val="es-PR"/>
        </w:rPr>
        <w:t xml:space="preserve"> </w:t>
      </w:r>
      <w:r w:rsidR="00593865" w:rsidRPr="00593865">
        <w:rPr>
          <w:rFonts w:ascii="Book Antiqua" w:hAnsi="Book Antiqua"/>
          <w:b/>
          <w:bCs/>
          <w:lang w:val="es-PR"/>
        </w:rPr>
        <w:t>recomendando su aprobación, sin enmiendas</w:t>
      </w:r>
      <w:r w:rsidR="00D21B71">
        <w:rPr>
          <w:rFonts w:ascii="Book Antiqua" w:hAnsi="Book Antiqua"/>
          <w:lang w:val="es-PR"/>
        </w:rPr>
        <w:t>.</w:t>
      </w:r>
    </w:p>
    <w:p w14:paraId="49988954" w14:textId="3EE4EFA1" w:rsidR="00FD6CB7" w:rsidRPr="00817DB9" w:rsidRDefault="001A4A89" w:rsidP="004E4E62">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720EF5D6" w14:textId="27C0FD4A" w:rsidR="00DE5604" w:rsidRPr="00833427" w:rsidRDefault="00B76F7C" w:rsidP="002A1054">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R.</w:t>
      </w:r>
      <w:r w:rsidR="00593865">
        <w:rPr>
          <w:rFonts w:ascii="Book Antiqua" w:hAnsi="Book Antiqua"/>
          <w:szCs w:val="24"/>
          <w:lang w:val="es-PR"/>
        </w:rPr>
        <w:t xml:space="preserve"> </w:t>
      </w:r>
      <w:r>
        <w:rPr>
          <w:rFonts w:ascii="Book Antiqua" w:hAnsi="Book Antiqua"/>
          <w:szCs w:val="24"/>
          <w:lang w:val="es-PR"/>
        </w:rPr>
        <w:t>C</w:t>
      </w:r>
      <w:r w:rsidR="004E4E62" w:rsidRPr="004E4E62">
        <w:rPr>
          <w:rFonts w:ascii="Book Antiqua" w:hAnsi="Book Antiqua"/>
          <w:szCs w:val="24"/>
          <w:lang w:val="es-PR"/>
        </w:rPr>
        <w:t>. de</w:t>
      </w:r>
      <w:r w:rsidR="006271D1">
        <w:rPr>
          <w:rFonts w:ascii="Book Antiqua" w:hAnsi="Book Antiqua"/>
          <w:szCs w:val="24"/>
          <w:lang w:val="es-PR"/>
        </w:rPr>
        <w:t>l S. 66</w:t>
      </w:r>
      <w:r w:rsidR="002C1204">
        <w:rPr>
          <w:rFonts w:ascii="Book Antiqua" w:hAnsi="Book Antiqua"/>
          <w:szCs w:val="24"/>
          <w:lang w:val="es-PR"/>
        </w:rPr>
        <w:t xml:space="preserve"> tiene como propósit</w:t>
      </w:r>
      <w:r w:rsidR="00EC1CEA">
        <w:rPr>
          <w:rFonts w:ascii="Book Antiqua" w:hAnsi="Book Antiqua"/>
          <w:szCs w:val="24"/>
          <w:lang w:val="es-PR"/>
        </w:rPr>
        <w:t>o</w:t>
      </w:r>
      <w:r w:rsidR="006271D1">
        <w:rPr>
          <w:rFonts w:ascii="Book Antiqua" w:hAnsi="Book Antiqua"/>
          <w:szCs w:val="24"/>
          <w:lang w:val="es-PR"/>
        </w:rPr>
        <w:t xml:space="preserve"> </w:t>
      </w:r>
      <w:r w:rsidR="006271D1" w:rsidRPr="006271D1">
        <w:rPr>
          <w:rFonts w:ascii="Book Antiqua" w:hAnsi="Book Antiqua"/>
          <w:szCs w:val="24"/>
          <w:lang w:val="es-PR"/>
        </w:rPr>
        <w:t>ordenar al Departamento de Desarrollo Económico y Comercio, al Departamento del Trabajo y Recursos Humanos, a la Oficina de Innovación y Servicios de Tecnología de Puerto Rico y al Departamento de Educación de Puerto Rico  a establecer de manera conjunta mecanismos y programas educativos que utilicen las escuelas vocacionales como plataforma para enseñar a los estudiantes actuales y egresados de estas instituciones los fundamentos del emprendimiento, el acceso al financiamiento y las oportunidades que ofrecen sus destrezas vocacionales en el contexto de la transformación del mundo laboral mediante la Inteligencia Artificial</w:t>
      </w:r>
      <w:r w:rsidR="0079176E">
        <w:rPr>
          <w:rFonts w:ascii="Book Antiqua" w:hAnsi="Book Antiqua"/>
          <w:szCs w:val="24"/>
          <w:lang w:val="es-PR"/>
        </w:rPr>
        <w:t>.</w:t>
      </w:r>
      <w:r w:rsidR="000E2DCB" w:rsidRPr="000E2DCB">
        <w:rPr>
          <w:rFonts w:ascii="Book Antiqua" w:hAnsi="Book Antiqua"/>
          <w:szCs w:val="24"/>
          <w:lang w:val="es-PR"/>
        </w:rPr>
        <w:t xml:space="preserve"> </w:t>
      </w: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15C51EE7" w14:textId="77777777" w:rsidR="00D21B71" w:rsidRPr="00D21B71" w:rsidRDefault="00D21B71" w:rsidP="00D21B71">
      <w:pPr>
        <w:spacing w:before="100" w:beforeAutospacing="1" w:after="100" w:afterAutospacing="1"/>
        <w:ind w:firstLine="720"/>
        <w:jc w:val="both"/>
        <w:rPr>
          <w:rFonts w:ascii="Book Antiqua" w:hAnsi="Book Antiqua"/>
          <w:szCs w:val="24"/>
          <w:lang w:val="es-PR"/>
        </w:rPr>
      </w:pPr>
      <w:r w:rsidRPr="00D21B71">
        <w:rPr>
          <w:rFonts w:ascii="Book Antiqua" w:hAnsi="Book Antiqua"/>
          <w:szCs w:val="24"/>
          <w:lang w:val="es-PR"/>
        </w:rPr>
        <w:t>La Exposición de Motivos de la pieza legislativa aborda la transformación profunda del mercado laboral impulsada por la Inteligencia Artificial (en adelante, IA), la automatización y la digitalización, y destaca la necesidad de adaptar el sistema educativo y laboral de Puerto Rico a esta nueva realidad. En este contexto, se resalta el rol estratégico de las escuelas vocacionales como plataforma clave para preparar a los jóvenes con formación técnica, no solo para el empleo tradicional, sino también para el emprendimiento, la innovación y la autogestión.</w:t>
      </w:r>
    </w:p>
    <w:p w14:paraId="463F3A3E" w14:textId="77777777" w:rsidR="00D21B71" w:rsidRPr="00D21B71" w:rsidRDefault="00D21B71" w:rsidP="00D21B71">
      <w:pPr>
        <w:spacing w:before="100" w:beforeAutospacing="1" w:after="100" w:afterAutospacing="1"/>
        <w:ind w:firstLine="720"/>
        <w:jc w:val="both"/>
        <w:rPr>
          <w:rFonts w:ascii="Book Antiqua" w:hAnsi="Book Antiqua"/>
          <w:szCs w:val="24"/>
          <w:lang w:val="es-PR"/>
        </w:rPr>
      </w:pPr>
      <w:r w:rsidRPr="00D21B71">
        <w:rPr>
          <w:rFonts w:ascii="Book Antiqua" w:hAnsi="Book Antiqua"/>
          <w:szCs w:val="24"/>
          <w:lang w:val="es-PR"/>
        </w:rPr>
        <w:lastRenderedPageBreak/>
        <w:t>La medida propone establecer una colaboración formal entre el Departamento de Desarrollo Económico y Comercio, el Departamento del Trabajo y Recursos Humanos, la Oficina de Innovación y Servicios de Tecnología, y el Departamento de Educación de Puerto Rico, con el fin de implementar programas educativos orientados a enseñar fundamentos empresariales, acceso al financiamiento y uso de herramientas tecnológicas emergentes, especialmente en el contexto de la IA.</w:t>
      </w:r>
    </w:p>
    <w:p w14:paraId="02AA2A74" w14:textId="77777777" w:rsidR="00D21B71" w:rsidRPr="00D21B71" w:rsidRDefault="00D21B71" w:rsidP="00D21B71">
      <w:pPr>
        <w:spacing w:before="100" w:beforeAutospacing="1" w:after="100" w:afterAutospacing="1"/>
        <w:ind w:firstLine="720"/>
        <w:jc w:val="both"/>
        <w:rPr>
          <w:rFonts w:ascii="Book Antiqua" w:hAnsi="Book Antiqua"/>
          <w:szCs w:val="24"/>
          <w:lang w:val="es-PR"/>
        </w:rPr>
      </w:pPr>
      <w:r w:rsidRPr="00D21B71">
        <w:rPr>
          <w:rFonts w:ascii="Book Antiqua" w:hAnsi="Book Antiqua"/>
          <w:szCs w:val="24"/>
          <w:lang w:val="es-PR"/>
        </w:rPr>
        <w:t>Este esfuerzo apunta a convertir las escuelas vocacionales en centros de desarrollo económico y productividad, capacitando a estudiantes y egresados para que puedan transformar sus destrezas técnicas en oportunidades sostenibles, contribuyendo así a una economía local más resiliente, innovadora e inclusiva.</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D502651" w14:textId="0BC7D175" w:rsidR="00F973AA" w:rsidRPr="00F973AA" w:rsidRDefault="004E4E62" w:rsidP="00F973AA">
      <w:pPr>
        <w:spacing w:before="100" w:beforeAutospacing="1" w:after="100" w:afterAutospacing="1"/>
        <w:jc w:val="both"/>
        <w:rPr>
          <w:rFonts w:ascii="Book Antiqua" w:hAnsi="Book Antiqua"/>
          <w:szCs w:val="24"/>
          <w:lang w:val="es-US"/>
        </w:rPr>
      </w:pPr>
      <w:r>
        <w:rPr>
          <w:rFonts w:ascii="Book Antiqua" w:hAnsi="Book Antiqua"/>
          <w:szCs w:val="24"/>
          <w:lang w:val="es-PR"/>
        </w:rPr>
        <w:t xml:space="preserve"> </w:t>
      </w:r>
      <w:r w:rsidR="00AC627E">
        <w:rPr>
          <w:rFonts w:ascii="Book Antiqua" w:hAnsi="Book Antiqua"/>
          <w:szCs w:val="24"/>
          <w:lang w:val="es-PR"/>
        </w:rPr>
        <w:tab/>
      </w:r>
      <w:r w:rsidR="00F973AA" w:rsidRPr="00F973AA">
        <w:rPr>
          <w:rFonts w:ascii="Book Antiqua" w:hAnsi="Book Antiqua"/>
          <w:szCs w:val="24"/>
          <w:lang w:val="es-PR"/>
        </w:rPr>
        <w:t>L</w:t>
      </w:r>
      <w:r w:rsidR="00F973AA" w:rsidRPr="00F973AA">
        <w:rPr>
          <w:rFonts w:ascii="Book Antiqua" w:hAnsi="Book Antiqua"/>
          <w:szCs w:val="24"/>
          <w:lang w:val="es-US"/>
        </w:rPr>
        <w:t>a Comisión de Educación recibió memoriales del Departamento de Educación de Puerto Rico (DEPR), el Departamento de Desarrollo Económico y Comercio (DDEC) y el Departamento del Trabajo y Recursos Humanos (DTRH) en torno a la Resolución Conjunta del Senado 66, la cual ordena a dichas agencias establecer mecanismos y programas educativos conjuntos utilizando las escuelas vocacionales como plataforma para capacitar estudiantes y egresados en emprendimiento, acceso al financiamiento y adaptación al mundo laboral, particularmente ante la transformación que conlleva la inteligencia artificial.</w:t>
      </w:r>
    </w:p>
    <w:p w14:paraId="2A6C6969" w14:textId="066D3ED8" w:rsidR="00B7320F" w:rsidRPr="000871B0" w:rsidRDefault="00EC473E" w:rsidP="00AC627E">
      <w:pPr>
        <w:spacing w:before="100" w:beforeAutospacing="1" w:after="100" w:afterAutospacing="1"/>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 bajo nuestra consideración.</w:t>
      </w:r>
    </w:p>
    <w:p w14:paraId="01162DC3" w14:textId="00126796" w:rsidR="00742BED" w:rsidRDefault="00B7320F" w:rsidP="00AC627E">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6271D1">
        <w:rPr>
          <w:rFonts w:ascii="Book Antiqua" w:hAnsi="Book Antiqua"/>
          <w:szCs w:val="24"/>
          <w:lang w:val="es-PR"/>
        </w:rPr>
        <w:t>s</w:t>
      </w:r>
      <w:r w:rsidR="00776955">
        <w:rPr>
          <w:rFonts w:ascii="Book Antiqua" w:hAnsi="Book Antiqua"/>
          <w:szCs w:val="24"/>
          <w:lang w:val="es-PR"/>
        </w:rPr>
        <w:t xml:space="preserve"> </w:t>
      </w:r>
      <w:r w:rsidR="000871B0" w:rsidRPr="0001561B">
        <w:rPr>
          <w:rFonts w:ascii="Book Antiqua" w:hAnsi="Book Antiqua"/>
          <w:szCs w:val="24"/>
          <w:lang w:val="es-PR"/>
        </w:rPr>
        <w:t>entidad</w:t>
      </w:r>
      <w:r w:rsidR="006271D1">
        <w:rPr>
          <w:rFonts w:ascii="Book Antiqua" w:hAnsi="Book Antiqua"/>
          <w:szCs w:val="24"/>
          <w:lang w:val="es-PR"/>
        </w:rPr>
        <w:t>es</w:t>
      </w:r>
      <w:r w:rsidR="00DE5604">
        <w:rPr>
          <w:rFonts w:ascii="Book Antiqua" w:hAnsi="Book Antiqua"/>
          <w:szCs w:val="24"/>
          <w:lang w:val="es-PR"/>
        </w:rPr>
        <w:t xml:space="preserve"> </w:t>
      </w:r>
      <w:r w:rsidR="000871B0" w:rsidRPr="0001561B">
        <w:rPr>
          <w:rFonts w:ascii="Book Antiqua" w:hAnsi="Book Antiqua"/>
          <w:szCs w:val="24"/>
          <w:lang w:val="es-PR"/>
        </w:rPr>
        <w:t>gubernamental</w:t>
      </w:r>
      <w:r w:rsidR="006271D1">
        <w:rPr>
          <w:rFonts w:ascii="Book Antiqua" w:hAnsi="Book Antiqua"/>
          <w:szCs w:val="24"/>
          <w:lang w:val="es-PR"/>
        </w:rPr>
        <w:t>es</w:t>
      </w:r>
      <w:r w:rsidR="00DE5604">
        <w:rPr>
          <w:rFonts w:ascii="Book Antiqua" w:hAnsi="Book Antiqua"/>
          <w:szCs w:val="24"/>
          <w:lang w:val="es-PR"/>
        </w:rPr>
        <w:t xml:space="preserve"> </w:t>
      </w:r>
      <w:r w:rsidR="000871B0" w:rsidRPr="0001561B">
        <w:rPr>
          <w:rFonts w:ascii="Book Antiqua" w:hAnsi="Book Antiqua"/>
          <w:szCs w:val="24"/>
          <w:lang w:val="es-PR"/>
        </w:rPr>
        <w:t>antes mencionada</w:t>
      </w:r>
      <w:r w:rsidR="006271D1">
        <w:rPr>
          <w:rFonts w:ascii="Book Antiqua" w:hAnsi="Book Antiqua"/>
          <w:szCs w:val="24"/>
          <w:lang w:val="es-PR"/>
        </w:rPr>
        <w:t>s</w:t>
      </w:r>
      <w:r w:rsidR="000E3D6D">
        <w:rPr>
          <w:rFonts w:ascii="Book Antiqua" w:hAnsi="Book Antiqua"/>
          <w:szCs w:val="24"/>
          <w:lang w:val="es-PR"/>
        </w:rPr>
        <w:t>:</w:t>
      </w:r>
    </w:p>
    <w:p w14:paraId="6F30DA0D" w14:textId="5CCBC1F1" w:rsidR="0079176E" w:rsidRDefault="0079176E" w:rsidP="0079176E">
      <w:pPr>
        <w:spacing w:before="100" w:beforeAutospacing="1" w:after="100" w:afterAutospacing="1"/>
        <w:ind w:firstLine="720"/>
        <w:jc w:val="center"/>
        <w:rPr>
          <w:rFonts w:ascii="Book Antiqua" w:hAnsi="Book Antiqua"/>
          <w:b/>
          <w:bCs/>
          <w:szCs w:val="24"/>
          <w:lang w:val="es-PR"/>
        </w:rPr>
      </w:pPr>
      <w:r w:rsidRPr="0079176E">
        <w:rPr>
          <w:rFonts w:ascii="Book Antiqua" w:hAnsi="Book Antiqua"/>
          <w:b/>
          <w:bCs/>
          <w:szCs w:val="24"/>
          <w:lang w:val="es-PR"/>
        </w:rPr>
        <w:t>DEPARTAMENTO DE DESARROLLO ECONOMICO Y COMERCIO</w:t>
      </w:r>
    </w:p>
    <w:p w14:paraId="1D97BB62" w14:textId="574B070F" w:rsidR="00566049" w:rsidRPr="00566049" w:rsidRDefault="00A82D98" w:rsidP="00566049">
      <w:pPr>
        <w:spacing w:before="100" w:beforeAutospacing="1" w:after="100" w:afterAutospacing="1"/>
        <w:ind w:firstLine="720"/>
        <w:jc w:val="both"/>
        <w:rPr>
          <w:rFonts w:ascii="Book Antiqua" w:hAnsi="Book Antiqua"/>
          <w:szCs w:val="24"/>
          <w:lang w:val="es-US"/>
        </w:rPr>
      </w:pPr>
      <w:r w:rsidRPr="00566049">
        <w:rPr>
          <w:rFonts w:ascii="Book Antiqua" w:hAnsi="Book Antiqua"/>
          <w:szCs w:val="24"/>
          <w:lang w:val="es-PR"/>
        </w:rPr>
        <w:t xml:space="preserve">El Departamento de Desarrollo </w:t>
      </w:r>
      <w:r w:rsidR="008A54FD" w:rsidRPr="00566049">
        <w:rPr>
          <w:rFonts w:ascii="Book Antiqua" w:hAnsi="Book Antiqua"/>
          <w:szCs w:val="24"/>
          <w:lang w:val="es-PR"/>
        </w:rPr>
        <w:t>Económico</w:t>
      </w:r>
      <w:r w:rsidRPr="00566049">
        <w:rPr>
          <w:rFonts w:ascii="Book Antiqua" w:hAnsi="Book Antiqua"/>
          <w:szCs w:val="24"/>
          <w:lang w:val="es-PR"/>
        </w:rPr>
        <w:t xml:space="preserve"> y Comercio (en adelante, DDEC) representado por la Lcda. Vianca Rivera </w:t>
      </w:r>
      <w:r w:rsidR="008A54FD" w:rsidRPr="00566049">
        <w:rPr>
          <w:rFonts w:ascii="Book Antiqua" w:hAnsi="Book Antiqua"/>
          <w:szCs w:val="24"/>
          <w:lang w:val="es-PR"/>
        </w:rPr>
        <w:t>Román</w:t>
      </w:r>
      <w:r w:rsidRPr="00566049">
        <w:rPr>
          <w:rFonts w:ascii="Book Antiqua" w:hAnsi="Book Antiqua"/>
          <w:szCs w:val="24"/>
          <w:lang w:val="es-PR"/>
        </w:rPr>
        <w:t xml:space="preserve"> de Asuntos Legislativos del DDEC </w:t>
      </w:r>
      <w:r w:rsidR="00566049" w:rsidRPr="00566049">
        <w:rPr>
          <w:rFonts w:ascii="Book Antiqua" w:hAnsi="Book Antiqua"/>
          <w:szCs w:val="24"/>
          <w:lang w:val="es-US"/>
        </w:rPr>
        <w:t>reconoció la intención loable de la Resolución Conjunta del Senado 66 y reiteró que la agencia ya cuenta con programas e iniciativas vigentes que persiguen objetivos similares, en colaboración con el DEPR, universidades y otras entidades, particularmente en áreas de STEAM, innovación tecnológica, empresarismo y desarrollo de destrezas laborales. Destacó programas como el Programa de Desarrollo de la Juventud (PDJ), Juvempleo, Club JOVEM, y proyectos bajo la iniciativa 21st Century Techforce, mediante los cuales se integran destrezas técnicas, empresariales y de empleabilidad desde los niveles K</w:t>
      </w:r>
      <w:r w:rsidR="00566049" w:rsidRPr="00566049">
        <w:rPr>
          <w:rFonts w:ascii="Book Antiqua" w:hAnsi="Book Antiqua"/>
          <w:szCs w:val="24"/>
          <w:lang w:val="es-US"/>
        </w:rPr>
        <w:noBreakHyphen/>
        <w:t>12 hasta la educación postsecundaria. El DDEC expresó su disposición a continuar colaborando interagencialmente para fortalecer y atemperar estos esfuerzos a la realidad del mercado laboral actual</w:t>
      </w:r>
      <w:r w:rsidR="00566049">
        <w:rPr>
          <w:rFonts w:ascii="Book Antiqua" w:hAnsi="Book Antiqua"/>
          <w:szCs w:val="24"/>
          <w:lang w:val="es-US"/>
        </w:rPr>
        <w:t>.</w:t>
      </w:r>
    </w:p>
    <w:p w14:paraId="63DB2245" w14:textId="30736DE0" w:rsidR="00A82D98" w:rsidRPr="00A82D98" w:rsidRDefault="00A82D98" w:rsidP="00A82D98">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lastRenderedPageBreak/>
        <w:t>El DDEC</w:t>
      </w:r>
      <w:r w:rsidRPr="00A82D98">
        <w:rPr>
          <w:rFonts w:ascii="Book Antiqua" w:hAnsi="Book Antiqua"/>
          <w:szCs w:val="24"/>
          <w:lang w:val="es-PR"/>
        </w:rPr>
        <w:t xml:space="preserve"> reconoce el valor de la medida que propone integrar programas educativos sobre emprendimiento y tecnología en las escuelas vocacionales, pero señala que ya se están ejecutando iniciativas alineadas con estos fines. Entre ellas, destacan programas como el de Desarrollo de la Juventud, que fomenta el empresarismo, la innovación y la empleabilidad en jóvenes entre 13 y 35 años, así como el Programa de Desarrollo Laboral, que provee formación y oportunidades laborales a jóvenes entre 14 y 21 años bajo la Ley de Oportunidades e Innovación de la Fuerza Laboral. Además, se destacan proyectos estratégicos como 21st Century Techforce, que impacta estudiantes y maestros con formación en ciencias de la computación, </w:t>
      </w:r>
      <w:r w:rsidR="009D2DB5">
        <w:rPr>
          <w:rFonts w:ascii="Book Antiqua" w:hAnsi="Book Antiqua"/>
          <w:szCs w:val="24"/>
          <w:lang w:val="es-PR"/>
        </w:rPr>
        <w:t>IA</w:t>
      </w:r>
      <w:r w:rsidRPr="00A82D98">
        <w:rPr>
          <w:rFonts w:ascii="Book Antiqua" w:hAnsi="Book Antiqua"/>
          <w:szCs w:val="24"/>
          <w:lang w:val="es-PR"/>
        </w:rPr>
        <w:t xml:space="preserve"> y carreras tecnológicas.</w:t>
      </w:r>
    </w:p>
    <w:p w14:paraId="38CE8D8B" w14:textId="126ECD31" w:rsidR="0079176E" w:rsidRPr="0079176E" w:rsidRDefault="00A82D98" w:rsidP="00A82D98">
      <w:pPr>
        <w:spacing w:before="100" w:beforeAutospacing="1" w:after="100" w:afterAutospacing="1"/>
        <w:ind w:firstLine="720"/>
        <w:jc w:val="both"/>
        <w:rPr>
          <w:rFonts w:ascii="Book Antiqua" w:hAnsi="Book Antiqua"/>
          <w:szCs w:val="24"/>
          <w:lang w:val="es-PR"/>
        </w:rPr>
      </w:pPr>
      <w:r w:rsidRPr="00A82D98">
        <w:rPr>
          <w:rFonts w:ascii="Book Antiqua" w:hAnsi="Book Antiqua"/>
          <w:szCs w:val="24"/>
          <w:lang w:val="es-PR"/>
        </w:rPr>
        <w:t>A pesar de entender que los objetivos de la medida ya están siendo atendidos, el D</w:t>
      </w:r>
      <w:r>
        <w:rPr>
          <w:rFonts w:ascii="Book Antiqua" w:hAnsi="Book Antiqua"/>
          <w:szCs w:val="24"/>
          <w:lang w:val="es-PR"/>
        </w:rPr>
        <w:t>DEC</w:t>
      </w:r>
      <w:r w:rsidRPr="00A82D98">
        <w:rPr>
          <w:rFonts w:ascii="Book Antiqua" w:hAnsi="Book Antiqua"/>
          <w:szCs w:val="24"/>
          <w:lang w:val="es-PR"/>
        </w:rPr>
        <w:t xml:space="preserve"> recomienda continuar colaborando formalmente con el Departamento de Educación y el Departamento del Trabajo para fortalecer y actualizar los programas existentes, asegurando que respondan a las demandas actuales del mercado laboral y provean a los jóvenes las herramientas necesarias para emprender y emplearse con éxito.</w:t>
      </w:r>
    </w:p>
    <w:p w14:paraId="0DC6FB4C" w14:textId="3949AE55" w:rsidR="0079176E" w:rsidRDefault="0079176E" w:rsidP="0079176E">
      <w:pPr>
        <w:spacing w:before="100" w:beforeAutospacing="1" w:after="100" w:afterAutospacing="1"/>
        <w:ind w:firstLine="720"/>
        <w:jc w:val="center"/>
        <w:rPr>
          <w:rFonts w:ascii="Book Antiqua" w:hAnsi="Book Antiqua"/>
          <w:b/>
          <w:bCs/>
          <w:szCs w:val="24"/>
          <w:lang w:val="es-PR"/>
        </w:rPr>
      </w:pPr>
      <w:r w:rsidRPr="0079176E">
        <w:rPr>
          <w:rFonts w:ascii="Book Antiqua" w:hAnsi="Book Antiqua"/>
          <w:b/>
          <w:bCs/>
          <w:szCs w:val="24"/>
          <w:lang w:val="es-PR"/>
        </w:rPr>
        <w:t>DEPARTAMENTO DEL TRABAJO Y RECURSOS HUMANOS</w:t>
      </w:r>
    </w:p>
    <w:p w14:paraId="2371F076" w14:textId="55E35395" w:rsidR="00916C65" w:rsidRPr="00593865" w:rsidRDefault="00715335" w:rsidP="00916C65">
      <w:pPr>
        <w:spacing w:before="100" w:beforeAutospacing="1" w:after="100" w:afterAutospacing="1"/>
        <w:ind w:firstLine="720"/>
        <w:jc w:val="both"/>
        <w:rPr>
          <w:rFonts w:ascii="Book Antiqua" w:hAnsi="Book Antiqua"/>
          <w:szCs w:val="24"/>
          <w:lang w:val="es-PR"/>
        </w:rPr>
      </w:pPr>
      <w:r w:rsidRPr="00916C65">
        <w:rPr>
          <w:rFonts w:ascii="Book Antiqua" w:hAnsi="Book Antiqua"/>
          <w:szCs w:val="24"/>
          <w:lang w:val="es-PR"/>
        </w:rPr>
        <w:t>El Departamento del Trabajo y Recursos Humanos (en adelante, DTRH) representad</w:t>
      </w:r>
      <w:r w:rsidR="00623DFF">
        <w:rPr>
          <w:rFonts w:ascii="Book Antiqua" w:hAnsi="Book Antiqua"/>
          <w:szCs w:val="24"/>
          <w:lang w:val="es-PR"/>
        </w:rPr>
        <w:t>o</w:t>
      </w:r>
      <w:r w:rsidRPr="00916C65">
        <w:rPr>
          <w:rFonts w:ascii="Book Antiqua" w:hAnsi="Book Antiqua"/>
          <w:szCs w:val="24"/>
          <w:lang w:val="es-PR"/>
        </w:rPr>
        <w:t xml:space="preserve"> por su </w:t>
      </w:r>
      <w:proofErr w:type="gramStart"/>
      <w:r w:rsidR="00623DFF">
        <w:rPr>
          <w:rFonts w:ascii="Book Antiqua" w:hAnsi="Book Antiqua"/>
          <w:szCs w:val="24"/>
          <w:lang w:val="es-PR"/>
        </w:rPr>
        <w:t>S</w:t>
      </w:r>
      <w:r w:rsidR="007C69BD" w:rsidRPr="00916C65">
        <w:rPr>
          <w:rFonts w:ascii="Book Antiqua" w:hAnsi="Book Antiqua"/>
          <w:szCs w:val="24"/>
          <w:lang w:val="es-PR"/>
        </w:rPr>
        <w:t>ecretaria</w:t>
      </w:r>
      <w:proofErr w:type="gramEnd"/>
      <w:r w:rsidRPr="00916C65">
        <w:rPr>
          <w:rFonts w:ascii="Book Antiqua" w:hAnsi="Book Antiqua"/>
          <w:szCs w:val="24"/>
          <w:lang w:val="es-PR"/>
        </w:rPr>
        <w:t>, María del Pilar Vélez Casanova</w:t>
      </w:r>
      <w:r w:rsidR="00623DFF">
        <w:rPr>
          <w:rFonts w:ascii="Book Antiqua" w:hAnsi="Book Antiqua"/>
          <w:szCs w:val="24"/>
          <w:lang w:val="es-PR"/>
        </w:rPr>
        <w:t>,</w:t>
      </w:r>
      <w:r w:rsidRPr="00916C65">
        <w:rPr>
          <w:rFonts w:ascii="Book Antiqua" w:hAnsi="Book Antiqua"/>
          <w:szCs w:val="24"/>
          <w:lang w:val="es-PR"/>
        </w:rPr>
        <w:t xml:space="preserve"> </w:t>
      </w:r>
      <w:r w:rsidR="00916C65" w:rsidRPr="00916C65">
        <w:rPr>
          <w:rFonts w:ascii="Book Antiqua" w:hAnsi="Book Antiqua"/>
          <w:szCs w:val="24"/>
          <w:lang w:val="es-US"/>
        </w:rPr>
        <w:t>manifestó en su ponencia que la medida se alinea con su función ministerial de fomentar oportunidades de empleo y el desarrollo de recursos humanos, conforme a su ley orgánica. Destacó que la agencia ya administra programas robustos de adiestramiento técnico</w:t>
      </w:r>
      <w:r w:rsidR="00916C65" w:rsidRPr="00916C65">
        <w:rPr>
          <w:rFonts w:ascii="Book Antiqua" w:hAnsi="Book Antiqua"/>
          <w:szCs w:val="24"/>
          <w:lang w:val="es-US"/>
        </w:rPr>
        <w:noBreakHyphen/>
        <w:t xml:space="preserve">vocacional y desarrollo empresarial, como el Programa de Autoempresas, que capacita participantes en mercadeo, contabilidad, planes de negocio y acceso a financiamiento, con resultados positivos y casos de éxito documentados. El DTRH reiteró su disponibilidad para colaborar con el DEPR y el DDEC en la </w:t>
      </w:r>
      <w:r w:rsidR="00623DFF">
        <w:rPr>
          <w:rFonts w:ascii="Book Antiqua" w:hAnsi="Book Antiqua"/>
          <w:szCs w:val="24"/>
          <w:lang w:val="es-US"/>
        </w:rPr>
        <w:t>implementación</w:t>
      </w:r>
      <w:r w:rsidR="00916C65" w:rsidRPr="00916C65">
        <w:rPr>
          <w:rFonts w:ascii="Book Antiqua" w:hAnsi="Book Antiqua"/>
          <w:szCs w:val="24"/>
          <w:lang w:val="es-US"/>
        </w:rPr>
        <w:t xml:space="preserve"> de programas dirigidos al estudiantado vocacional y al público en general, y sugirió, en lo relativo a inteligencia artificial, considerar el peritaje de entidades especializadas en innovación tecnológica dentro del Gobierno. </w:t>
      </w:r>
    </w:p>
    <w:p w14:paraId="4F47F1EB" w14:textId="5C71B15E" w:rsidR="00715335" w:rsidRPr="00715335" w:rsidRDefault="00715335" w:rsidP="009D2DB5">
      <w:pPr>
        <w:spacing w:before="100" w:beforeAutospacing="1" w:after="100" w:afterAutospacing="1"/>
        <w:ind w:firstLine="720"/>
        <w:jc w:val="both"/>
        <w:rPr>
          <w:rFonts w:ascii="Book Antiqua" w:hAnsi="Book Antiqua"/>
          <w:szCs w:val="24"/>
          <w:lang w:val="es-PR"/>
        </w:rPr>
      </w:pPr>
      <w:r w:rsidRPr="00715335">
        <w:rPr>
          <w:rFonts w:ascii="Book Antiqua" w:hAnsi="Book Antiqua"/>
          <w:szCs w:val="24"/>
          <w:lang w:val="es-PR"/>
        </w:rPr>
        <w:t>El DTRH destaca que, dentro de su estructura, la Secretaría Auxiliar de Adiestramiento y Promoción de Trabajo administra el Programa de Autoempresas, que ofrece un entrenamiento de 90 horas en áreas como mercadeo, contabilidad, ventas, permisos y desarrollo de planes de negocio. Este programa ha sido exitoso en fomentar pequeños negocios, con varios casos destacados de emprendedores que han sostenido y expandido sus negocios tras la capacitación.</w:t>
      </w:r>
    </w:p>
    <w:p w14:paraId="4B2F3BA2" w14:textId="16EE8CCF" w:rsidR="00715335" w:rsidRPr="00715335" w:rsidRDefault="00715335" w:rsidP="009D2DB5">
      <w:pPr>
        <w:spacing w:before="100" w:beforeAutospacing="1" w:after="100" w:afterAutospacing="1"/>
        <w:ind w:firstLine="720"/>
        <w:jc w:val="both"/>
        <w:rPr>
          <w:rFonts w:ascii="Book Antiqua" w:hAnsi="Book Antiqua"/>
          <w:szCs w:val="24"/>
          <w:lang w:val="es-PR"/>
        </w:rPr>
      </w:pPr>
      <w:r w:rsidRPr="00715335">
        <w:rPr>
          <w:rFonts w:ascii="Book Antiqua" w:hAnsi="Book Antiqua"/>
          <w:szCs w:val="24"/>
          <w:lang w:val="es-PR"/>
        </w:rPr>
        <w:t xml:space="preserve">El Departamento reafirma su compromiso con el fomento del autoempleo y empresarismo, y está disponible para fortalecer este programa y colaborar con otras agencias para diseñar e implementar iniciativas educativas que contribuyan al desarrollo económico y social. Además, subraya la importancia de ampliar la oferta educativa para incluir formación sobre la </w:t>
      </w:r>
      <w:r w:rsidR="009D2DB5">
        <w:rPr>
          <w:rFonts w:ascii="Book Antiqua" w:hAnsi="Book Antiqua"/>
          <w:szCs w:val="24"/>
          <w:lang w:val="es-PR"/>
        </w:rPr>
        <w:t>IA</w:t>
      </w:r>
      <w:r w:rsidRPr="00715335">
        <w:rPr>
          <w:rFonts w:ascii="Book Antiqua" w:hAnsi="Book Antiqua"/>
          <w:szCs w:val="24"/>
          <w:lang w:val="es-PR"/>
        </w:rPr>
        <w:t>, recomendando que se consulte a la Oficina de Innovación y Servicios de Tecnología, que posee mayor experticia en esta área.</w:t>
      </w:r>
    </w:p>
    <w:p w14:paraId="6FCE5A1F" w14:textId="3AF5B4B7" w:rsidR="0079176E" w:rsidRPr="0079176E" w:rsidRDefault="0079176E" w:rsidP="0079176E">
      <w:pPr>
        <w:spacing w:before="100" w:beforeAutospacing="1" w:after="100" w:afterAutospacing="1"/>
        <w:ind w:firstLine="720"/>
        <w:jc w:val="center"/>
        <w:rPr>
          <w:rFonts w:ascii="Book Antiqua" w:hAnsi="Book Antiqua"/>
          <w:b/>
          <w:bCs/>
          <w:szCs w:val="24"/>
          <w:lang w:val="es-PR"/>
        </w:rPr>
      </w:pPr>
      <w:r w:rsidRPr="0079176E">
        <w:rPr>
          <w:rFonts w:ascii="Book Antiqua" w:hAnsi="Book Antiqua"/>
          <w:b/>
          <w:bCs/>
          <w:szCs w:val="24"/>
          <w:lang w:val="es-PR"/>
        </w:rPr>
        <w:lastRenderedPageBreak/>
        <w:t>DEPARTAMENTO DE EDUCACION DE PUERTO RICO</w:t>
      </w:r>
    </w:p>
    <w:p w14:paraId="0696D2E8" w14:textId="316F9342" w:rsidR="0076727A" w:rsidRDefault="0076727A" w:rsidP="0063112E">
      <w:pPr>
        <w:spacing w:before="100" w:beforeAutospacing="1" w:after="100" w:afterAutospacing="1"/>
        <w:ind w:firstLine="720"/>
        <w:jc w:val="both"/>
        <w:rPr>
          <w:rFonts w:ascii="Book Antiqua" w:hAnsi="Book Antiqua"/>
          <w:szCs w:val="24"/>
          <w:lang w:val="es-PR"/>
        </w:rPr>
      </w:pPr>
      <w:r w:rsidRPr="00301BB8">
        <w:rPr>
          <w:rFonts w:ascii="Book Antiqua" w:hAnsi="Book Antiqua"/>
          <w:szCs w:val="24"/>
          <w:lang w:val="es-PR"/>
        </w:rPr>
        <w:t xml:space="preserve">El Departamento de Educación de Puerto Rico (en adelante, DEPR) representado por su </w:t>
      </w:r>
      <w:proofErr w:type="gramStart"/>
      <w:r w:rsidR="00623DFF">
        <w:rPr>
          <w:rFonts w:ascii="Book Antiqua" w:hAnsi="Book Antiqua"/>
          <w:szCs w:val="24"/>
          <w:lang w:val="es-PR"/>
        </w:rPr>
        <w:t>S</w:t>
      </w:r>
      <w:r w:rsidR="00C5476E" w:rsidRPr="00301BB8">
        <w:rPr>
          <w:rFonts w:ascii="Book Antiqua" w:hAnsi="Book Antiqua"/>
          <w:szCs w:val="24"/>
          <w:lang w:val="es-PR"/>
        </w:rPr>
        <w:t>ecretario</w:t>
      </w:r>
      <w:proofErr w:type="gramEnd"/>
      <w:r w:rsidRPr="00301BB8">
        <w:rPr>
          <w:rFonts w:ascii="Book Antiqua" w:hAnsi="Book Antiqua"/>
          <w:szCs w:val="24"/>
          <w:lang w:val="es-PR"/>
        </w:rPr>
        <w:t>, Lcdo. Eliezer Ramos Par</w:t>
      </w:r>
      <w:r w:rsidR="00623DFF">
        <w:rPr>
          <w:rFonts w:ascii="Book Antiqua" w:hAnsi="Book Antiqua"/>
          <w:szCs w:val="24"/>
          <w:lang w:val="es-PR"/>
        </w:rPr>
        <w:t>é</w:t>
      </w:r>
      <w:r w:rsidRPr="00301BB8">
        <w:rPr>
          <w:rFonts w:ascii="Book Antiqua" w:hAnsi="Book Antiqua"/>
          <w:szCs w:val="24"/>
          <w:lang w:val="es-PR"/>
        </w:rPr>
        <w:t>s</w:t>
      </w:r>
      <w:r w:rsidR="00623DFF">
        <w:rPr>
          <w:rFonts w:ascii="Book Antiqua" w:hAnsi="Book Antiqua"/>
          <w:szCs w:val="24"/>
          <w:lang w:val="es-PR"/>
        </w:rPr>
        <w:t>,</w:t>
      </w:r>
      <w:r w:rsidRPr="00301BB8">
        <w:rPr>
          <w:rFonts w:ascii="Book Antiqua" w:hAnsi="Book Antiqua"/>
          <w:szCs w:val="24"/>
          <w:lang w:val="es-PR"/>
        </w:rPr>
        <w:t xml:space="preserve"> </w:t>
      </w:r>
      <w:r w:rsidR="00301BB8" w:rsidRPr="00301BB8">
        <w:rPr>
          <w:rFonts w:ascii="Book Antiqua" w:hAnsi="Book Antiqua"/>
          <w:szCs w:val="24"/>
          <w:lang w:val="es-US"/>
        </w:rPr>
        <w:t>expresó que la medida es cónsona con el mandato constitucional del derecho a la educación y con los principios de equidad, pertinencia y diversificación curricular establecidos en la Ley 85</w:t>
      </w:r>
      <w:r w:rsidR="00301BB8" w:rsidRPr="00301BB8">
        <w:rPr>
          <w:rFonts w:ascii="Book Antiqua" w:hAnsi="Book Antiqua"/>
          <w:szCs w:val="24"/>
          <w:lang w:val="es-US"/>
        </w:rPr>
        <w:noBreakHyphen/>
        <w:t>2018, Ley de Reforma Educativa de Puerto Rico. El D</w:t>
      </w:r>
      <w:r w:rsidR="00623DFF">
        <w:rPr>
          <w:rFonts w:ascii="Book Antiqua" w:hAnsi="Book Antiqua"/>
          <w:szCs w:val="24"/>
          <w:lang w:val="es-US"/>
        </w:rPr>
        <w:t>EPR</w:t>
      </w:r>
      <w:r w:rsidR="00301BB8" w:rsidRPr="00301BB8">
        <w:rPr>
          <w:rFonts w:ascii="Book Antiqua" w:hAnsi="Book Antiqua"/>
          <w:szCs w:val="24"/>
          <w:lang w:val="es-US"/>
        </w:rPr>
        <w:t xml:space="preserve"> reconoció el valor de fortalecer escuelas vocacionales mediante currículos pertinentes y alineados a las necesidades del mercado laboral, destacando que este enfoque puede facilitar la transición del estudiantado a estudios postsecundarios y a la fuerza laboral. No obstante, enfatizó la necesidad de una planificación estratégica rigurosa, participación comunitaria y financiamiento recurrente para garantizar la sostenibilidad de los programas, particularmente ante las actuales limitaciones fiscales del sistema educativo.</w:t>
      </w:r>
    </w:p>
    <w:p w14:paraId="7510D52F" w14:textId="7FF88381" w:rsidR="0076727A" w:rsidRDefault="0076727A" w:rsidP="0063112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DEPR, </w:t>
      </w:r>
      <w:r w:rsidRPr="0076727A">
        <w:rPr>
          <w:rFonts w:ascii="Book Antiqua" w:hAnsi="Book Antiqua"/>
          <w:szCs w:val="24"/>
          <w:lang w:val="es-PR"/>
        </w:rPr>
        <w:t>informa que actualmente en el nivel secundario se ofrecen cursos electivos de Emprendimiento, Educación Financiera y Principios de Economía, los cuales brindan a los estudiantes herramientas para desarrollar actitudes emprendedoras, manejar recursos financieros y comprender conceptos económicos relevantes. En las escuelas vocacionales, aunque estos cursos no suelen tomarse directamente, sus contenidos se integran en otras materias. Además, todas las especialidades ocupacionales en el sistema público incluyen un curso obligatorio de Empresarismo en los programas de Educación Técnica y Profesional (</w:t>
      </w:r>
      <w:r>
        <w:rPr>
          <w:rFonts w:ascii="Book Antiqua" w:hAnsi="Book Antiqua"/>
          <w:szCs w:val="24"/>
          <w:lang w:val="es-PR"/>
        </w:rPr>
        <w:t xml:space="preserve">en adelante, </w:t>
      </w:r>
      <w:r w:rsidRPr="0076727A">
        <w:rPr>
          <w:rFonts w:ascii="Book Antiqua" w:hAnsi="Book Antiqua"/>
          <w:szCs w:val="24"/>
          <w:lang w:val="es-PR"/>
        </w:rPr>
        <w:t xml:space="preserve">CTE), que abarca temas como desarrollo de planes de negocio, tipos de financiamiento y la integración de la inteligencia artificial, en consonancia con las necesidades del mercado laboral actual. </w:t>
      </w:r>
    </w:p>
    <w:p w14:paraId="3D89DDB0" w14:textId="2071081F" w:rsidR="0076727A" w:rsidRDefault="0076727A" w:rsidP="0063112E">
      <w:pPr>
        <w:spacing w:before="100" w:beforeAutospacing="1" w:after="100" w:afterAutospacing="1"/>
        <w:ind w:firstLine="720"/>
        <w:jc w:val="both"/>
        <w:rPr>
          <w:rFonts w:ascii="Book Antiqua" w:hAnsi="Book Antiqua"/>
          <w:szCs w:val="24"/>
          <w:lang w:val="es-PR"/>
        </w:rPr>
      </w:pPr>
      <w:r w:rsidRPr="0076727A">
        <w:rPr>
          <w:rFonts w:ascii="Book Antiqua" w:hAnsi="Book Antiqua"/>
          <w:szCs w:val="24"/>
          <w:lang w:val="es-PR"/>
        </w:rPr>
        <w:t xml:space="preserve">En este contexto, el DEPR recomienda que la </w:t>
      </w:r>
      <w:r w:rsidR="008A54FD">
        <w:rPr>
          <w:rFonts w:ascii="Book Antiqua" w:hAnsi="Book Antiqua"/>
          <w:szCs w:val="24"/>
          <w:lang w:val="es-PR"/>
        </w:rPr>
        <w:t>R.</w:t>
      </w:r>
      <w:r w:rsidR="00623DFF">
        <w:rPr>
          <w:rFonts w:ascii="Book Antiqua" w:hAnsi="Book Antiqua"/>
          <w:szCs w:val="24"/>
          <w:lang w:val="es-PR"/>
        </w:rPr>
        <w:t xml:space="preserve"> </w:t>
      </w:r>
      <w:r w:rsidR="008A54FD">
        <w:rPr>
          <w:rFonts w:ascii="Book Antiqua" w:hAnsi="Book Antiqua"/>
          <w:szCs w:val="24"/>
          <w:lang w:val="es-PR"/>
        </w:rPr>
        <w:t>C. del S.</w:t>
      </w:r>
      <w:r w:rsidRPr="0076727A">
        <w:rPr>
          <w:rFonts w:ascii="Book Antiqua" w:hAnsi="Book Antiqua"/>
          <w:szCs w:val="24"/>
          <w:lang w:val="es-PR"/>
        </w:rPr>
        <w:t xml:space="preserve"> subraye la colaboración entre el DDEC, DTRH y el propio DEPR, para proveer recursos y herramientas adicionales que permitan a los estudiantes transformar sus ideas y planes en proyectos viables. Asimismo, sugiere que estas agencias participen activamente en el proceso educativo mediante charlas, orientaciones, talleres y congresos dirigidos a estudiantes CTE, y que estas actividades sean reconocidas como horas contacto dentro de las estrategias de aprendizaje basado en el trabajo (Work Based Learning). </w:t>
      </w:r>
    </w:p>
    <w:p w14:paraId="6D956F06" w14:textId="2B514922" w:rsidR="0063112E" w:rsidRPr="00BE60D8" w:rsidRDefault="0076727A" w:rsidP="0063112E">
      <w:pPr>
        <w:spacing w:before="100" w:beforeAutospacing="1" w:after="100" w:afterAutospacing="1"/>
        <w:ind w:firstLine="720"/>
        <w:jc w:val="both"/>
        <w:rPr>
          <w:rFonts w:ascii="Book Antiqua" w:hAnsi="Book Antiqua"/>
          <w:szCs w:val="24"/>
          <w:lang w:val="es-PR"/>
        </w:rPr>
      </w:pPr>
      <w:r w:rsidRPr="0076727A">
        <w:rPr>
          <w:rFonts w:ascii="Book Antiqua" w:hAnsi="Book Antiqua"/>
          <w:szCs w:val="24"/>
          <w:lang w:val="es-PR"/>
        </w:rPr>
        <w:t>El DEPR valora la unión de esfuerzos interagenciales para fortalecer y complementar sus iniciativas, y no presenta objeciones a la R</w:t>
      </w:r>
      <w:r w:rsidR="008A54FD">
        <w:rPr>
          <w:rFonts w:ascii="Book Antiqua" w:hAnsi="Book Antiqua"/>
          <w:szCs w:val="24"/>
          <w:lang w:val="es-PR"/>
        </w:rPr>
        <w:t>.</w:t>
      </w:r>
      <w:r w:rsidR="00623DFF">
        <w:rPr>
          <w:rFonts w:ascii="Book Antiqua" w:hAnsi="Book Antiqua"/>
          <w:szCs w:val="24"/>
          <w:lang w:val="es-PR"/>
        </w:rPr>
        <w:t xml:space="preserve"> </w:t>
      </w:r>
      <w:r w:rsidRPr="0076727A">
        <w:rPr>
          <w:rFonts w:ascii="Book Antiqua" w:hAnsi="Book Antiqua"/>
          <w:szCs w:val="24"/>
          <w:lang w:val="es-PR"/>
        </w:rPr>
        <w:t>C</w:t>
      </w:r>
      <w:r w:rsidR="008A54FD">
        <w:rPr>
          <w:rFonts w:ascii="Book Antiqua" w:hAnsi="Book Antiqua"/>
          <w:szCs w:val="24"/>
          <w:lang w:val="es-PR"/>
        </w:rPr>
        <w:t xml:space="preserve">. del </w:t>
      </w:r>
      <w:r w:rsidRPr="0076727A">
        <w:rPr>
          <w:rFonts w:ascii="Book Antiqua" w:hAnsi="Book Antiqua"/>
          <w:szCs w:val="24"/>
          <w:lang w:val="es-PR"/>
        </w:rPr>
        <w:t>S</w:t>
      </w:r>
      <w:r w:rsidR="008A54FD">
        <w:rPr>
          <w:rFonts w:ascii="Book Antiqua" w:hAnsi="Book Antiqua"/>
          <w:szCs w:val="24"/>
          <w:lang w:val="es-PR"/>
        </w:rPr>
        <w:t>.</w:t>
      </w:r>
      <w:r w:rsidRPr="0076727A">
        <w:rPr>
          <w:rFonts w:ascii="Book Antiqua" w:hAnsi="Book Antiqua"/>
          <w:szCs w:val="24"/>
          <w:lang w:val="es-PR"/>
        </w:rPr>
        <w:t xml:space="preserve"> 66, pero solicita que se evalúen sus recomendaciones conforme a las políticas públicas vigentes. </w:t>
      </w:r>
    </w:p>
    <w:p w14:paraId="08C63446" w14:textId="5D314B21"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DDBF3B9" w14:textId="347BD064" w:rsidR="00205FE7" w:rsidRPr="00B2443D" w:rsidRDefault="000871B0" w:rsidP="00B2443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AC627E">
        <w:rPr>
          <w:rFonts w:ascii="Book Antiqua" w:hAnsi="Book Antiqua"/>
          <w:szCs w:val="24"/>
          <w:lang w:val="es-PR"/>
        </w:rPr>
        <w:tab/>
      </w:r>
      <w:r w:rsidRPr="000871B0">
        <w:rPr>
          <w:rFonts w:ascii="Book Antiqua" w:hAnsi="Book Antiqua"/>
          <w:szCs w:val="24"/>
          <w:lang w:val="es-PR"/>
        </w:rPr>
        <w:t>Conforme al análisis y los hallazgos de la medida, la Comisión de Educación</w:t>
      </w:r>
      <w:r w:rsidR="00623DFF">
        <w:rPr>
          <w:rFonts w:ascii="Book Antiqua" w:hAnsi="Book Antiqua"/>
          <w:szCs w:val="24"/>
          <w:lang w:val="es-PR"/>
        </w:rPr>
        <w:t xml:space="preserve"> </w:t>
      </w:r>
      <w:r w:rsidRPr="000871B0">
        <w:rPr>
          <w:rFonts w:ascii="Book Antiqua" w:hAnsi="Book Antiqua"/>
          <w:szCs w:val="24"/>
          <w:lang w:val="es-PR"/>
        </w:rPr>
        <w:t>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62CE9BE5" w14:textId="77777777" w:rsidR="00623DFF" w:rsidRDefault="00623DFF" w:rsidP="00AC627E">
      <w:pPr>
        <w:spacing w:before="100" w:beforeAutospacing="1" w:after="100" w:afterAutospacing="1"/>
        <w:jc w:val="center"/>
        <w:rPr>
          <w:rFonts w:ascii="Book Antiqua" w:hAnsi="Book Antiqua"/>
          <w:b/>
          <w:bCs/>
          <w:lang w:val="es-PR"/>
        </w:rPr>
      </w:pPr>
    </w:p>
    <w:p w14:paraId="369CAC28" w14:textId="0CF66007" w:rsidR="00AC627E" w:rsidRDefault="0076334C" w:rsidP="00AC627E">
      <w:pPr>
        <w:spacing w:before="100" w:beforeAutospacing="1" w:after="100" w:afterAutospacing="1"/>
        <w:jc w:val="center"/>
        <w:rPr>
          <w:rFonts w:ascii="Book Antiqua" w:hAnsi="Book Antiqua"/>
          <w:b/>
          <w:bCs/>
          <w:lang w:val="es-PR"/>
        </w:rPr>
      </w:pPr>
      <w:r w:rsidRPr="00080836">
        <w:rPr>
          <w:rFonts w:ascii="Book Antiqua" w:hAnsi="Book Antiqua"/>
          <w:b/>
          <w:bCs/>
          <w:lang w:val="es-PR"/>
        </w:rPr>
        <w:lastRenderedPageBreak/>
        <w:t>CONCLUSIÓN Y RECOMENDACIÓN</w:t>
      </w:r>
    </w:p>
    <w:p w14:paraId="58516D33" w14:textId="04DA861E" w:rsidR="00773E1D" w:rsidRDefault="00773E1D" w:rsidP="0062698A">
      <w:pPr>
        <w:spacing w:before="100" w:beforeAutospacing="1" w:after="100" w:afterAutospacing="1"/>
        <w:ind w:firstLine="720"/>
        <w:jc w:val="both"/>
        <w:rPr>
          <w:rFonts w:ascii="Book Antiqua" w:hAnsi="Book Antiqua"/>
          <w:color w:val="000000" w:themeColor="text1"/>
          <w:lang w:val="es-PR"/>
        </w:rPr>
      </w:pPr>
      <w:r w:rsidRPr="00080836">
        <w:rPr>
          <w:rFonts w:ascii="Book Antiqua" w:hAnsi="Book Antiqua"/>
          <w:color w:val="000000" w:themeColor="text1"/>
          <w:lang w:val="es-PR"/>
        </w:rPr>
        <w:t>La Comisión de Educación ha llevado a cabo un análisis detallado de las comunicaciones recibidas. La agencia consultada ha expresado su respaldo a la medida</w:t>
      </w:r>
      <w:r w:rsidR="00805747">
        <w:rPr>
          <w:rFonts w:ascii="Book Antiqua" w:hAnsi="Book Antiqua"/>
          <w:color w:val="000000" w:themeColor="text1"/>
          <w:lang w:val="es-PR"/>
        </w:rPr>
        <w:t>.</w:t>
      </w:r>
    </w:p>
    <w:p w14:paraId="299640A6" w14:textId="2BDA2D4C" w:rsidR="00BE60D8" w:rsidRPr="0063112E" w:rsidRDefault="0063112E" w:rsidP="0076727A">
      <w:pPr>
        <w:spacing w:before="100" w:beforeAutospacing="1" w:after="100" w:afterAutospacing="1"/>
        <w:ind w:firstLine="720"/>
        <w:jc w:val="both"/>
        <w:rPr>
          <w:rFonts w:ascii="Book Antiqua" w:hAnsi="Book Antiqua"/>
          <w:lang w:val="es-PR"/>
        </w:rPr>
      </w:pPr>
      <w:r w:rsidRPr="0063112E">
        <w:rPr>
          <w:rFonts w:ascii="Book Antiqua" w:hAnsi="Book Antiqua"/>
          <w:lang w:val="es-PR"/>
        </w:rPr>
        <w:t xml:space="preserve">La </w:t>
      </w:r>
      <w:r>
        <w:rPr>
          <w:rFonts w:ascii="Book Antiqua" w:hAnsi="Book Antiqua"/>
          <w:lang w:val="es-PR"/>
        </w:rPr>
        <w:t>R.</w:t>
      </w:r>
      <w:r w:rsidR="00623DFF">
        <w:rPr>
          <w:rFonts w:ascii="Book Antiqua" w:hAnsi="Book Antiqua"/>
          <w:lang w:val="es-PR"/>
        </w:rPr>
        <w:t xml:space="preserve"> </w:t>
      </w:r>
      <w:r>
        <w:rPr>
          <w:rFonts w:ascii="Book Antiqua" w:hAnsi="Book Antiqua"/>
          <w:lang w:val="es-PR"/>
        </w:rPr>
        <w:t>C</w:t>
      </w:r>
      <w:r w:rsidR="00623DFF">
        <w:rPr>
          <w:rFonts w:ascii="Book Antiqua" w:hAnsi="Book Antiqua"/>
          <w:lang w:val="es-PR"/>
        </w:rPr>
        <w:t>.</w:t>
      </w:r>
      <w:r>
        <w:rPr>
          <w:rFonts w:ascii="Book Antiqua" w:hAnsi="Book Antiqua"/>
          <w:lang w:val="es-PR"/>
        </w:rPr>
        <w:t xml:space="preserve"> de</w:t>
      </w:r>
      <w:r w:rsidR="0076727A">
        <w:rPr>
          <w:rFonts w:ascii="Book Antiqua" w:hAnsi="Book Antiqua"/>
          <w:lang w:val="es-PR"/>
        </w:rPr>
        <w:t xml:space="preserve">l S. 66 </w:t>
      </w:r>
      <w:r w:rsidR="0076727A" w:rsidRPr="0076727A">
        <w:rPr>
          <w:rFonts w:ascii="Book Antiqua" w:hAnsi="Book Antiqua"/>
          <w:lang w:val="es-PR"/>
        </w:rPr>
        <w:t xml:space="preserve">representa un paso significativo para fortalecer la educación y el desarrollo empresarial en Puerto Rico, al promover una colaboración interagencial efectiva entre el </w:t>
      </w:r>
      <w:r w:rsidR="0076727A">
        <w:rPr>
          <w:rFonts w:ascii="Book Antiqua" w:hAnsi="Book Antiqua"/>
          <w:lang w:val="es-PR"/>
        </w:rPr>
        <w:t>DDEC</w:t>
      </w:r>
      <w:r w:rsidR="0076727A" w:rsidRPr="0076727A">
        <w:rPr>
          <w:rFonts w:ascii="Book Antiqua" w:hAnsi="Book Antiqua"/>
          <w:lang w:val="es-PR"/>
        </w:rPr>
        <w:t xml:space="preserve">, </w:t>
      </w:r>
      <w:r w:rsidR="0076727A">
        <w:rPr>
          <w:rFonts w:ascii="Book Antiqua" w:hAnsi="Book Antiqua"/>
          <w:lang w:val="es-PR"/>
        </w:rPr>
        <w:t>DTRH</w:t>
      </w:r>
      <w:r w:rsidR="0076727A" w:rsidRPr="0076727A">
        <w:rPr>
          <w:rFonts w:ascii="Book Antiqua" w:hAnsi="Book Antiqua"/>
          <w:lang w:val="es-PR"/>
        </w:rPr>
        <w:t>, y el</w:t>
      </w:r>
      <w:r w:rsidR="0076727A">
        <w:rPr>
          <w:rFonts w:ascii="Book Antiqua" w:hAnsi="Book Antiqua"/>
          <w:lang w:val="es-PR"/>
        </w:rPr>
        <w:t xml:space="preserve"> DEPR</w:t>
      </w:r>
      <w:r w:rsidR="0076727A" w:rsidRPr="0076727A">
        <w:rPr>
          <w:rFonts w:ascii="Book Antiqua" w:hAnsi="Book Antiqua"/>
          <w:lang w:val="es-PR"/>
        </w:rPr>
        <w:t xml:space="preserve">. Esta iniciativa fomenta la capacitación integral de estudiantes y egresados de escuelas vocacionales, dotándolos de herramientas prácticas en emprendimiento, acceso a capital y adaptación a las transformaciones tecnológicas como la </w:t>
      </w:r>
      <w:r w:rsidR="008A54FD">
        <w:rPr>
          <w:rFonts w:ascii="Book Antiqua" w:hAnsi="Book Antiqua"/>
          <w:lang w:val="es-PR"/>
        </w:rPr>
        <w:t>IA</w:t>
      </w:r>
      <w:r w:rsidR="0076727A" w:rsidRPr="0076727A">
        <w:rPr>
          <w:rFonts w:ascii="Book Antiqua" w:hAnsi="Book Antiqua"/>
          <w:lang w:val="es-PR"/>
        </w:rPr>
        <w:t xml:space="preserve">. Al impulsar la creación de programas educativos innovadores y sostenibles, la resolución contribuye al desarrollo económico y social de la Isla, incentivando el autoempleo y la generación de nuevas oportunidades laborales. </w:t>
      </w:r>
    </w:p>
    <w:p w14:paraId="43FDD8CB" w14:textId="6DE16D4E" w:rsidR="0076727A" w:rsidRDefault="00AC627E" w:rsidP="00AC627E">
      <w:pPr>
        <w:spacing w:before="100" w:beforeAutospacing="1"/>
        <w:ind w:firstLine="720"/>
        <w:jc w:val="both"/>
        <w:rPr>
          <w:rFonts w:ascii="Book Antiqua" w:hAnsi="Book Antiqua"/>
          <w:color w:val="000000" w:themeColor="text1"/>
          <w:lang w:val="es-PR"/>
        </w:rPr>
      </w:pPr>
      <w:r w:rsidRPr="00AC627E">
        <w:rPr>
          <w:rFonts w:ascii="Book Antiqua" w:hAnsi="Book Antiqua"/>
          <w:color w:val="000000" w:themeColor="text1"/>
          <w:lang w:val="es-PR"/>
        </w:rPr>
        <w:t>P</w:t>
      </w:r>
      <w:r w:rsidR="00777B0C">
        <w:rPr>
          <w:rFonts w:ascii="Book Antiqua" w:hAnsi="Book Antiqua"/>
          <w:color w:val="000000" w:themeColor="text1"/>
          <w:lang w:val="es-PR"/>
        </w:rPr>
        <w:t>OR LO ANTES EXPUESTO</w:t>
      </w:r>
      <w:r w:rsidRPr="00AC627E">
        <w:rPr>
          <w:rFonts w:ascii="Book Antiqua" w:hAnsi="Book Antiqua"/>
          <w:color w:val="000000" w:themeColor="text1"/>
          <w:lang w:val="es-PR"/>
        </w:rPr>
        <w:t xml:space="preserve">, </w:t>
      </w:r>
      <w:r w:rsidR="00623DFF">
        <w:rPr>
          <w:rFonts w:ascii="Book Antiqua" w:hAnsi="Book Antiqua"/>
          <w:bCs/>
          <w:color w:val="000000" w:themeColor="text1"/>
          <w:lang w:val="es-ES"/>
        </w:rPr>
        <w:t xml:space="preserve">la </w:t>
      </w:r>
      <w:r w:rsidR="00777B0C">
        <w:rPr>
          <w:rFonts w:ascii="Book Antiqua" w:hAnsi="Book Antiqua"/>
          <w:color w:val="000000" w:themeColor="text1"/>
          <w:lang w:val="es-PR"/>
        </w:rPr>
        <w:t xml:space="preserve">Comisión de Educación </w:t>
      </w:r>
      <w:r w:rsidR="00623DFF" w:rsidRPr="00623DFF">
        <w:rPr>
          <w:rFonts w:ascii="Book Antiqua" w:hAnsi="Book Antiqua"/>
          <w:bCs/>
          <w:color w:val="000000" w:themeColor="text1"/>
          <w:lang w:val="es-ES"/>
        </w:rPr>
        <w:t>somete el presente Informe Positivo en el que recomiendan a este Honroso Cuerpo</w:t>
      </w:r>
      <w:r w:rsidRPr="00AC627E">
        <w:rPr>
          <w:rFonts w:ascii="Book Antiqua" w:hAnsi="Book Antiqua"/>
          <w:color w:val="000000" w:themeColor="text1"/>
          <w:lang w:val="es-PR"/>
        </w:rPr>
        <w:t xml:space="preserve"> la aprobación del </w:t>
      </w:r>
      <w:r>
        <w:rPr>
          <w:rFonts w:ascii="Book Antiqua" w:hAnsi="Book Antiqua"/>
          <w:color w:val="000000" w:themeColor="text1"/>
          <w:lang w:val="es-PR"/>
        </w:rPr>
        <w:t>R.</w:t>
      </w:r>
      <w:r w:rsidR="00623DFF">
        <w:rPr>
          <w:rFonts w:ascii="Book Antiqua" w:hAnsi="Book Antiqua"/>
          <w:color w:val="000000" w:themeColor="text1"/>
          <w:lang w:val="es-PR"/>
        </w:rPr>
        <w:t xml:space="preserve"> </w:t>
      </w:r>
      <w:r>
        <w:rPr>
          <w:rFonts w:ascii="Book Antiqua" w:hAnsi="Book Antiqua"/>
          <w:color w:val="000000" w:themeColor="text1"/>
          <w:lang w:val="es-PR"/>
        </w:rPr>
        <w:t>C. de</w:t>
      </w:r>
      <w:r w:rsidR="0076727A">
        <w:rPr>
          <w:rFonts w:ascii="Book Antiqua" w:hAnsi="Book Antiqua"/>
          <w:color w:val="000000" w:themeColor="text1"/>
          <w:lang w:val="es-PR"/>
        </w:rPr>
        <w:t>l S. 66</w:t>
      </w:r>
      <w:r w:rsidR="00623DFF">
        <w:rPr>
          <w:rFonts w:ascii="Book Antiqua" w:hAnsi="Book Antiqua"/>
          <w:color w:val="000000" w:themeColor="text1"/>
          <w:lang w:val="es-PR"/>
        </w:rPr>
        <w:t>, sin enmiendas</w:t>
      </w:r>
      <w:r w:rsidR="00777B0C">
        <w:rPr>
          <w:rFonts w:ascii="Book Antiqua" w:hAnsi="Book Antiqua"/>
          <w:color w:val="000000" w:themeColor="text1"/>
          <w:lang w:val="es-PR"/>
        </w:rPr>
        <w:t xml:space="preserve">. </w:t>
      </w:r>
    </w:p>
    <w:p w14:paraId="11944B92" w14:textId="77777777" w:rsidR="008A54FD" w:rsidRDefault="008A54FD" w:rsidP="00AC627E">
      <w:pPr>
        <w:spacing w:before="100" w:beforeAutospacing="1"/>
        <w:ind w:firstLine="720"/>
        <w:jc w:val="both"/>
        <w:rPr>
          <w:rFonts w:ascii="Book Antiqua" w:hAnsi="Book Antiqua"/>
          <w:color w:val="000000" w:themeColor="text1"/>
          <w:lang w:val="es-PR"/>
        </w:rPr>
      </w:pPr>
    </w:p>
    <w:p w14:paraId="66B3C0C0" w14:textId="0ACCC0A5" w:rsidR="003D6317" w:rsidRDefault="003D6317" w:rsidP="003D6317">
      <w:pPr>
        <w:spacing w:before="100" w:beforeAutospacing="1"/>
        <w:rPr>
          <w:rFonts w:ascii="Book Antiqua" w:hAnsi="Book Antiqua"/>
          <w:color w:val="000000" w:themeColor="text1"/>
          <w:lang w:val="es-PR"/>
        </w:rPr>
      </w:pPr>
      <w:r>
        <w:rPr>
          <w:rFonts w:ascii="Book Antiqua" w:hAnsi="Book Antiqua"/>
          <w:color w:val="000000" w:themeColor="text1"/>
          <w:lang w:val="es-PR"/>
        </w:rPr>
        <w:t xml:space="preserve">Respetuosamente </w:t>
      </w:r>
      <w:r w:rsidR="00623DFF">
        <w:rPr>
          <w:rFonts w:ascii="Book Antiqua" w:hAnsi="Book Antiqua"/>
          <w:color w:val="000000" w:themeColor="text1"/>
          <w:lang w:val="es-PR"/>
        </w:rPr>
        <w:t>s</w:t>
      </w:r>
      <w:r>
        <w:rPr>
          <w:rFonts w:ascii="Book Antiqua" w:hAnsi="Book Antiqua"/>
          <w:color w:val="000000" w:themeColor="text1"/>
          <w:lang w:val="es-PR"/>
        </w:rPr>
        <w:t>ometido,</w:t>
      </w:r>
    </w:p>
    <w:p w14:paraId="44F682D4" w14:textId="77777777" w:rsidR="003D6317" w:rsidRDefault="003D6317" w:rsidP="003D6317">
      <w:pPr>
        <w:spacing w:before="100" w:beforeAutospacing="1"/>
        <w:rPr>
          <w:rFonts w:ascii="Book Antiqua" w:hAnsi="Book Antiqua"/>
          <w:color w:val="000000" w:themeColor="text1"/>
          <w:lang w:val="es-PR"/>
        </w:rPr>
      </w:pPr>
    </w:p>
    <w:p w14:paraId="7AAA0837" w14:textId="77777777" w:rsidR="003D6317" w:rsidRPr="0001561B" w:rsidRDefault="003D6317" w:rsidP="003D6317">
      <w:pPr>
        <w:spacing w:before="100" w:beforeAutospacing="1"/>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2BE2B" w14:textId="77777777" w:rsidR="00FE4DA3" w:rsidRDefault="00FE4DA3">
      <w:r>
        <w:separator/>
      </w:r>
    </w:p>
  </w:endnote>
  <w:endnote w:type="continuationSeparator" w:id="0">
    <w:p w14:paraId="46575E7B" w14:textId="77777777" w:rsidR="00FE4DA3" w:rsidRDefault="00FE4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02A5A" w14:textId="77777777" w:rsidR="00FE4DA3" w:rsidRDefault="00FE4DA3">
      <w:r>
        <w:separator/>
      </w:r>
    </w:p>
  </w:footnote>
  <w:footnote w:type="continuationSeparator" w:id="0">
    <w:p w14:paraId="02F70EBF" w14:textId="77777777" w:rsidR="00FE4DA3" w:rsidRDefault="00FE4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7F37"/>
    <w:rsid w:val="000133D7"/>
    <w:rsid w:val="0001561B"/>
    <w:rsid w:val="00015DFB"/>
    <w:rsid w:val="000167BD"/>
    <w:rsid w:val="00020BBB"/>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C2850"/>
    <w:rsid w:val="000C2CBF"/>
    <w:rsid w:val="000D60DB"/>
    <w:rsid w:val="000E2586"/>
    <w:rsid w:val="000E2DCB"/>
    <w:rsid w:val="000E3D6D"/>
    <w:rsid w:val="000E7F87"/>
    <w:rsid w:val="00105AB1"/>
    <w:rsid w:val="00111E71"/>
    <w:rsid w:val="001127B0"/>
    <w:rsid w:val="00114602"/>
    <w:rsid w:val="00127C6A"/>
    <w:rsid w:val="001363FE"/>
    <w:rsid w:val="00144020"/>
    <w:rsid w:val="001606CA"/>
    <w:rsid w:val="00166098"/>
    <w:rsid w:val="0017132B"/>
    <w:rsid w:val="00173F45"/>
    <w:rsid w:val="00174574"/>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05FE7"/>
    <w:rsid w:val="00211396"/>
    <w:rsid w:val="00220B05"/>
    <w:rsid w:val="00222320"/>
    <w:rsid w:val="00224A5E"/>
    <w:rsid w:val="00226AE6"/>
    <w:rsid w:val="00245B34"/>
    <w:rsid w:val="0026318A"/>
    <w:rsid w:val="00263355"/>
    <w:rsid w:val="002648C4"/>
    <w:rsid w:val="00273792"/>
    <w:rsid w:val="00284E77"/>
    <w:rsid w:val="00287B17"/>
    <w:rsid w:val="0029726D"/>
    <w:rsid w:val="002A1054"/>
    <w:rsid w:val="002A73D5"/>
    <w:rsid w:val="002B4F94"/>
    <w:rsid w:val="002C1204"/>
    <w:rsid w:val="002C6295"/>
    <w:rsid w:val="002D4AC8"/>
    <w:rsid w:val="002E161E"/>
    <w:rsid w:val="00301BB8"/>
    <w:rsid w:val="00307183"/>
    <w:rsid w:val="00320BDF"/>
    <w:rsid w:val="00320D78"/>
    <w:rsid w:val="0033654C"/>
    <w:rsid w:val="0034124E"/>
    <w:rsid w:val="00364902"/>
    <w:rsid w:val="00380FE5"/>
    <w:rsid w:val="00384455"/>
    <w:rsid w:val="003851A7"/>
    <w:rsid w:val="003924DD"/>
    <w:rsid w:val="00394FCB"/>
    <w:rsid w:val="003963BE"/>
    <w:rsid w:val="003963F4"/>
    <w:rsid w:val="003B5254"/>
    <w:rsid w:val="003B75A6"/>
    <w:rsid w:val="003C7E14"/>
    <w:rsid w:val="003D2C21"/>
    <w:rsid w:val="003D6317"/>
    <w:rsid w:val="003F05CE"/>
    <w:rsid w:val="003F0BE6"/>
    <w:rsid w:val="003F5044"/>
    <w:rsid w:val="003F5915"/>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3C3F"/>
    <w:rsid w:val="00555018"/>
    <w:rsid w:val="00561060"/>
    <w:rsid w:val="00566049"/>
    <w:rsid w:val="00566198"/>
    <w:rsid w:val="005723DC"/>
    <w:rsid w:val="00574A8A"/>
    <w:rsid w:val="00580214"/>
    <w:rsid w:val="00584305"/>
    <w:rsid w:val="00593865"/>
    <w:rsid w:val="005B00A9"/>
    <w:rsid w:val="005D64AD"/>
    <w:rsid w:val="005F0B0E"/>
    <w:rsid w:val="005F3881"/>
    <w:rsid w:val="006149B6"/>
    <w:rsid w:val="006210DC"/>
    <w:rsid w:val="00623DFF"/>
    <w:rsid w:val="006263AB"/>
    <w:rsid w:val="0062698A"/>
    <w:rsid w:val="006271D1"/>
    <w:rsid w:val="0063112E"/>
    <w:rsid w:val="00631D0C"/>
    <w:rsid w:val="0064349D"/>
    <w:rsid w:val="0064355F"/>
    <w:rsid w:val="00645825"/>
    <w:rsid w:val="00646973"/>
    <w:rsid w:val="00653EED"/>
    <w:rsid w:val="00672DCF"/>
    <w:rsid w:val="00677B4B"/>
    <w:rsid w:val="006832CB"/>
    <w:rsid w:val="00685549"/>
    <w:rsid w:val="0068572D"/>
    <w:rsid w:val="00693449"/>
    <w:rsid w:val="00694BFB"/>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6955"/>
    <w:rsid w:val="00777B0C"/>
    <w:rsid w:val="0079176E"/>
    <w:rsid w:val="007B0660"/>
    <w:rsid w:val="007C2BB1"/>
    <w:rsid w:val="007C4411"/>
    <w:rsid w:val="007C5056"/>
    <w:rsid w:val="007C69BD"/>
    <w:rsid w:val="007D4194"/>
    <w:rsid w:val="007E3868"/>
    <w:rsid w:val="007F7E2E"/>
    <w:rsid w:val="00800609"/>
    <w:rsid w:val="00805747"/>
    <w:rsid w:val="00815082"/>
    <w:rsid w:val="00817DB9"/>
    <w:rsid w:val="00817EEB"/>
    <w:rsid w:val="00820C41"/>
    <w:rsid w:val="0082209E"/>
    <w:rsid w:val="00833427"/>
    <w:rsid w:val="00837443"/>
    <w:rsid w:val="00846BDD"/>
    <w:rsid w:val="00850256"/>
    <w:rsid w:val="00855CE1"/>
    <w:rsid w:val="00860B5A"/>
    <w:rsid w:val="00867C71"/>
    <w:rsid w:val="00875D08"/>
    <w:rsid w:val="00883E61"/>
    <w:rsid w:val="00893D10"/>
    <w:rsid w:val="0089630F"/>
    <w:rsid w:val="008A0DB7"/>
    <w:rsid w:val="008A27E1"/>
    <w:rsid w:val="008A54FD"/>
    <w:rsid w:val="008A6474"/>
    <w:rsid w:val="008B4348"/>
    <w:rsid w:val="008C0763"/>
    <w:rsid w:val="008D2C0D"/>
    <w:rsid w:val="008E186E"/>
    <w:rsid w:val="008E4411"/>
    <w:rsid w:val="008F5A3F"/>
    <w:rsid w:val="00902E09"/>
    <w:rsid w:val="0091088A"/>
    <w:rsid w:val="00916C65"/>
    <w:rsid w:val="00922DEA"/>
    <w:rsid w:val="0093246F"/>
    <w:rsid w:val="0093686F"/>
    <w:rsid w:val="00942FD4"/>
    <w:rsid w:val="00951997"/>
    <w:rsid w:val="00953A32"/>
    <w:rsid w:val="009573AB"/>
    <w:rsid w:val="00966A51"/>
    <w:rsid w:val="009750D1"/>
    <w:rsid w:val="00990352"/>
    <w:rsid w:val="009B5F1F"/>
    <w:rsid w:val="009C5DAB"/>
    <w:rsid w:val="009D09D7"/>
    <w:rsid w:val="009D12CD"/>
    <w:rsid w:val="009D2DB5"/>
    <w:rsid w:val="009D50F2"/>
    <w:rsid w:val="009E798F"/>
    <w:rsid w:val="009F49A6"/>
    <w:rsid w:val="00A03405"/>
    <w:rsid w:val="00A03BDA"/>
    <w:rsid w:val="00A05430"/>
    <w:rsid w:val="00A10113"/>
    <w:rsid w:val="00A12741"/>
    <w:rsid w:val="00A1528A"/>
    <w:rsid w:val="00A1595B"/>
    <w:rsid w:val="00A16CF7"/>
    <w:rsid w:val="00A33918"/>
    <w:rsid w:val="00A33A63"/>
    <w:rsid w:val="00A367D6"/>
    <w:rsid w:val="00A37E34"/>
    <w:rsid w:val="00A40714"/>
    <w:rsid w:val="00A43E00"/>
    <w:rsid w:val="00A61046"/>
    <w:rsid w:val="00A62E93"/>
    <w:rsid w:val="00A673DD"/>
    <w:rsid w:val="00A7014B"/>
    <w:rsid w:val="00A7629F"/>
    <w:rsid w:val="00A82D98"/>
    <w:rsid w:val="00A97113"/>
    <w:rsid w:val="00AA2C8E"/>
    <w:rsid w:val="00AA73E7"/>
    <w:rsid w:val="00AB2538"/>
    <w:rsid w:val="00AB3BB4"/>
    <w:rsid w:val="00AB6F06"/>
    <w:rsid w:val="00AC171B"/>
    <w:rsid w:val="00AC627E"/>
    <w:rsid w:val="00AE193F"/>
    <w:rsid w:val="00AE26CF"/>
    <w:rsid w:val="00AF0CEE"/>
    <w:rsid w:val="00AF6E13"/>
    <w:rsid w:val="00B02DB9"/>
    <w:rsid w:val="00B116E9"/>
    <w:rsid w:val="00B15D49"/>
    <w:rsid w:val="00B23E2A"/>
    <w:rsid w:val="00B2443D"/>
    <w:rsid w:val="00B264F3"/>
    <w:rsid w:val="00B31B02"/>
    <w:rsid w:val="00B42703"/>
    <w:rsid w:val="00B54A47"/>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E60D8"/>
    <w:rsid w:val="00BF16AA"/>
    <w:rsid w:val="00BF526C"/>
    <w:rsid w:val="00C03062"/>
    <w:rsid w:val="00C0414C"/>
    <w:rsid w:val="00C120CE"/>
    <w:rsid w:val="00C15F04"/>
    <w:rsid w:val="00C26F5D"/>
    <w:rsid w:val="00C354B8"/>
    <w:rsid w:val="00C46101"/>
    <w:rsid w:val="00C52517"/>
    <w:rsid w:val="00C5476E"/>
    <w:rsid w:val="00C5595F"/>
    <w:rsid w:val="00C60921"/>
    <w:rsid w:val="00C60F6E"/>
    <w:rsid w:val="00C62936"/>
    <w:rsid w:val="00C653F2"/>
    <w:rsid w:val="00C65D58"/>
    <w:rsid w:val="00C679E6"/>
    <w:rsid w:val="00C82C0E"/>
    <w:rsid w:val="00C83487"/>
    <w:rsid w:val="00C87515"/>
    <w:rsid w:val="00C908F9"/>
    <w:rsid w:val="00C97ADB"/>
    <w:rsid w:val="00CA0917"/>
    <w:rsid w:val="00CA1099"/>
    <w:rsid w:val="00CA70B3"/>
    <w:rsid w:val="00CB434E"/>
    <w:rsid w:val="00CB4FC8"/>
    <w:rsid w:val="00CD338B"/>
    <w:rsid w:val="00CD61C0"/>
    <w:rsid w:val="00CE4788"/>
    <w:rsid w:val="00CF3EBC"/>
    <w:rsid w:val="00CF797F"/>
    <w:rsid w:val="00D133AC"/>
    <w:rsid w:val="00D16374"/>
    <w:rsid w:val="00D21B71"/>
    <w:rsid w:val="00D417C2"/>
    <w:rsid w:val="00D422EF"/>
    <w:rsid w:val="00D54562"/>
    <w:rsid w:val="00D55185"/>
    <w:rsid w:val="00D60936"/>
    <w:rsid w:val="00D709EB"/>
    <w:rsid w:val="00D71003"/>
    <w:rsid w:val="00D74714"/>
    <w:rsid w:val="00D82F3F"/>
    <w:rsid w:val="00D921C6"/>
    <w:rsid w:val="00D92384"/>
    <w:rsid w:val="00D958C2"/>
    <w:rsid w:val="00D95C3F"/>
    <w:rsid w:val="00DA459F"/>
    <w:rsid w:val="00DD2FD5"/>
    <w:rsid w:val="00DE4424"/>
    <w:rsid w:val="00DE5604"/>
    <w:rsid w:val="00E04AB5"/>
    <w:rsid w:val="00E11E75"/>
    <w:rsid w:val="00E23ABC"/>
    <w:rsid w:val="00E50EEA"/>
    <w:rsid w:val="00E52F58"/>
    <w:rsid w:val="00E53469"/>
    <w:rsid w:val="00E54233"/>
    <w:rsid w:val="00E61403"/>
    <w:rsid w:val="00E65805"/>
    <w:rsid w:val="00E7187D"/>
    <w:rsid w:val="00E77E19"/>
    <w:rsid w:val="00E8764A"/>
    <w:rsid w:val="00E94927"/>
    <w:rsid w:val="00EA21D5"/>
    <w:rsid w:val="00EC1CEA"/>
    <w:rsid w:val="00EC26AA"/>
    <w:rsid w:val="00EC473E"/>
    <w:rsid w:val="00EC6018"/>
    <w:rsid w:val="00ED7A53"/>
    <w:rsid w:val="00EE4273"/>
    <w:rsid w:val="00F01013"/>
    <w:rsid w:val="00F02004"/>
    <w:rsid w:val="00F042CB"/>
    <w:rsid w:val="00F10B74"/>
    <w:rsid w:val="00F14A41"/>
    <w:rsid w:val="00F21BB4"/>
    <w:rsid w:val="00F357D8"/>
    <w:rsid w:val="00F371BF"/>
    <w:rsid w:val="00F42DC5"/>
    <w:rsid w:val="00F47286"/>
    <w:rsid w:val="00F60941"/>
    <w:rsid w:val="00F60A20"/>
    <w:rsid w:val="00F65075"/>
    <w:rsid w:val="00F6633A"/>
    <w:rsid w:val="00F74502"/>
    <w:rsid w:val="00F82E7E"/>
    <w:rsid w:val="00F938A1"/>
    <w:rsid w:val="00F96885"/>
    <w:rsid w:val="00F973AA"/>
    <w:rsid w:val="00FC0A95"/>
    <w:rsid w:val="00FC2AE0"/>
    <w:rsid w:val="00FC319B"/>
    <w:rsid w:val="00FC3D9C"/>
    <w:rsid w:val="00FC579D"/>
    <w:rsid w:val="00FD3130"/>
    <w:rsid w:val="00FD3D12"/>
    <w:rsid w:val="00FD68A3"/>
    <w:rsid w:val="00FD6CB7"/>
    <w:rsid w:val="00FE14B5"/>
    <w:rsid w:val="00FE4DA3"/>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styleId="Hyperlink">
    <w:name w:val="Hyperlink"/>
    <w:basedOn w:val="DefaultParagraphFont"/>
    <w:uiPriority w:val="99"/>
    <w:unhideWhenUsed/>
    <w:rsid w:val="00916C65"/>
    <w:rPr>
      <w:color w:val="0563C1" w:themeColor="hyperlink"/>
      <w:u w:val="single"/>
    </w:rPr>
  </w:style>
  <w:style w:type="character" w:styleId="UnresolvedMention">
    <w:name w:val="Unresolved Mention"/>
    <w:basedOn w:val="DefaultParagraphFont"/>
    <w:uiPriority w:val="99"/>
    <w:semiHidden/>
    <w:unhideWhenUsed/>
    <w:rsid w:val="00916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1701</Words>
  <Characters>9986</Characters>
  <Application>Microsoft Office Word</Application>
  <DocSecurity>4</DocSecurity>
  <Lines>172</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2025-10-21T16:52:00Z</cp:lastPrinted>
  <dcterms:created xsi:type="dcterms:W3CDTF">2026-01-28T20:05:00Z</dcterms:created>
  <dcterms:modified xsi:type="dcterms:W3CDTF">2026-01-28T20:05:00Z</dcterms:modified>
</cp:coreProperties>
</file>