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7D6A91" w:rsidRDefault="00850770">
      <w:pPr>
        <w:jc w:val="center"/>
        <w:rPr>
          <w:rFonts w:ascii="Book Antiqua" w:eastAsia="Book Antiqua" w:hAnsi="Book Antiqua" w:cs="Book Antiqua"/>
          <w:bCs/>
          <w:color w:val="000000" w:themeColor="text1"/>
          <w:sz w:val="28"/>
          <w:szCs w:val="28"/>
          <w:lang w:val="es-PR"/>
        </w:rPr>
      </w:pPr>
      <w:r w:rsidRPr="007D6A91">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7D6A91">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37E35ECD"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7D71E7">
        <w:rPr>
          <w:rFonts w:ascii="Book Antiqua" w:hAnsi="Book Antiqua"/>
          <w:b/>
          <w:color w:val="000000" w:themeColor="text1"/>
          <w:sz w:val="52"/>
          <w:szCs w:val="52"/>
          <w:lang w:val="es-PR"/>
        </w:rPr>
        <w:t xml:space="preserve"> 523</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867A7A1" w:rsidR="00950505" w:rsidRPr="00930E48" w:rsidRDefault="007D71E7"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7 </w:t>
      </w:r>
      <w:r w:rsidR="007D6A91">
        <w:rPr>
          <w:rFonts w:ascii="Book Antiqua" w:hAnsi="Book Antiqua"/>
          <w:color w:val="000000" w:themeColor="text1"/>
          <w:lang w:val="es-PR"/>
        </w:rPr>
        <w:t>DE ABRIL DE</w:t>
      </w:r>
      <w:r w:rsidR="00950505" w:rsidRPr="00930E48">
        <w:rPr>
          <w:rFonts w:ascii="Book Antiqua" w:hAnsi="Book Antiqua"/>
          <w:color w:val="000000" w:themeColor="text1"/>
          <w:lang w:val="es-PR"/>
        </w:rPr>
        <w:t xml:space="preserv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28E8183A"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w:t>
      </w:r>
      <w:r w:rsidR="00E74634">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w:t>
      </w:r>
      <w:r w:rsidR="00B02CD9" w:rsidRPr="007D6A91">
        <w:rPr>
          <w:rFonts w:ascii="Book Antiqua" w:eastAsia="Aptos" w:hAnsi="Book Antiqua"/>
          <w:kern w:val="2"/>
          <w:lang w:val="es-ES"/>
          <w14:ligatures w14:val="standardContextual"/>
        </w:rPr>
        <w:t xml:space="preserve"> y</w:t>
      </w:r>
      <w:r w:rsidR="00B02CD9" w:rsidRPr="00BC63DB">
        <w:rPr>
          <w:rFonts w:ascii="Book Antiqua" w:eastAsia="Aptos" w:hAnsi="Book Antiqua"/>
          <w:i/>
          <w:iCs/>
          <w:kern w:val="2"/>
          <w:lang w:val="es-ES"/>
          <w14:ligatures w14:val="standardContextual"/>
        </w:rPr>
        <w:t xml:space="preserve">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53108FBA"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623D53">
        <w:rPr>
          <w:rFonts w:ascii="Book Antiqua" w:hAnsi="Book Antiqua"/>
          <w:color w:val="000000" w:themeColor="text1"/>
          <w:lang w:val="es-PR"/>
        </w:rPr>
        <w:t xml:space="preserve"> la Comisión de Gobierno</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7D6A91" w:rsidRDefault="00950505" w:rsidP="00950505">
      <w:pPr>
        <w:jc w:val="center"/>
        <w:rPr>
          <w:rFonts w:ascii="Book Antiqua" w:hAnsi="Book Antiqua"/>
          <w:b/>
          <w:color w:val="000000" w:themeColor="text1"/>
          <w:sz w:val="28"/>
          <w:lang w:val="es-PR"/>
        </w:rPr>
      </w:pPr>
      <w:r w:rsidRPr="007D6A91">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10C7F9E8" w14:textId="5B87BCF6" w:rsidR="00855B45" w:rsidRPr="00AE0D1D" w:rsidRDefault="00850770" w:rsidP="00AE0D1D">
      <w:pPr>
        <w:suppressLineNumbers/>
        <w:ind w:left="567" w:hanging="567"/>
        <w:jc w:val="both"/>
        <w:rPr>
          <w:rFonts w:ascii="Book Antiqua" w:hAnsi="Book Antiqua"/>
          <w:lang w:val="es-ES_tradnl"/>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5C1370">
        <w:rPr>
          <w:rFonts w:ascii="Book Antiqua" w:hAnsi="Book Antiqua"/>
          <w:lang w:val="es-ES_tradnl"/>
        </w:rPr>
        <w:t xml:space="preserve">enmendar </w:t>
      </w:r>
      <w:r w:rsidR="009841D4">
        <w:rPr>
          <w:rFonts w:ascii="Book Antiqua" w:hAnsi="Book Antiqua"/>
          <w:lang w:val="es-ES_tradnl"/>
        </w:rPr>
        <w:t xml:space="preserve">los Artículos 4 y 46 </w:t>
      </w:r>
      <w:r w:rsidR="005C1370" w:rsidRPr="00934C52">
        <w:rPr>
          <w:rFonts w:ascii="Book Antiqua" w:hAnsi="Book Antiqua"/>
          <w:lang w:val="es-ES_tradnl"/>
        </w:rPr>
        <w:t>de la Ley 73-2019, según enmendada, conocida como “Ley de la Administración de Servicios Generales para la Centralización de las Compras del Gobierno de Puerto Rico de 2019</w:t>
      </w:r>
      <w:r w:rsidR="005C1370">
        <w:rPr>
          <w:rFonts w:ascii="Book Antiqua" w:hAnsi="Book Antiqua"/>
          <w:lang w:val="es-ES_tradnl"/>
        </w:rPr>
        <w:t>”, a los fines de incluir</w:t>
      </w:r>
      <w:r w:rsidR="005C1370" w:rsidRPr="005D4001">
        <w:rPr>
          <w:rFonts w:ascii="Book Antiqua" w:hAnsi="Book Antiqua"/>
          <w:lang w:val="es-ES_tradnl"/>
        </w:rPr>
        <w:t xml:space="preserve"> </w:t>
      </w:r>
      <w:r w:rsidR="005C1370">
        <w:rPr>
          <w:rFonts w:ascii="Book Antiqua" w:hAnsi="Book Antiqua"/>
          <w:lang w:val="es-ES_tradnl"/>
        </w:rPr>
        <w:t>a la</w:t>
      </w:r>
      <w:r w:rsidR="005C1370" w:rsidRPr="005D4001">
        <w:rPr>
          <w:rFonts w:ascii="Book Antiqua" w:hAnsi="Book Antiqua"/>
          <w:lang w:val="es-ES_tradnl"/>
        </w:rPr>
        <w:t xml:space="preserve"> </w:t>
      </w:r>
      <w:r w:rsidR="005C1370" w:rsidRPr="00EE763C">
        <w:rPr>
          <w:rFonts w:ascii="Book Antiqua" w:hAnsi="Book Antiqua"/>
          <w:lang w:val="es-ES_tradnl"/>
        </w:rPr>
        <w:t>Escuela de Artes Plásticas y Diseño</w:t>
      </w:r>
      <w:r w:rsidR="005C1370">
        <w:rPr>
          <w:rFonts w:ascii="Book Antiqua" w:hAnsi="Book Antiqua"/>
          <w:lang w:val="es-ES_tradnl"/>
        </w:rPr>
        <w:t xml:space="preserve"> de Puerto Rico</w:t>
      </w:r>
      <w:r w:rsidR="005C1370" w:rsidRPr="005D4001">
        <w:rPr>
          <w:rFonts w:ascii="Book Antiqua" w:hAnsi="Book Antiqua"/>
          <w:lang w:val="es-ES_tradnl"/>
        </w:rPr>
        <w:t xml:space="preserve"> </w:t>
      </w:r>
      <w:r w:rsidR="005C1370">
        <w:rPr>
          <w:rFonts w:ascii="Book Antiqua" w:hAnsi="Book Antiqua"/>
          <w:lang w:val="es-ES_tradnl"/>
        </w:rPr>
        <w:t>como</w:t>
      </w:r>
      <w:r w:rsidR="005C1370" w:rsidRPr="005D4001">
        <w:rPr>
          <w:rFonts w:ascii="Book Antiqua" w:hAnsi="Book Antiqua"/>
          <w:lang w:val="es-ES_tradnl"/>
        </w:rPr>
        <w:t xml:space="preserve"> </w:t>
      </w:r>
      <w:r w:rsidR="005C1370">
        <w:rPr>
          <w:rFonts w:ascii="Book Antiqua" w:hAnsi="Book Antiqua"/>
          <w:lang w:val="es-ES_tradnl"/>
        </w:rPr>
        <w:t>“Entidad Exenta”</w:t>
      </w:r>
      <w:r w:rsidR="009874EE" w:rsidRPr="009874EE">
        <w:rPr>
          <w:rFonts w:ascii="Book Antiqua" w:hAnsi="Book Antiqua"/>
          <w:lang w:val="es-ES_tradnl"/>
        </w:rPr>
        <w:t xml:space="preserve"> </w:t>
      </w:r>
      <w:r w:rsidR="009874EE" w:rsidRPr="005D4001">
        <w:rPr>
          <w:rFonts w:ascii="Book Antiqua" w:hAnsi="Book Antiqua"/>
          <w:lang w:val="es-ES_tradnl"/>
        </w:rPr>
        <w:t>de los procesos de adquisición de materiales y servicios a través de la Administración de Servicios Generales (ASG)</w:t>
      </w:r>
      <w:r w:rsidR="009841D4">
        <w:rPr>
          <w:rFonts w:ascii="Book Antiqua" w:hAnsi="Book Antiqua"/>
          <w:lang w:val="es-ES_tradnl"/>
        </w:rPr>
        <w:t xml:space="preserve"> e incluir al personal docente de</w:t>
      </w:r>
      <w:r w:rsidR="008C30C9">
        <w:rPr>
          <w:rFonts w:ascii="Book Antiqua" w:hAnsi="Book Antiqua"/>
          <w:lang w:val="es-ES_tradnl"/>
        </w:rPr>
        <w:t xml:space="preserve"> las instituciones </w:t>
      </w:r>
      <w:r w:rsidR="009874EE">
        <w:rPr>
          <w:rFonts w:ascii="Book Antiqua" w:hAnsi="Book Antiqua"/>
          <w:lang w:val="es-ES_tradnl"/>
        </w:rPr>
        <w:t xml:space="preserve">de educación </w:t>
      </w:r>
      <w:r w:rsidR="008C30C9">
        <w:rPr>
          <w:rFonts w:ascii="Book Antiqua" w:hAnsi="Book Antiqua"/>
          <w:lang w:val="es-ES_tradnl"/>
        </w:rPr>
        <w:t xml:space="preserve">superior públicas como contratación de servicios profesionales exentos </w:t>
      </w:r>
      <w:r w:rsidR="00032520">
        <w:rPr>
          <w:rFonts w:ascii="Book Antiqua" w:hAnsi="Book Antiqua"/>
          <w:lang w:val="es-ES_tradnl"/>
        </w:rPr>
        <w:t xml:space="preserve">de ciertas disposiciones </w:t>
      </w:r>
      <w:r w:rsidR="008C30C9">
        <w:rPr>
          <w:rFonts w:ascii="Book Antiqua" w:hAnsi="Book Antiqua"/>
          <w:lang w:val="es-ES_tradnl"/>
        </w:rPr>
        <w:t>del Registro Único de Proveedores de Servicios Profesionales</w:t>
      </w:r>
      <w:r w:rsidR="009874EE">
        <w:rPr>
          <w:rFonts w:ascii="Book Antiqua" w:hAnsi="Book Antiqua"/>
          <w:lang w:val="es-ES_tradnl"/>
        </w:rPr>
        <w:t xml:space="preserve">, </w:t>
      </w:r>
      <w:r w:rsidR="005C1370" w:rsidRPr="005D4001">
        <w:rPr>
          <w:rFonts w:ascii="Book Antiqua" w:hAnsi="Book Antiqua"/>
          <w:lang w:val="es-ES_tradnl"/>
        </w:rPr>
        <w:t>y para otros fines relacionados.</w:t>
      </w:r>
    </w:p>
    <w:p w14:paraId="1D70E595" w14:textId="77777777" w:rsidR="00855B45" w:rsidRDefault="00855B45" w:rsidP="005C1370">
      <w:pPr>
        <w:ind w:left="540" w:hanging="540"/>
        <w:jc w:val="center"/>
        <w:rPr>
          <w:rFonts w:ascii="Book Antiqua" w:eastAsia="Book Antiqua" w:hAnsi="Book Antiqua" w:cs="Book Antiqua"/>
          <w:bCs/>
          <w:color w:val="000000" w:themeColor="text1"/>
          <w:lang w:val="es-PR"/>
        </w:rPr>
      </w:pPr>
    </w:p>
    <w:p w14:paraId="63AE53B1" w14:textId="62CAE99C" w:rsidR="00010836" w:rsidRPr="007D6A91" w:rsidRDefault="00850770" w:rsidP="005C1370">
      <w:pPr>
        <w:ind w:left="540" w:hanging="540"/>
        <w:jc w:val="center"/>
        <w:rPr>
          <w:rFonts w:ascii="Book Antiqua" w:eastAsia="Book Antiqua" w:hAnsi="Book Antiqua" w:cs="Book Antiqua"/>
          <w:bCs/>
          <w:color w:val="000000" w:themeColor="text1"/>
          <w:lang w:val="es-PR"/>
        </w:rPr>
      </w:pPr>
      <w:r w:rsidRPr="007D6A91">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05C85FED" w14:textId="47460936" w:rsidR="00E74634" w:rsidRDefault="005C1370" w:rsidP="5C5C04A9">
      <w:pPr>
        <w:suppressLineNumbers/>
        <w:jc w:val="both"/>
        <w:rPr>
          <w:rFonts w:ascii="Book Antiqua" w:hAnsi="Book Antiqua"/>
          <w:lang w:val="es-ES"/>
        </w:rPr>
      </w:pPr>
      <w:r w:rsidRPr="5C5C04A9">
        <w:rPr>
          <w:rFonts w:ascii="Book Antiqua" w:hAnsi="Book Antiqua"/>
          <w:lang w:val="es-ES"/>
        </w:rPr>
        <w:t xml:space="preserve">En los pasados años la administración de la Corporación de la Escuela de Artes Plásticas y Diseño de Puerto Rico se ha visto </w:t>
      </w:r>
      <w:r w:rsidR="00032520" w:rsidRPr="5C5C04A9">
        <w:rPr>
          <w:rFonts w:ascii="Book Antiqua" w:hAnsi="Book Antiqua"/>
          <w:lang w:val="es-ES"/>
        </w:rPr>
        <w:t>afectada por</w:t>
      </w:r>
      <w:r w:rsidRPr="5C5C04A9">
        <w:rPr>
          <w:rFonts w:ascii="Book Antiqua" w:hAnsi="Book Antiqua"/>
          <w:lang w:val="es-ES"/>
        </w:rPr>
        <w:t xml:space="preserve"> leyes que no contemplan la naturaleza autónoma propia de </w:t>
      </w:r>
      <w:r w:rsidR="00032520" w:rsidRPr="5C5C04A9">
        <w:rPr>
          <w:rFonts w:ascii="Book Antiqua" w:hAnsi="Book Antiqua"/>
          <w:lang w:val="es-ES"/>
        </w:rPr>
        <w:t xml:space="preserve">esta </w:t>
      </w:r>
      <w:r w:rsidRPr="5C5C04A9">
        <w:rPr>
          <w:rFonts w:ascii="Book Antiqua" w:hAnsi="Book Antiqua"/>
          <w:lang w:val="es-ES"/>
        </w:rPr>
        <w:t xml:space="preserve">institución universitaria. Esto pone en riesgo el uso efectivo de </w:t>
      </w:r>
      <w:r w:rsidRPr="5C5C04A9">
        <w:rPr>
          <w:rFonts w:ascii="Book Antiqua" w:hAnsi="Book Antiqua"/>
          <w:lang w:val="es-ES"/>
        </w:rPr>
        <w:lastRenderedPageBreak/>
        <w:t xml:space="preserve">los fondos propios y el logro de las metas de la institución universitaria afectando negativamente la acreditación de la </w:t>
      </w:r>
      <w:r w:rsidR="00F63969" w:rsidRPr="5C5C04A9">
        <w:rPr>
          <w:rFonts w:ascii="Book Antiqua" w:hAnsi="Book Antiqua"/>
          <w:lang w:val="es-ES"/>
        </w:rPr>
        <w:t>“</w:t>
      </w:r>
      <w:r w:rsidRPr="5C5C04A9">
        <w:rPr>
          <w:rFonts w:ascii="Book Antiqua" w:hAnsi="Book Antiqua"/>
          <w:lang w:val="es-ES"/>
        </w:rPr>
        <w:t>Middle States Commission on Higher Education</w:t>
      </w:r>
      <w:r w:rsidR="00F63969" w:rsidRPr="5C5C04A9">
        <w:rPr>
          <w:rFonts w:ascii="Book Antiqua" w:hAnsi="Book Antiqua"/>
          <w:lang w:val="es-ES"/>
        </w:rPr>
        <w:t>”</w:t>
      </w:r>
      <w:r w:rsidRPr="5C5C04A9">
        <w:rPr>
          <w:rFonts w:ascii="Book Antiqua" w:hAnsi="Book Antiqua"/>
          <w:lang w:val="es-ES"/>
        </w:rPr>
        <w:t xml:space="preserve"> (MSCHE) y de la </w:t>
      </w:r>
      <w:r w:rsidR="00F63969" w:rsidRPr="5C5C04A9">
        <w:rPr>
          <w:rFonts w:ascii="Book Antiqua" w:hAnsi="Book Antiqua"/>
          <w:lang w:val="es-ES"/>
        </w:rPr>
        <w:t>“</w:t>
      </w:r>
      <w:r w:rsidRPr="5C5C04A9">
        <w:rPr>
          <w:rFonts w:ascii="Book Antiqua" w:hAnsi="Book Antiqua"/>
          <w:lang w:val="es-ES"/>
        </w:rPr>
        <w:t>National Association of Schools of Art and Design</w:t>
      </w:r>
      <w:r w:rsidR="00F63969" w:rsidRPr="5C5C04A9">
        <w:rPr>
          <w:rFonts w:ascii="Book Antiqua" w:hAnsi="Book Antiqua"/>
          <w:lang w:val="es-ES"/>
        </w:rPr>
        <w:t>”</w:t>
      </w:r>
      <w:r w:rsidRPr="5C5C04A9">
        <w:rPr>
          <w:rFonts w:ascii="Book Antiqua" w:hAnsi="Book Antiqua"/>
          <w:lang w:val="es-ES"/>
        </w:rPr>
        <w:t xml:space="preserve"> (NASAD). </w:t>
      </w:r>
    </w:p>
    <w:p w14:paraId="3E555ADB" w14:textId="77777777" w:rsidR="00E74634" w:rsidRDefault="005C1370" w:rsidP="00F1322B">
      <w:pPr>
        <w:suppressLineNumbers/>
        <w:jc w:val="both"/>
        <w:rPr>
          <w:rFonts w:ascii="Book Antiqua" w:hAnsi="Book Antiqua"/>
          <w:lang w:val="es-ES_tradnl"/>
        </w:rPr>
      </w:pPr>
      <w:r>
        <w:rPr>
          <w:rFonts w:ascii="Book Antiqua" w:hAnsi="Book Antiqua"/>
          <w:lang w:val="es-ES_tradnl"/>
        </w:rPr>
        <w:t xml:space="preserve"> </w:t>
      </w:r>
    </w:p>
    <w:p w14:paraId="45885E4F" w14:textId="01CD8628" w:rsidR="005C1370" w:rsidRDefault="00E74634" w:rsidP="00F1322B">
      <w:pPr>
        <w:suppressLineNumbers/>
        <w:jc w:val="both"/>
        <w:rPr>
          <w:rFonts w:ascii="Book Antiqua" w:hAnsi="Book Antiqua"/>
          <w:lang w:val="es-ES_tradnl"/>
        </w:rPr>
      </w:pPr>
      <w:r>
        <w:rPr>
          <w:rFonts w:ascii="Book Antiqua" w:hAnsi="Book Antiqua"/>
          <w:lang w:val="es-ES_tradnl"/>
        </w:rPr>
        <w:t xml:space="preserve">La </w:t>
      </w:r>
      <w:r w:rsidR="005C1370">
        <w:rPr>
          <w:rFonts w:ascii="Book Antiqua" w:hAnsi="Book Antiqua"/>
          <w:lang w:val="es-ES_tradnl"/>
        </w:rPr>
        <w:t>Ley Núm. 54 de 22 de agosto de 1990, conocida como “</w:t>
      </w:r>
      <w:r w:rsidR="005C1370" w:rsidRPr="00EE763C">
        <w:rPr>
          <w:rFonts w:ascii="Book Antiqua" w:hAnsi="Book Antiqua"/>
          <w:lang w:val="es-ES_tradnl"/>
        </w:rPr>
        <w:t>Ley de la Escuela de Artes Plásticas y Diseño de Puerto Rico</w:t>
      </w:r>
      <w:r w:rsidR="005C1370">
        <w:rPr>
          <w:rFonts w:ascii="Book Antiqua" w:hAnsi="Book Antiqua"/>
          <w:lang w:val="es-ES_tradnl"/>
        </w:rPr>
        <w:t xml:space="preserve">” </w:t>
      </w:r>
      <w:r w:rsidR="005C1370" w:rsidRPr="004F75C2">
        <w:rPr>
          <w:rFonts w:ascii="Book Antiqua" w:hAnsi="Book Antiqua"/>
          <w:lang w:val="es-ES_tradnl"/>
        </w:rPr>
        <w:t xml:space="preserve">expone </w:t>
      </w:r>
      <w:r w:rsidR="005C1370">
        <w:rPr>
          <w:rFonts w:ascii="Book Antiqua" w:hAnsi="Book Antiqua"/>
          <w:lang w:val="es-ES_tradnl"/>
        </w:rPr>
        <w:t xml:space="preserve">claramente </w:t>
      </w:r>
      <w:r w:rsidR="005C1370" w:rsidRPr="004F75C2">
        <w:rPr>
          <w:rFonts w:ascii="Book Antiqua" w:hAnsi="Book Antiqua"/>
          <w:lang w:val="es-ES_tradnl"/>
        </w:rPr>
        <w:t xml:space="preserve">en </w:t>
      </w:r>
      <w:r w:rsidR="005C1370">
        <w:rPr>
          <w:rFonts w:ascii="Book Antiqua" w:hAnsi="Book Antiqua"/>
          <w:lang w:val="es-ES_tradnl"/>
        </w:rPr>
        <w:t xml:space="preserve">múltiples </w:t>
      </w:r>
      <w:r w:rsidR="00AE0D1D">
        <w:rPr>
          <w:rFonts w:ascii="Book Antiqua" w:hAnsi="Book Antiqua"/>
          <w:lang w:val="es-ES_tradnl"/>
        </w:rPr>
        <w:t xml:space="preserve">disposiciones </w:t>
      </w:r>
      <w:r w:rsidR="00AE0D1D" w:rsidRPr="004F75C2">
        <w:rPr>
          <w:rFonts w:ascii="Book Antiqua" w:hAnsi="Book Antiqua"/>
          <w:lang w:val="es-ES_tradnl"/>
        </w:rPr>
        <w:t>la</w:t>
      </w:r>
      <w:r w:rsidR="005C1370">
        <w:rPr>
          <w:rFonts w:ascii="Book Antiqua" w:hAnsi="Book Antiqua"/>
          <w:lang w:val="es-ES_tradnl"/>
        </w:rPr>
        <w:t xml:space="preserve"> libre adquisición y disposición de bienes, el control de sus propiedades y actividades, incluyendo sus fondos y sistema de contabilidad, la libertad de contratación y la administración de su sistema de personal.</w:t>
      </w:r>
      <w:r w:rsidR="005C1370" w:rsidRPr="004F75C2">
        <w:rPr>
          <w:rFonts w:ascii="Book Antiqua" w:hAnsi="Book Antiqua"/>
          <w:lang w:val="es-ES_tradnl"/>
        </w:rPr>
        <w:t xml:space="preserve"> </w:t>
      </w:r>
      <w:r w:rsidR="00F63969">
        <w:rPr>
          <w:rFonts w:ascii="Book Antiqua" w:hAnsi="Book Antiqua"/>
          <w:lang w:val="es-ES_tradnl"/>
        </w:rPr>
        <w:t>Pero las disposiciones de la Ley 73-2019</w:t>
      </w:r>
      <w:r w:rsidR="00654CE0">
        <w:rPr>
          <w:rFonts w:ascii="Book Antiqua" w:hAnsi="Book Antiqua"/>
          <w:lang w:val="es-ES_tradnl"/>
        </w:rPr>
        <w:t xml:space="preserve">, según enmendada </w:t>
      </w:r>
      <w:r w:rsidR="00032520">
        <w:rPr>
          <w:rFonts w:ascii="Book Antiqua" w:hAnsi="Book Antiqua"/>
          <w:lang w:val="es-ES_tradnl"/>
        </w:rPr>
        <w:t xml:space="preserve">entran en conflicto directo </w:t>
      </w:r>
      <w:r w:rsidR="00F63969">
        <w:rPr>
          <w:rFonts w:ascii="Book Antiqua" w:hAnsi="Book Antiqua"/>
          <w:lang w:val="es-ES_tradnl"/>
        </w:rPr>
        <w:t>con</w:t>
      </w:r>
      <w:r w:rsidR="00B2274C">
        <w:rPr>
          <w:rFonts w:ascii="Book Antiqua" w:hAnsi="Book Antiqua"/>
          <w:lang w:val="es-ES_tradnl"/>
        </w:rPr>
        <w:t xml:space="preserve"> la intención legislativa de </w:t>
      </w:r>
      <w:r w:rsidR="00654CE0">
        <w:rPr>
          <w:rFonts w:ascii="Book Antiqua" w:hAnsi="Book Antiqua"/>
          <w:lang w:val="es-ES_tradnl"/>
        </w:rPr>
        <w:t>la Ley 54</w:t>
      </w:r>
      <w:r w:rsidR="00AE0D1D">
        <w:rPr>
          <w:rFonts w:ascii="Book Antiqua" w:hAnsi="Book Antiqua"/>
          <w:lang w:val="es-ES_tradnl"/>
        </w:rPr>
        <w:t>-1990</w:t>
      </w:r>
      <w:r w:rsidR="00654CE0">
        <w:rPr>
          <w:rFonts w:ascii="Book Antiqua" w:hAnsi="Book Antiqua"/>
          <w:lang w:val="es-ES_tradnl"/>
        </w:rPr>
        <w:t xml:space="preserve">, supra, </w:t>
      </w:r>
      <w:r w:rsidR="00B2274C">
        <w:rPr>
          <w:rFonts w:ascii="Book Antiqua" w:hAnsi="Book Antiqua"/>
          <w:lang w:val="es-ES_tradnl"/>
        </w:rPr>
        <w:t xml:space="preserve">que </w:t>
      </w:r>
      <w:r w:rsidR="00654CE0">
        <w:rPr>
          <w:rFonts w:ascii="Book Antiqua" w:hAnsi="Book Antiqua"/>
          <w:lang w:val="es-ES_tradnl"/>
        </w:rPr>
        <w:t xml:space="preserve">establece que </w:t>
      </w:r>
      <w:r w:rsidR="00B2274C">
        <w:rPr>
          <w:rFonts w:ascii="Book Antiqua" w:hAnsi="Book Antiqua"/>
          <w:lang w:val="es-ES_tradnl"/>
        </w:rPr>
        <w:t xml:space="preserve">la Escuela </w:t>
      </w:r>
      <w:r w:rsidR="00654CE0">
        <w:rPr>
          <w:rFonts w:ascii="Book Antiqua" w:hAnsi="Book Antiqua"/>
          <w:lang w:val="es-ES_tradnl"/>
        </w:rPr>
        <w:t>será</w:t>
      </w:r>
      <w:r w:rsidR="00B2274C">
        <w:rPr>
          <w:rFonts w:ascii="Book Antiqua" w:hAnsi="Book Antiqua"/>
          <w:lang w:val="es-ES_tradnl"/>
        </w:rPr>
        <w:t xml:space="preserve"> </w:t>
      </w:r>
      <w:r w:rsidR="00654CE0">
        <w:rPr>
          <w:rFonts w:ascii="Book Antiqua" w:hAnsi="Book Antiqua"/>
          <w:lang w:val="es-ES_tradnl"/>
        </w:rPr>
        <w:t xml:space="preserve">independiente en </w:t>
      </w:r>
      <w:r w:rsidR="00B2274C">
        <w:rPr>
          <w:rFonts w:ascii="Book Antiqua" w:hAnsi="Book Antiqua"/>
          <w:lang w:val="es-ES_tradnl"/>
        </w:rPr>
        <w:t>sus procesos administrativos</w:t>
      </w:r>
      <w:r w:rsidR="00654CE0">
        <w:rPr>
          <w:rFonts w:ascii="Book Antiqua" w:hAnsi="Book Antiqua"/>
          <w:lang w:val="es-ES_tradnl"/>
        </w:rPr>
        <w:t xml:space="preserve">. </w:t>
      </w:r>
    </w:p>
    <w:p w14:paraId="102AC187" w14:textId="77777777" w:rsidR="00F1322B" w:rsidRDefault="00F1322B" w:rsidP="00F1322B">
      <w:pPr>
        <w:suppressLineNumbers/>
        <w:jc w:val="both"/>
        <w:rPr>
          <w:rFonts w:ascii="Book Antiqua" w:hAnsi="Book Antiqua"/>
          <w:lang w:val="es-ES_tradnl"/>
        </w:rPr>
      </w:pPr>
    </w:p>
    <w:p w14:paraId="06D6451B" w14:textId="560D67B0" w:rsidR="005C1370" w:rsidRDefault="005C1370" w:rsidP="00F1322B">
      <w:pPr>
        <w:suppressLineNumbers/>
        <w:jc w:val="both"/>
        <w:rPr>
          <w:rFonts w:ascii="Book Antiqua" w:hAnsi="Book Antiqua"/>
          <w:lang w:val="es-PR"/>
        </w:rPr>
      </w:pPr>
      <w:r w:rsidRPr="004F75C2">
        <w:rPr>
          <w:rFonts w:ascii="Book Antiqua" w:hAnsi="Book Antiqua"/>
          <w:lang w:val="es-PR"/>
        </w:rPr>
        <w:t>Para poder cumplir</w:t>
      </w:r>
      <w:r w:rsidR="00654CE0">
        <w:rPr>
          <w:rFonts w:ascii="Book Antiqua" w:hAnsi="Book Antiqua"/>
          <w:lang w:val="es-PR"/>
        </w:rPr>
        <w:t xml:space="preserve"> no solo con </w:t>
      </w:r>
      <w:r w:rsidRPr="004F75C2">
        <w:rPr>
          <w:rFonts w:ascii="Book Antiqua" w:hAnsi="Book Antiqua"/>
          <w:lang w:val="es-PR"/>
        </w:rPr>
        <w:t xml:space="preserve">las metas académicas y administrativas </w:t>
      </w:r>
      <w:r w:rsidR="00CA69E3">
        <w:rPr>
          <w:rFonts w:ascii="Book Antiqua" w:hAnsi="Book Antiqua"/>
          <w:lang w:val="es-PR"/>
        </w:rPr>
        <w:t>en</w:t>
      </w:r>
      <w:r>
        <w:rPr>
          <w:rFonts w:ascii="Book Antiqua" w:hAnsi="Book Antiqua"/>
          <w:lang w:val="es-PR"/>
        </w:rPr>
        <w:t xml:space="preserve"> la Escuela de Artes Plásticas y Diseño </w:t>
      </w:r>
      <w:r w:rsidRPr="004F75C2">
        <w:rPr>
          <w:rFonts w:ascii="Book Antiqua" w:hAnsi="Book Antiqua"/>
          <w:lang w:val="es-PR"/>
        </w:rPr>
        <w:t xml:space="preserve">según </w:t>
      </w:r>
      <w:r w:rsidR="00CA69E3">
        <w:rPr>
          <w:rFonts w:ascii="Book Antiqua" w:hAnsi="Book Antiqua"/>
          <w:lang w:val="es-PR"/>
        </w:rPr>
        <w:t>requeridas por</w:t>
      </w:r>
      <w:r w:rsidRPr="004F75C2">
        <w:rPr>
          <w:rFonts w:ascii="Book Antiqua" w:hAnsi="Book Antiqua"/>
          <w:lang w:val="es-PR"/>
        </w:rPr>
        <w:t xml:space="preserve"> las agencias acreditadoras MSCHE</w:t>
      </w:r>
      <w:r>
        <w:rPr>
          <w:rFonts w:ascii="Book Antiqua" w:hAnsi="Book Antiqua"/>
          <w:lang w:val="es-PR"/>
        </w:rPr>
        <w:t xml:space="preserve"> </w:t>
      </w:r>
      <w:r w:rsidRPr="004F75C2">
        <w:rPr>
          <w:rFonts w:ascii="Book Antiqua" w:hAnsi="Book Antiqua"/>
          <w:lang w:val="es-PR"/>
        </w:rPr>
        <w:t>y NASAD,</w:t>
      </w:r>
      <w:r>
        <w:rPr>
          <w:rFonts w:ascii="Book Antiqua" w:hAnsi="Book Antiqua"/>
          <w:lang w:val="es-PR"/>
        </w:rPr>
        <w:t xml:space="preserve"> se deben adoptar disposiciones que la eximan de participar obligatoriamente en los procesos de contratación y compra de las agencias del Gobierno de Puerto Rico. Por lo tanto, esta </w:t>
      </w:r>
      <w:r w:rsidR="002630C4">
        <w:rPr>
          <w:rFonts w:ascii="Book Antiqua" w:hAnsi="Book Antiqua"/>
          <w:lang w:val="es-PR"/>
        </w:rPr>
        <w:t>Ley</w:t>
      </w:r>
      <w:r>
        <w:rPr>
          <w:rFonts w:ascii="Book Antiqua" w:hAnsi="Book Antiqua"/>
          <w:lang w:val="es-PR"/>
        </w:rPr>
        <w:t xml:space="preserve"> busca enmendar la Ley 73-2019, </w:t>
      </w:r>
      <w:r w:rsidRPr="00934C52">
        <w:rPr>
          <w:rFonts w:ascii="Book Antiqua" w:hAnsi="Book Antiqua"/>
          <w:lang w:val="es-ES_tradnl"/>
        </w:rPr>
        <w:t>conocida como “Ley de la Administración de Servicios Generales para la Centralización de las Compras del Gobierno de Puerto Rico de 2019</w:t>
      </w:r>
      <w:r>
        <w:rPr>
          <w:rFonts w:ascii="Book Antiqua" w:hAnsi="Book Antiqua"/>
          <w:lang w:val="es-ES_tradnl"/>
        </w:rPr>
        <w:t xml:space="preserve">” con los fines </w:t>
      </w:r>
      <w:r>
        <w:rPr>
          <w:rFonts w:ascii="Book Antiqua" w:hAnsi="Book Antiqua"/>
          <w:lang w:val="es-PR"/>
        </w:rPr>
        <w:t>eximir a la Escuela de Artes Plásticas y Diseño de los procesos dispuestos por dicha Ley. Las necesidades y la realidad de la Escuela chocan con el esquema de requisitos que impone la Administración de Servicios Generales (ASG)</w:t>
      </w:r>
      <w:r w:rsidR="002F6B81">
        <w:rPr>
          <w:rFonts w:ascii="Book Antiqua" w:hAnsi="Book Antiqua"/>
          <w:lang w:val="es-PR"/>
        </w:rPr>
        <w:t xml:space="preserve">. </w:t>
      </w:r>
    </w:p>
    <w:p w14:paraId="1F2D62D1" w14:textId="77777777" w:rsidR="002F6B81" w:rsidRDefault="002F6B81" w:rsidP="002F6B81">
      <w:pPr>
        <w:suppressLineNumbers/>
        <w:jc w:val="both"/>
        <w:rPr>
          <w:rFonts w:ascii="Book Antiqua" w:hAnsi="Book Antiqua"/>
          <w:lang w:val="es-PR"/>
        </w:rPr>
      </w:pPr>
    </w:p>
    <w:p w14:paraId="56650BBF" w14:textId="52B032DA" w:rsidR="0068748D" w:rsidRDefault="00CA69E3" w:rsidP="002F6B81">
      <w:pPr>
        <w:suppressLineNumbers/>
        <w:jc w:val="both"/>
        <w:rPr>
          <w:rFonts w:ascii="Book Antiqua" w:hAnsi="Book Antiqua"/>
          <w:lang w:val="es-ES_tradnl"/>
        </w:rPr>
      </w:pPr>
      <w:r>
        <w:rPr>
          <w:rFonts w:ascii="Book Antiqua" w:hAnsi="Book Antiqua"/>
          <w:lang w:val="es-PR"/>
        </w:rPr>
        <w:t>De igual manera, en l</w:t>
      </w:r>
      <w:r w:rsidR="005C1370" w:rsidRPr="0042349A">
        <w:rPr>
          <w:rFonts w:ascii="Book Antiqua" w:hAnsi="Book Antiqua"/>
          <w:lang w:val="es-PR"/>
        </w:rPr>
        <w:t xml:space="preserve">a </w:t>
      </w:r>
      <w:r w:rsidR="005C1370">
        <w:rPr>
          <w:rFonts w:ascii="Book Antiqua" w:hAnsi="Book Antiqua"/>
          <w:lang w:val="es-PR"/>
        </w:rPr>
        <w:t>Escuela de Artes Plásticas y Diseño</w:t>
      </w:r>
      <w:r w:rsidR="005C1370" w:rsidRPr="0042349A">
        <w:rPr>
          <w:rFonts w:ascii="Book Antiqua" w:hAnsi="Book Antiqua"/>
          <w:lang w:val="es-PR"/>
        </w:rPr>
        <w:t xml:space="preserve"> </w:t>
      </w:r>
      <w:r w:rsidR="008676E8">
        <w:rPr>
          <w:rFonts w:ascii="Book Antiqua" w:hAnsi="Book Antiqua"/>
          <w:lang w:val="es-PR"/>
        </w:rPr>
        <w:t xml:space="preserve">todo el </w:t>
      </w:r>
      <w:r>
        <w:rPr>
          <w:rFonts w:ascii="Book Antiqua" w:hAnsi="Book Antiqua"/>
          <w:lang w:val="es-PR"/>
        </w:rPr>
        <w:t>personal docente</w:t>
      </w:r>
      <w:r w:rsidR="00003A10">
        <w:rPr>
          <w:rFonts w:ascii="Book Antiqua" w:hAnsi="Book Antiqua"/>
          <w:lang w:val="es-PR"/>
        </w:rPr>
        <w:t xml:space="preserve"> </w:t>
      </w:r>
      <w:r w:rsidR="00477933">
        <w:rPr>
          <w:rFonts w:ascii="Book Antiqua" w:hAnsi="Book Antiqua"/>
          <w:lang w:val="es-PR"/>
        </w:rPr>
        <w:t xml:space="preserve">se recluta mediante contratación por periodo académico. </w:t>
      </w:r>
      <w:r w:rsidR="00440CB7">
        <w:rPr>
          <w:rFonts w:ascii="Book Antiqua" w:hAnsi="Book Antiqua"/>
          <w:lang w:val="es-PR"/>
        </w:rPr>
        <w:t>Cabe señalar</w:t>
      </w:r>
      <w:r w:rsidR="00032520">
        <w:rPr>
          <w:rFonts w:ascii="Book Antiqua" w:hAnsi="Book Antiqua"/>
          <w:lang w:val="es-PR"/>
        </w:rPr>
        <w:t xml:space="preserve"> que</w:t>
      </w:r>
      <w:r w:rsidR="00440CB7">
        <w:rPr>
          <w:rFonts w:ascii="Book Antiqua" w:hAnsi="Book Antiqua"/>
          <w:lang w:val="es-PR"/>
        </w:rPr>
        <w:t xml:space="preserve">, </w:t>
      </w:r>
      <w:r w:rsidR="00032520">
        <w:rPr>
          <w:rFonts w:ascii="Book Antiqua" w:hAnsi="Book Antiqua"/>
          <w:lang w:val="es-PR"/>
        </w:rPr>
        <w:t xml:space="preserve">al </w:t>
      </w:r>
      <w:r w:rsidR="00BF5D5A">
        <w:rPr>
          <w:rFonts w:ascii="Book Antiqua" w:hAnsi="Book Antiqua"/>
          <w:lang w:val="es-PR"/>
        </w:rPr>
        <w:t>momento, solo</w:t>
      </w:r>
      <w:r w:rsidR="00477933">
        <w:rPr>
          <w:rFonts w:ascii="Book Antiqua" w:hAnsi="Book Antiqua"/>
          <w:lang w:val="es-PR"/>
        </w:rPr>
        <w:t xml:space="preserve"> </w:t>
      </w:r>
      <w:r w:rsidR="00AE0D1D">
        <w:rPr>
          <w:rFonts w:ascii="Book Antiqua" w:hAnsi="Book Antiqua"/>
          <w:lang w:val="es-PR"/>
        </w:rPr>
        <w:t>doce (</w:t>
      </w:r>
      <w:r w:rsidR="00477933">
        <w:rPr>
          <w:rFonts w:ascii="Book Antiqua" w:hAnsi="Book Antiqua"/>
          <w:lang w:val="es-PR"/>
        </w:rPr>
        <w:t>12</w:t>
      </w:r>
      <w:r w:rsidR="00AE0D1D">
        <w:rPr>
          <w:rFonts w:ascii="Book Antiqua" w:hAnsi="Book Antiqua"/>
          <w:lang w:val="es-PR"/>
        </w:rPr>
        <w:t>)</w:t>
      </w:r>
      <w:r w:rsidR="00477933">
        <w:rPr>
          <w:rFonts w:ascii="Book Antiqua" w:hAnsi="Book Antiqua"/>
          <w:lang w:val="es-PR"/>
        </w:rPr>
        <w:t xml:space="preserve"> académicos</w:t>
      </w:r>
      <w:r w:rsidR="00440CB7">
        <w:rPr>
          <w:rFonts w:ascii="Book Antiqua" w:hAnsi="Book Antiqua"/>
          <w:lang w:val="es-PR"/>
        </w:rPr>
        <w:t xml:space="preserve"> cuentan con plaza de carrera en la Escuela. </w:t>
      </w:r>
      <w:r w:rsidR="00EA452F">
        <w:rPr>
          <w:rFonts w:ascii="Book Antiqua" w:hAnsi="Book Antiqua"/>
          <w:lang w:val="es-PR"/>
        </w:rPr>
        <w:t>Esta situación afecta la oferta académica de la Escuela</w:t>
      </w:r>
      <w:r w:rsidR="00006DD7">
        <w:rPr>
          <w:rFonts w:ascii="Book Antiqua" w:hAnsi="Book Antiqua"/>
          <w:lang w:val="es-PR"/>
        </w:rPr>
        <w:t xml:space="preserve"> para todos </w:t>
      </w:r>
      <w:r w:rsidR="00B3263E">
        <w:rPr>
          <w:rFonts w:ascii="Book Antiqua" w:hAnsi="Book Antiqua"/>
          <w:lang w:val="es-PR"/>
        </w:rPr>
        <w:t>los estudiantes cada semestre. Por ello, proponemos</w:t>
      </w:r>
      <w:r w:rsidR="00003A10">
        <w:rPr>
          <w:rFonts w:ascii="Book Antiqua" w:hAnsi="Book Antiqua"/>
          <w:lang w:val="es-PR"/>
        </w:rPr>
        <w:t xml:space="preserve"> </w:t>
      </w:r>
      <w:r w:rsidR="00B3263E">
        <w:rPr>
          <w:rFonts w:ascii="Book Antiqua" w:hAnsi="Book Antiqua"/>
          <w:lang w:val="es-ES_tradnl"/>
        </w:rPr>
        <w:t>incluir</w:t>
      </w:r>
      <w:r w:rsidR="00922EE2">
        <w:rPr>
          <w:rFonts w:ascii="Book Antiqua" w:hAnsi="Book Antiqua"/>
          <w:lang w:val="es-ES_tradnl"/>
        </w:rPr>
        <w:t xml:space="preserve"> </w:t>
      </w:r>
      <w:r w:rsidR="00B3263E">
        <w:rPr>
          <w:rFonts w:ascii="Book Antiqua" w:hAnsi="Book Antiqua"/>
          <w:lang w:val="es-ES_tradnl"/>
        </w:rPr>
        <w:t xml:space="preserve">al personal docente de las instituciones de educación superior públicas como contratación de servicios profesionales exentos </w:t>
      </w:r>
      <w:r w:rsidR="00032520">
        <w:rPr>
          <w:rFonts w:ascii="Book Antiqua" w:hAnsi="Book Antiqua"/>
          <w:lang w:val="es-ES_tradnl"/>
        </w:rPr>
        <w:t xml:space="preserve">de ciertas disposiciones </w:t>
      </w:r>
      <w:r w:rsidR="00B3263E">
        <w:rPr>
          <w:rFonts w:ascii="Book Antiqua" w:hAnsi="Book Antiqua"/>
          <w:lang w:val="es-ES_tradnl"/>
        </w:rPr>
        <w:t>del Registro Único de Proveedores de Servicios Profesionales.</w:t>
      </w:r>
      <w:r w:rsidR="00922EE2">
        <w:rPr>
          <w:rFonts w:ascii="Book Antiqua" w:hAnsi="Book Antiqua"/>
          <w:lang w:val="es-ES_tradnl"/>
        </w:rPr>
        <w:t xml:space="preserve"> </w:t>
      </w:r>
    </w:p>
    <w:p w14:paraId="43D92305" w14:textId="77777777" w:rsidR="0068748D" w:rsidRDefault="0068748D" w:rsidP="002F6B81">
      <w:pPr>
        <w:suppressLineNumbers/>
        <w:jc w:val="both"/>
        <w:rPr>
          <w:rFonts w:ascii="Book Antiqua" w:hAnsi="Book Antiqua"/>
          <w:lang w:val="es-ES_tradnl"/>
        </w:rPr>
      </w:pPr>
    </w:p>
    <w:p w14:paraId="62B89B08" w14:textId="6171608D" w:rsidR="00061922" w:rsidRDefault="0068748D" w:rsidP="00A405A8">
      <w:pPr>
        <w:suppressLineNumbers/>
        <w:jc w:val="both"/>
        <w:rPr>
          <w:rFonts w:ascii="Book Antiqua" w:hAnsi="Book Antiqua"/>
          <w:lang w:val="es-ES_tradnl"/>
        </w:rPr>
      </w:pPr>
      <w:r>
        <w:rPr>
          <w:rFonts w:ascii="Book Antiqua" w:hAnsi="Book Antiqua"/>
          <w:lang w:val="es-ES_tradnl"/>
        </w:rPr>
        <w:t>Ciertamente</w:t>
      </w:r>
      <w:r w:rsidR="00AD7E22">
        <w:rPr>
          <w:rFonts w:ascii="Book Antiqua" w:hAnsi="Book Antiqua"/>
          <w:lang w:val="es-ES_tradnl"/>
        </w:rPr>
        <w:t xml:space="preserve">, la renovación </w:t>
      </w:r>
      <w:r w:rsidR="00DB55DC">
        <w:rPr>
          <w:rFonts w:ascii="Book Antiqua" w:hAnsi="Book Antiqua"/>
          <w:lang w:val="es-ES_tradnl"/>
        </w:rPr>
        <w:t xml:space="preserve">anual de esta </w:t>
      </w:r>
      <w:r w:rsidR="009A003A">
        <w:rPr>
          <w:rFonts w:ascii="Book Antiqua" w:hAnsi="Book Antiqua"/>
          <w:lang w:val="es-ES_tradnl"/>
        </w:rPr>
        <w:t xml:space="preserve">certificación </w:t>
      </w:r>
      <w:r w:rsidR="004D24BB">
        <w:rPr>
          <w:rFonts w:ascii="Book Antiqua" w:hAnsi="Book Antiqua"/>
          <w:lang w:val="es-ES_tradnl"/>
        </w:rPr>
        <w:t>resulta oneros</w:t>
      </w:r>
      <w:r w:rsidR="00774978">
        <w:rPr>
          <w:rFonts w:ascii="Book Antiqua" w:hAnsi="Book Antiqua"/>
          <w:lang w:val="es-ES_tradnl"/>
        </w:rPr>
        <w:t>a</w:t>
      </w:r>
      <w:r w:rsidR="004D24BB">
        <w:rPr>
          <w:rFonts w:ascii="Book Antiqua" w:hAnsi="Book Antiqua"/>
          <w:lang w:val="es-ES_tradnl"/>
        </w:rPr>
        <w:t xml:space="preserve"> para </w:t>
      </w:r>
      <w:r w:rsidR="00774978">
        <w:rPr>
          <w:rFonts w:ascii="Book Antiqua" w:hAnsi="Book Antiqua"/>
          <w:lang w:val="es-ES_tradnl"/>
        </w:rPr>
        <w:t xml:space="preserve">estos </w:t>
      </w:r>
      <w:r w:rsidR="004D24BB">
        <w:rPr>
          <w:rFonts w:ascii="Book Antiqua" w:hAnsi="Book Antiqua"/>
          <w:lang w:val="es-ES_tradnl"/>
        </w:rPr>
        <w:t xml:space="preserve">profesores que en ocasiones </w:t>
      </w:r>
      <w:r w:rsidR="00774978">
        <w:rPr>
          <w:rFonts w:ascii="Book Antiqua" w:hAnsi="Book Antiqua"/>
          <w:lang w:val="es-ES_tradnl"/>
        </w:rPr>
        <w:t xml:space="preserve">solo contratan una clase por </w:t>
      </w:r>
      <w:r w:rsidR="00AE0D1D">
        <w:rPr>
          <w:rFonts w:ascii="Book Antiqua" w:hAnsi="Book Antiqua"/>
          <w:lang w:val="es-ES_tradnl"/>
        </w:rPr>
        <w:t>cuatrocientos dólares (</w:t>
      </w:r>
      <w:r w:rsidR="00774978">
        <w:rPr>
          <w:rFonts w:ascii="Book Antiqua" w:hAnsi="Book Antiqua"/>
          <w:lang w:val="es-ES_tradnl"/>
        </w:rPr>
        <w:t>$400</w:t>
      </w:r>
      <w:r w:rsidR="00AE0D1D">
        <w:rPr>
          <w:rFonts w:ascii="Book Antiqua" w:hAnsi="Book Antiqua"/>
          <w:lang w:val="es-ES_tradnl"/>
        </w:rPr>
        <w:t>.00)</w:t>
      </w:r>
      <w:r w:rsidR="00774978">
        <w:rPr>
          <w:rFonts w:ascii="Book Antiqua" w:hAnsi="Book Antiqua"/>
          <w:lang w:val="es-ES_tradnl"/>
        </w:rPr>
        <w:t xml:space="preserve"> en el semestre académico. Además, e</w:t>
      </w:r>
      <w:r w:rsidR="00922EE2">
        <w:rPr>
          <w:rFonts w:ascii="Book Antiqua" w:hAnsi="Book Antiqua"/>
          <w:lang w:val="es-ES_tradnl"/>
        </w:rPr>
        <w:t>sto facilitara el reclutamiento</w:t>
      </w:r>
      <w:r>
        <w:rPr>
          <w:rFonts w:ascii="Book Antiqua" w:hAnsi="Book Antiqua"/>
          <w:lang w:val="es-ES_tradnl"/>
        </w:rPr>
        <w:t xml:space="preserve"> de recurso docente</w:t>
      </w:r>
      <w:r w:rsidR="00774978">
        <w:rPr>
          <w:rFonts w:ascii="Book Antiqua" w:hAnsi="Book Antiqua"/>
          <w:lang w:val="es-ES_tradnl"/>
        </w:rPr>
        <w:t xml:space="preserve"> </w:t>
      </w:r>
      <w:r w:rsidR="00061922">
        <w:rPr>
          <w:rFonts w:ascii="Book Antiqua" w:hAnsi="Book Antiqua"/>
          <w:lang w:val="es-ES_tradnl"/>
        </w:rPr>
        <w:t xml:space="preserve">en la Escuela </w:t>
      </w:r>
      <w:r w:rsidR="00774978">
        <w:rPr>
          <w:rFonts w:ascii="Book Antiqua" w:hAnsi="Book Antiqua"/>
          <w:lang w:val="es-ES_tradnl"/>
        </w:rPr>
        <w:t xml:space="preserve">sin tener que competir con instituciones </w:t>
      </w:r>
      <w:r w:rsidR="00061922">
        <w:rPr>
          <w:rFonts w:ascii="Book Antiqua" w:hAnsi="Book Antiqua"/>
          <w:lang w:val="es-ES_tradnl"/>
        </w:rPr>
        <w:t xml:space="preserve">privadas por ese personal. </w:t>
      </w:r>
    </w:p>
    <w:p w14:paraId="33B2A3DB" w14:textId="77777777" w:rsidR="00A405A8" w:rsidRPr="00A405A8" w:rsidRDefault="00A405A8" w:rsidP="00A405A8">
      <w:pPr>
        <w:suppressLineNumbers/>
        <w:jc w:val="both"/>
        <w:rPr>
          <w:rFonts w:ascii="Book Antiqua" w:hAnsi="Book Antiqua"/>
          <w:lang w:val="es-ES_tradnl"/>
        </w:rPr>
      </w:pPr>
    </w:p>
    <w:p w14:paraId="7955066D" w14:textId="4E3502C8"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2061C670" w14:textId="23E7436E" w:rsidR="00466027" w:rsidRPr="009874EE" w:rsidRDefault="00466027" w:rsidP="009874EE">
      <w:pPr>
        <w:spacing w:line="480" w:lineRule="auto"/>
        <w:ind w:firstLine="567"/>
        <w:jc w:val="both"/>
        <w:rPr>
          <w:rFonts w:ascii="Book Antiqua" w:hAnsi="Book Antiqua"/>
          <w:lang w:val="es-PR"/>
        </w:rPr>
      </w:pPr>
      <w:bookmarkStart w:id="0" w:name="{20D8}"/>
      <w:bookmarkStart w:id="1" w:name="_Hlk189832381"/>
      <w:r>
        <w:rPr>
          <w:rFonts w:ascii="Book Antiqua" w:hAnsi="Book Antiqua"/>
          <w:lang w:val="es-PR"/>
        </w:rPr>
        <w:t xml:space="preserve">Sección </w:t>
      </w:r>
      <w:r w:rsidRPr="001B63B7">
        <w:rPr>
          <w:rFonts w:ascii="Book Antiqua" w:hAnsi="Book Antiqua"/>
          <w:lang w:val="es-PR"/>
        </w:rPr>
        <w:t>1.-</w:t>
      </w:r>
      <w:r w:rsidR="009874EE">
        <w:rPr>
          <w:rFonts w:ascii="Book Antiqua" w:hAnsi="Book Antiqua"/>
          <w:lang w:val="es-PR"/>
        </w:rPr>
        <w:t xml:space="preserve"> </w:t>
      </w:r>
      <w:r w:rsidRPr="009874EE">
        <w:rPr>
          <w:rFonts w:ascii="Book Antiqua" w:hAnsi="Book Antiqua"/>
          <w:color w:val="000000" w:themeColor="text1"/>
          <w:lang w:val="es-PR"/>
        </w:rPr>
        <w:t xml:space="preserve">Se enmienda el Artículo 4 de la Ley 73-2019, según enmendada, para que se lea como sigue: </w:t>
      </w:r>
    </w:p>
    <w:p w14:paraId="62067121" w14:textId="77777777" w:rsidR="00466027" w:rsidRPr="00E6099F" w:rsidRDefault="00466027" w:rsidP="00466027">
      <w:pPr>
        <w:pStyle w:val="BodyText"/>
        <w:spacing w:line="480" w:lineRule="auto"/>
        <w:ind w:firstLine="720"/>
        <w:rPr>
          <w:rFonts w:ascii="Book Antiqua" w:hAnsi="Book Antiqua"/>
          <w:color w:val="000000" w:themeColor="text1"/>
          <w:lang w:val="es-ES"/>
        </w:rPr>
      </w:pPr>
      <w:r w:rsidRPr="00E6099F">
        <w:rPr>
          <w:rFonts w:ascii="Book Antiqua" w:hAnsi="Book Antiqua"/>
          <w:color w:val="000000" w:themeColor="text1"/>
          <w:lang w:val="es-ES"/>
        </w:rPr>
        <w:lastRenderedPageBreak/>
        <w:t xml:space="preserve">“Artículo </w:t>
      </w:r>
      <w:r>
        <w:rPr>
          <w:rFonts w:ascii="Book Antiqua" w:hAnsi="Book Antiqua"/>
          <w:color w:val="000000" w:themeColor="text1"/>
          <w:lang w:val="es-ES"/>
        </w:rPr>
        <w:t>4</w:t>
      </w:r>
      <w:r w:rsidRPr="00E6099F">
        <w:rPr>
          <w:rFonts w:ascii="Book Antiqua" w:hAnsi="Book Antiqua"/>
          <w:color w:val="000000" w:themeColor="text1"/>
          <w:lang w:val="es-ES"/>
        </w:rPr>
        <w:t xml:space="preserve">. — </w:t>
      </w:r>
      <w:r>
        <w:rPr>
          <w:rFonts w:ascii="Book Antiqua" w:hAnsi="Book Antiqua"/>
          <w:color w:val="000000" w:themeColor="text1"/>
          <w:lang w:val="es-ES"/>
        </w:rPr>
        <w:t>Definiciones</w:t>
      </w:r>
      <w:r w:rsidRPr="00E6099F">
        <w:rPr>
          <w:rFonts w:ascii="Book Antiqua" w:hAnsi="Book Antiqua"/>
          <w:color w:val="000000" w:themeColor="text1"/>
          <w:lang w:val="es-ES"/>
        </w:rPr>
        <w:t xml:space="preserve">. </w:t>
      </w:r>
    </w:p>
    <w:p w14:paraId="2C2EF2E7" w14:textId="77777777" w:rsidR="00466027" w:rsidRDefault="00466027" w:rsidP="00A405A8">
      <w:pPr>
        <w:pStyle w:val="BodyText"/>
        <w:spacing w:line="480" w:lineRule="auto"/>
        <w:ind w:left="720" w:firstLine="720"/>
        <w:rPr>
          <w:rFonts w:ascii="Book Antiqua" w:hAnsi="Book Antiqua"/>
          <w:color w:val="000000" w:themeColor="text1"/>
        </w:rPr>
      </w:pPr>
      <w:r w:rsidRPr="00583560">
        <w:rPr>
          <w:rFonts w:ascii="Book Antiqua" w:hAnsi="Book Antiqua"/>
          <w:color w:val="000000" w:themeColor="text1"/>
        </w:rPr>
        <w:t>Los términos utilizados en esta Ley tendrán los significados que a continuación se expresan,</w:t>
      </w:r>
      <w:r>
        <w:rPr>
          <w:rFonts w:ascii="Book Antiqua" w:hAnsi="Book Antiqua"/>
          <w:color w:val="000000" w:themeColor="text1"/>
        </w:rPr>
        <w:t xml:space="preserve"> </w:t>
      </w:r>
      <w:r w:rsidRPr="00583560">
        <w:rPr>
          <w:rFonts w:ascii="Book Antiqua" w:hAnsi="Book Antiqua"/>
          <w:color w:val="000000" w:themeColor="text1"/>
        </w:rPr>
        <w:t>excepto donde el contexto claramente indique otra definición; los términos en singular incluyen el</w:t>
      </w:r>
      <w:r>
        <w:rPr>
          <w:rFonts w:ascii="Book Antiqua" w:hAnsi="Book Antiqua"/>
          <w:color w:val="000000" w:themeColor="text1"/>
        </w:rPr>
        <w:t xml:space="preserve"> </w:t>
      </w:r>
      <w:r w:rsidRPr="00583560">
        <w:rPr>
          <w:rFonts w:ascii="Book Antiqua" w:hAnsi="Book Antiqua"/>
          <w:color w:val="000000" w:themeColor="text1"/>
        </w:rPr>
        <w:t>plural y en la acepción masculina se incluye la femenina:</w:t>
      </w:r>
    </w:p>
    <w:p w14:paraId="202961AF" w14:textId="77777777" w:rsidR="00466027" w:rsidRDefault="00466027" w:rsidP="00466027">
      <w:pPr>
        <w:pStyle w:val="BodyText"/>
        <w:numPr>
          <w:ilvl w:val="0"/>
          <w:numId w:val="12"/>
        </w:numPr>
        <w:spacing w:line="480" w:lineRule="auto"/>
        <w:rPr>
          <w:rFonts w:ascii="Book Antiqua" w:hAnsi="Book Antiqua"/>
          <w:color w:val="000000" w:themeColor="text1"/>
        </w:rPr>
      </w:pPr>
      <w:r>
        <w:rPr>
          <w:rFonts w:ascii="Book Antiqua" w:hAnsi="Book Antiqua"/>
          <w:color w:val="000000" w:themeColor="text1"/>
        </w:rPr>
        <w:t>…</w:t>
      </w:r>
    </w:p>
    <w:p w14:paraId="6E954146" w14:textId="77777777" w:rsidR="00466027" w:rsidRDefault="00466027" w:rsidP="00466027">
      <w:pPr>
        <w:pStyle w:val="BodyText"/>
        <w:spacing w:line="480" w:lineRule="auto"/>
        <w:ind w:left="720"/>
        <w:rPr>
          <w:rFonts w:ascii="Book Antiqua" w:hAnsi="Book Antiqua"/>
          <w:color w:val="000000" w:themeColor="text1"/>
        </w:rPr>
      </w:pPr>
      <w:r>
        <w:rPr>
          <w:rFonts w:ascii="Book Antiqua" w:hAnsi="Book Antiqua"/>
          <w:color w:val="000000" w:themeColor="text1"/>
        </w:rPr>
        <w:t>…</w:t>
      </w:r>
    </w:p>
    <w:p w14:paraId="0A4BA971" w14:textId="3B3D87BC" w:rsidR="00466027" w:rsidRDefault="00466027" w:rsidP="00A405A8">
      <w:pPr>
        <w:pStyle w:val="BodyText"/>
        <w:spacing w:line="480" w:lineRule="auto"/>
        <w:ind w:left="720"/>
        <w:rPr>
          <w:rFonts w:ascii="Book Antiqua" w:hAnsi="Book Antiqua"/>
          <w:color w:val="000000" w:themeColor="text1"/>
        </w:rPr>
      </w:pPr>
      <w:r>
        <w:rPr>
          <w:rFonts w:ascii="Book Antiqua" w:hAnsi="Book Antiqua"/>
          <w:color w:val="000000" w:themeColor="text1"/>
        </w:rPr>
        <w:t xml:space="preserve">p) </w:t>
      </w:r>
      <w:r w:rsidRPr="00466027">
        <w:rPr>
          <w:rFonts w:ascii="Book Antiqua" w:hAnsi="Book Antiqua"/>
          <w:color w:val="000000" w:themeColor="text1"/>
        </w:rPr>
        <w:t>Entidad Exenta: Entidad Gubernamental que no viene obligada a realizar sus compras a través de la Administración, ya sea por razón de operar bajo lo dispuesto en un plan fiscal vigente o por tratarse de entidades fiscalizadoras de la integridad del servicio público y la eficiencia gubernamental. Para propósitos de esta Ley, se considerarán entidades exentas las siguientes: Oficina de Ética Gubernamental, Oficina del Inspector General de Puerto Rico, Comisión</w:t>
      </w:r>
      <w:r>
        <w:rPr>
          <w:rFonts w:ascii="Book Antiqua" w:hAnsi="Book Antiqua"/>
          <w:color w:val="000000" w:themeColor="text1"/>
        </w:rPr>
        <w:t xml:space="preserve"> </w:t>
      </w:r>
      <w:r w:rsidRPr="00466027">
        <w:rPr>
          <w:rFonts w:ascii="Book Antiqua" w:hAnsi="Book Antiqua"/>
          <w:color w:val="000000" w:themeColor="text1"/>
        </w:rPr>
        <w:t xml:space="preserve">Estatal de Elecciones, Autoridad de Asesoría Financiera y Agencia Fiscal de Puerto Rico, Banco Gubernamental de Fomento para Puerto Rico, Autoridad para las Alianzas Público Privadas de Puerto Rico, Autoridad para el Financiamiento de la Infraestructura de Puerto Rico, Autoridad de Acueductos y Alcantarillados, Autoridad de Energía Eléctrica, Autoridad de Carreteras y Transportación, Corporación del Proyecto ENLACE del Caño Martín Peña, la Corporación Pública para la Supervisión de Seguros de Cooperativas de Puerto Rico, programas e instalaciones de la Administración de Servicios Médicos de Puerto Rico, el Centro </w:t>
      </w:r>
      <w:r w:rsidRPr="00466027">
        <w:rPr>
          <w:rFonts w:ascii="Book Antiqua" w:hAnsi="Book Antiqua"/>
          <w:color w:val="000000" w:themeColor="text1"/>
        </w:rPr>
        <w:lastRenderedPageBreak/>
        <w:t xml:space="preserve">Médico, el Hospital Cardiovascular, el Hospital Universitario de Adultos, el Hospital Pediátrico Universitario, el Hospital Universitario Dr. Ramón Ruiz Arnau, los Centros de Diagnóstico y Tratamiento </w:t>
      </w:r>
      <w:r w:rsidR="00032520" w:rsidRPr="00BF5D5A">
        <w:rPr>
          <w:rFonts w:ascii="Book Antiqua" w:hAnsi="Book Antiqua"/>
          <w:b/>
          <w:bCs/>
          <w:color w:val="000000" w:themeColor="text1"/>
        </w:rPr>
        <w:t>[</w:t>
      </w:r>
      <w:r w:rsidRPr="00BF5D5A">
        <w:rPr>
          <w:rFonts w:ascii="Book Antiqua" w:hAnsi="Book Antiqua"/>
          <w:b/>
          <w:bCs/>
          <w:color w:val="000000" w:themeColor="text1"/>
        </w:rPr>
        <w:t>y</w:t>
      </w:r>
      <w:r w:rsidR="00032520" w:rsidRPr="00BF5D5A">
        <w:rPr>
          <w:rFonts w:ascii="Book Antiqua" w:hAnsi="Book Antiqua"/>
          <w:b/>
          <w:bCs/>
          <w:color w:val="000000" w:themeColor="text1"/>
        </w:rPr>
        <w:t>]</w:t>
      </w:r>
      <w:r w:rsidRPr="00466027">
        <w:rPr>
          <w:rFonts w:ascii="Book Antiqua" w:hAnsi="Book Antiqua"/>
          <w:color w:val="000000" w:themeColor="text1"/>
        </w:rPr>
        <w:t xml:space="preserve"> </w:t>
      </w:r>
      <w:r w:rsidR="00032520">
        <w:rPr>
          <w:rFonts w:ascii="Book Antiqua" w:hAnsi="Book Antiqua"/>
          <w:i/>
          <w:iCs/>
          <w:color w:val="000000" w:themeColor="text1"/>
        </w:rPr>
        <w:t xml:space="preserve">e </w:t>
      </w:r>
      <w:r w:rsidRPr="00466027">
        <w:rPr>
          <w:rFonts w:ascii="Book Antiqua" w:hAnsi="Book Antiqua"/>
          <w:color w:val="000000" w:themeColor="text1"/>
        </w:rPr>
        <w:t>instalaciones de discapacidad intelectual adscritos al Departamento de Salud, el Hospital Industrial y dispensarios regionales e intermedios, la Corporación del Fondo del Seguro del Estado, la Autoridad Metropolitana de Autobuses</w:t>
      </w:r>
      <w:r>
        <w:rPr>
          <w:rFonts w:ascii="Book Antiqua" w:hAnsi="Book Antiqua"/>
          <w:i/>
          <w:iCs/>
          <w:color w:val="000000" w:themeColor="text1"/>
        </w:rPr>
        <w:t>,</w:t>
      </w:r>
      <w:r w:rsidRPr="00466027">
        <w:rPr>
          <w:rFonts w:ascii="Book Antiqua" w:hAnsi="Book Antiqua"/>
          <w:color w:val="000000" w:themeColor="text1"/>
        </w:rPr>
        <w:t xml:space="preserve"> </w:t>
      </w:r>
      <w:r>
        <w:rPr>
          <w:rFonts w:ascii="Book Antiqua" w:hAnsi="Book Antiqua"/>
          <w:color w:val="000000" w:themeColor="text1"/>
        </w:rPr>
        <w:t>[</w:t>
      </w:r>
      <w:r w:rsidRPr="00466027">
        <w:rPr>
          <w:rFonts w:ascii="Book Antiqua" w:hAnsi="Book Antiqua"/>
          <w:b/>
          <w:bCs/>
          <w:color w:val="000000" w:themeColor="text1"/>
        </w:rPr>
        <w:t>y</w:t>
      </w:r>
      <w:r>
        <w:rPr>
          <w:rFonts w:ascii="Book Antiqua" w:hAnsi="Book Antiqua"/>
          <w:b/>
          <w:bCs/>
          <w:color w:val="000000" w:themeColor="text1"/>
        </w:rPr>
        <w:t>]</w:t>
      </w:r>
      <w:r w:rsidRPr="00466027">
        <w:rPr>
          <w:rFonts w:ascii="Book Antiqua" w:hAnsi="Book Antiqua"/>
          <w:color w:val="000000" w:themeColor="text1"/>
        </w:rPr>
        <w:t xml:space="preserve"> la Autoridad de Edificios Públicos</w:t>
      </w:r>
      <w:r>
        <w:rPr>
          <w:rFonts w:ascii="Book Antiqua" w:hAnsi="Book Antiqua"/>
          <w:color w:val="000000" w:themeColor="text1"/>
        </w:rPr>
        <w:t xml:space="preserve"> </w:t>
      </w:r>
      <w:r>
        <w:rPr>
          <w:rFonts w:ascii="Book Antiqua" w:hAnsi="Book Antiqua"/>
          <w:i/>
          <w:iCs/>
          <w:color w:val="000000" w:themeColor="text1"/>
        </w:rPr>
        <w:t xml:space="preserve">y la </w:t>
      </w:r>
      <w:r w:rsidRPr="00466027">
        <w:rPr>
          <w:rFonts w:ascii="Book Antiqua" w:hAnsi="Book Antiqua"/>
          <w:i/>
          <w:iCs/>
          <w:color w:val="000000" w:themeColor="text1"/>
        </w:rPr>
        <w:t>Escuela de Artes Plásticas y Diseño de Puerto Rico</w:t>
      </w:r>
      <w:r w:rsidRPr="00466027">
        <w:rPr>
          <w:rFonts w:ascii="Book Antiqua" w:hAnsi="Book Antiqua"/>
          <w:color w:val="000000" w:themeColor="text1"/>
        </w:rPr>
        <w:t xml:space="preserve">. </w:t>
      </w:r>
    </w:p>
    <w:p w14:paraId="513EE3F1" w14:textId="60CBECE3" w:rsidR="00466027" w:rsidRPr="00C07C8E" w:rsidRDefault="00466027" w:rsidP="00A80737">
      <w:pPr>
        <w:pStyle w:val="BodyText"/>
        <w:spacing w:line="480" w:lineRule="auto"/>
        <w:ind w:left="720" w:firstLine="720"/>
        <w:rPr>
          <w:rFonts w:ascii="Book Antiqua" w:hAnsi="Book Antiqua"/>
          <w:color w:val="000000" w:themeColor="text1"/>
        </w:rPr>
      </w:pPr>
      <w:r w:rsidRPr="004E0227">
        <w:rPr>
          <w:rFonts w:ascii="Book Antiqua" w:hAnsi="Book Antiqua"/>
          <w:color w:val="000000" w:themeColor="text1"/>
        </w:rPr>
        <w:t>No obstante, las entidades exentas</w:t>
      </w:r>
      <w:r>
        <w:rPr>
          <w:rFonts w:ascii="Book Antiqua" w:hAnsi="Book Antiqua"/>
          <w:color w:val="000000" w:themeColor="text1"/>
        </w:rPr>
        <w:t xml:space="preserve"> </w:t>
      </w:r>
      <w:r>
        <w:rPr>
          <w:rFonts w:ascii="Book Antiqua" w:hAnsi="Book Antiqua"/>
          <w:i/>
          <w:iCs/>
          <w:color w:val="000000" w:themeColor="text1"/>
        </w:rPr>
        <w:t>podrán</w:t>
      </w:r>
      <w:r w:rsidRPr="004E0227">
        <w:rPr>
          <w:rFonts w:ascii="Book Antiqua" w:hAnsi="Book Antiqua"/>
          <w:color w:val="000000" w:themeColor="text1"/>
        </w:rPr>
        <w:t xml:space="preserve"> </w:t>
      </w:r>
      <w:r w:rsidRPr="004E0227">
        <w:rPr>
          <w:rFonts w:ascii="Book Antiqua" w:hAnsi="Book Antiqua"/>
          <w:b/>
          <w:bCs/>
          <w:color w:val="000000" w:themeColor="text1"/>
        </w:rPr>
        <w:t>[tienen]</w:t>
      </w:r>
      <w:r w:rsidRPr="004E0227">
        <w:rPr>
          <w:rFonts w:ascii="Book Antiqua" w:hAnsi="Book Antiqua"/>
          <w:color w:val="000000" w:themeColor="text1"/>
        </w:rPr>
        <w:t xml:space="preserve"> </w:t>
      </w:r>
      <w:r w:rsidRPr="008C4FB4">
        <w:rPr>
          <w:rFonts w:ascii="Book Antiqua" w:hAnsi="Book Antiqua"/>
          <w:i/>
          <w:iCs/>
          <w:color w:val="000000" w:themeColor="text1"/>
        </w:rPr>
        <w:t>adoptar, de forma voluntaria,</w:t>
      </w:r>
      <w:r>
        <w:rPr>
          <w:rFonts w:ascii="Book Antiqua" w:hAnsi="Book Antiqua"/>
          <w:i/>
          <w:iCs/>
          <w:color w:val="000000" w:themeColor="text1"/>
        </w:rPr>
        <w:t xml:space="preserve"> </w:t>
      </w:r>
      <w:r w:rsidRPr="008C4FB4">
        <w:rPr>
          <w:rFonts w:ascii="Book Antiqua" w:hAnsi="Book Antiqua"/>
          <w:b/>
          <w:bCs/>
          <w:color w:val="000000" w:themeColor="text1"/>
        </w:rPr>
        <w:t>[que realizar sus procesos de licitación acogiendo]</w:t>
      </w:r>
      <w:r w:rsidRPr="004E0227">
        <w:rPr>
          <w:rFonts w:ascii="Book Antiqua" w:hAnsi="Book Antiqua"/>
          <w:color w:val="000000" w:themeColor="text1"/>
        </w:rPr>
        <w:t xml:space="preserve"> los métodos de licitación establecidos en esta Ley. Además, las mismas</w:t>
      </w:r>
      <w:r>
        <w:rPr>
          <w:rFonts w:ascii="Book Antiqua" w:hAnsi="Book Antiqua"/>
          <w:i/>
          <w:iCs/>
          <w:color w:val="000000" w:themeColor="text1"/>
        </w:rPr>
        <w:t xml:space="preserve"> podrán</w:t>
      </w:r>
      <w:r w:rsidRPr="004E0227">
        <w:rPr>
          <w:rFonts w:ascii="Book Antiqua" w:hAnsi="Book Antiqua"/>
          <w:color w:val="000000" w:themeColor="text1"/>
        </w:rPr>
        <w:t xml:space="preserve"> </w:t>
      </w:r>
      <w:r w:rsidRPr="00D813D1">
        <w:rPr>
          <w:rFonts w:ascii="Book Antiqua" w:hAnsi="Book Antiqua"/>
          <w:b/>
          <w:bCs/>
          <w:color w:val="000000" w:themeColor="text1"/>
        </w:rPr>
        <w:t>[deben]</w:t>
      </w:r>
      <w:r w:rsidRPr="004E0227">
        <w:rPr>
          <w:rFonts w:ascii="Book Antiqua" w:hAnsi="Book Antiqua"/>
          <w:color w:val="000000" w:themeColor="text1"/>
        </w:rPr>
        <w:t xml:space="preserve"> </w:t>
      </w:r>
      <w:r w:rsidRPr="00277164">
        <w:rPr>
          <w:rFonts w:ascii="Book Antiqua" w:hAnsi="Book Antiqua"/>
          <w:color w:val="000000" w:themeColor="text1"/>
        </w:rPr>
        <w:t>acogerse</w:t>
      </w:r>
      <w:r>
        <w:rPr>
          <w:rFonts w:ascii="Book Antiqua" w:hAnsi="Book Antiqua"/>
          <w:color w:val="000000" w:themeColor="text1"/>
        </w:rPr>
        <w:t xml:space="preserve">, </w:t>
      </w:r>
      <w:r>
        <w:rPr>
          <w:rFonts w:ascii="Book Antiqua" w:hAnsi="Book Antiqua"/>
          <w:i/>
          <w:iCs/>
          <w:color w:val="000000" w:themeColor="text1"/>
        </w:rPr>
        <w:t xml:space="preserve">de así entenderlo conveniente, </w:t>
      </w:r>
      <w:r w:rsidRPr="00277164">
        <w:rPr>
          <w:rFonts w:ascii="Book Antiqua" w:hAnsi="Book Antiqua"/>
          <w:color w:val="000000" w:themeColor="text1"/>
        </w:rPr>
        <w:t>a</w:t>
      </w:r>
      <w:r w:rsidRPr="004E0227">
        <w:rPr>
          <w:rFonts w:ascii="Book Antiqua" w:hAnsi="Book Antiqua"/>
          <w:color w:val="000000" w:themeColor="text1"/>
        </w:rPr>
        <w:t xml:space="preserve"> las categorías previamente licitadas y contratos otorgados por la Administración de Servicios </w:t>
      </w:r>
      <w:r w:rsidRPr="00C07C8E">
        <w:rPr>
          <w:rFonts w:ascii="Book Antiqua" w:hAnsi="Book Antiqua"/>
          <w:color w:val="000000" w:themeColor="text1"/>
        </w:rPr>
        <w:t xml:space="preserve">Generales. </w:t>
      </w:r>
      <w:r w:rsidRPr="00610AE9">
        <w:rPr>
          <w:rFonts w:ascii="Book Antiqua" w:hAnsi="Book Antiqua"/>
          <w:i/>
          <w:iCs/>
          <w:color w:val="000000" w:themeColor="text1"/>
        </w:rPr>
        <w:t>Las entidades exentas</w:t>
      </w:r>
      <w:r>
        <w:rPr>
          <w:rFonts w:ascii="Book Antiqua" w:hAnsi="Book Antiqua"/>
          <w:i/>
          <w:iCs/>
          <w:color w:val="000000" w:themeColor="text1"/>
        </w:rPr>
        <w:t xml:space="preserve"> </w:t>
      </w:r>
      <w:r w:rsidRPr="005B2729">
        <w:rPr>
          <w:rFonts w:ascii="Book Antiqua" w:hAnsi="Book Antiqua"/>
          <w:i/>
          <w:iCs/>
          <w:color w:val="000000" w:themeColor="text1"/>
        </w:rPr>
        <w:t>establecerá</w:t>
      </w:r>
      <w:r>
        <w:rPr>
          <w:rFonts w:ascii="Book Antiqua" w:hAnsi="Book Antiqua"/>
          <w:i/>
          <w:iCs/>
          <w:color w:val="000000" w:themeColor="text1"/>
        </w:rPr>
        <w:t>n</w:t>
      </w:r>
      <w:r w:rsidRPr="005B2729">
        <w:rPr>
          <w:rFonts w:ascii="Book Antiqua" w:hAnsi="Book Antiqua"/>
          <w:i/>
          <w:iCs/>
          <w:color w:val="000000" w:themeColor="text1"/>
        </w:rPr>
        <w:t xml:space="preserve"> procedimientos internos para la adquisición de bienes, obras y servicios mediante procesos de compras y subastas que garanticen la transparencia y el uso adecuado de los fondos públicos.</w:t>
      </w:r>
    </w:p>
    <w:p w14:paraId="74BB6E3D" w14:textId="16F177F6" w:rsidR="00466027" w:rsidRDefault="009874EE" w:rsidP="00466027">
      <w:pPr>
        <w:pStyle w:val="BodyText"/>
        <w:spacing w:line="480" w:lineRule="auto"/>
        <w:ind w:left="720"/>
        <w:rPr>
          <w:rFonts w:ascii="Book Antiqua" w:hAnsi="Book Antiqua"/>
          <w:color w:val="000000" w:themeColor="text1"/>
        </w:rPr>
      </w:pPr>
      <w:r>
        <w:rPr>
          <w:rFonts w:ascii="Book Antiqua" w:hAnsi="Book Antiqua"/>
          <w:color w:val="000000" w:themeColor="text1"/>
        </w:rPr>
        <w:t>q) …</w:t>
      </w:r>
      <w:r w:rsidR="00466027">
        <w:rPr>
          <w:rFonts w:ascii="Book Antiqua" w:hAnsi="Book Antiqua"/>
          <w:color w:val="000000" w:themeColor="text1"/>
        </w:rPr>
        <w:t>”</w:t>
      </w:r>
    </w:p>
    <w:p w14:paraId="675FB330" w14:textId="64F2E3DB" w:rsidR="009874EE" w:rsidRDefault="009874EE" w:rsidP="009874EE">
      <w:pPr>
        <w:spacing w:line="480" w:lineRule="auto"/>
        <w:ind w:firstLine="567"/>
        <w:jc w:val="both"/>
        <w:rPr>
          <w:rFonts w:ascii="Book Antiqua" w:hAnsi="Book Antiqua"/>
          <w:color w:val="000000" w:themeColor="text1"/>
          <w:lang w:val="es-PR"/>
        </w:rPr>
      </w:pPr>
      <w:r w:rsidRPr="009874EE">
        <w:rPr>
          <w:rFonts w:ascii="Book Antiqua" w:hAnsi="Book Antiqua"/>
          <w:color w:val="000000" w:themeColor="text1"/>
          <w:lang w:val="es-PR"/>
        </w:rPr>
        <w:t>Sección 2.- Se enmienda el Artículo 4</w:t>
      </w:r>
      <w:r>
        <w:rPr>
          <w:rFonts w:ascii="Book Antiqua" w:hAnsi="Book Antiqua"/>
          <w:color w:val="000000" w:themeColor="text1"/>
          <w:lang w:val="es-PR"/>
        </w:rPr>
        <w:t>6</w:t>
      </w:r>
      <w:r w:rsidRPr="009874EE">
        <w:rPr>
          <w:rFonts w:ascii="Book Antiqua" w:hAnsi="Book Antiqua"/>
          <w:color w:val="000000" w:themeColor="text1"/>
          <w:lang w:val="es-PR"/>
        </w:rPr>
        <w:t xml:space="preserve"> de la Ley 73-2019, según enmendada, para que se lea como sigue: </w:t>
      </w:r>
    </w:p>
    <w:p w14:paraId="5AD74BC5" w14:textId="0D98B08B" w:rsidR="009874EE" w:rsidRDefault="009874EE" w:rsidP="00A80737">
      <w:pPr>
        <w:spacing w:line="480" w:lineRule="auto"/>
        <w:ind w:left="720" w:firstLine="720"/>
        <w:jc w:val="both"/>
        <w:rPr>
          <w:rFonts w:ascii="Book Antiqua" w:hAnsi="Book Antiqua"/>
          <w:color w:val="000000" w:themeColor="text1"/>
          <w:lang w:val="es-PR"/>
        </w:rPr>
      </w:pPr>
      <w:r>
        <w:rPr>
          <w:rFonts w:ascii="Book Antiqua" w:hAnsi="Book Antiqua"/>
          <w:color w:val="000000" w:themeColor="text1"/>
          <w:lang w:val="es-PR"/>
        </w:rPr>
        <w:t xml:space="preserve">“Artículo 46.- Excepciones. </w:t>
      </w:r>
    </w:p>
    <w:p w14:paraId="2292E2D6" w14:textId="48A64FD4" w:rsidR="009874EE" w:rsidRDefault="009874EE" w:rsidP="00A80737">
      <w:pPr>
        <w:spacing w:line="480" w:lineRule="auto"/>
        <w:ind w:left="720" w:firstLine="720"/>
        <w:jc w:val="both"/>
        <w:rPr>
          <w:rFonts w:ascii="Book Antiqua" w:hAnsi="Book Antiqua"/>
          <w:lang w:val="es-PR"/>
        </w:rPr>
      </w:pPr>
      <w:r w:rsidRPr="009874EE">
        <w:rPr>
          <w:rFonts w:ascii="Book Antiqua" w:hAnsi="Book Antiqua"/>
          <w:lang w:val="es-PR"/>
        </w:rPr>
        <w:t>El Administrador podrá eximir a un licitador, proveedor y/o suplidor del requisito de inscripción en el Registro, en las circunstancias especiales que se detallan a continuación:</w:t>
      </w:r>
    </w:p>
    <w:p w14:paraId="3A690770" w14:textId="608A39DF" w:rsidR="009874EE" w:rsidRDefault="009874EE" w:rsidP="009874EE">
      <w:pPr>
        <w:pStyle w:val="ListParagraph"/>
        <w:numPr>
          <w:ilvl w:val="0"/>
          <w:numId w:val="22"/>
        </w:numPr>
        <w:spacing w:line="480" w:lineRule="auto"/>
        <w:jc w:val="both"/>
        <w:rPr>
          <w:rFonts w:ascii="Book Antiqua" w:hAnsi="Book Antiqua"/>
          <w:lang w:val="es-PR"/>
        </w:rPr>
      </w:pPr>
      <w:r>
        <w:rPr>
          <w:rFonts w:ascii="Book Antiqua" w:hAnsi="Book Antiqua"/>
          <w:lang w:val="es-PR"/>
        </w:rPr>
        <w:lastRenderedPageBreak/>
        <w:t>…</w:t>
      </w:r>
    </w:p>
    <w:p w14:paraId="1A2AB9C9" w14:textId="6CD7D958" w:rsidR="009874EE" w:rsidRDefault="009874EE" w:rsidP="009874EE">
      <w:pPr>
        <w:pStyle w:val="ListParagraph"/>
        <w:numPr>
          <w:ilvl w:val="0"/>
          <w:numId w:val="22"/>
        </w:numPr>
        <w:spacing w:line="480" w:lineRule="auto"/>
        <w:jc w:val="both"/>
        <w:rPr>
          <w:rFonts w:ascii="Book Antiqua" w:hAnsi="Book Antiqua"/>
          <w:lang w:val="es-PR"/>
        </w:rPr>
      </w:pPr>
      <w:r>
        <w:rPr>
          <w:rFonts w:ascii="Book Antiqua" w:hAnsi="Book Antiqua"/>
          <w:lang w:val="es-PR"/>
        </w:rPr>
        <w:t>…</w:t>
      </w:r>
    </w:p>
    <w:p w14:paraId="2388D9EF" w14:textId="6E2251DC" w:rsidR="009874EE" w:rsidRDefault="009874EE" w:rsidP="009874EE">
      <w:pPr>
        <w:pStyle w:val="ListParagraph"/>
        <w:numPr>
          <w:ilvl w:val="0"/>
          <w:numId w:val="22"/>
        </w:numPr>
        <w:spacing w:line="480" w:lineRule="auto"/>
        <w:jc w:val="both"/>
        <w:rPr>
          <w:rFonts w:ascii="Book Antiqua" w:hAnsi="Book Antiqua"/>
          <w:lang w:val="es-PR"/>
        </w:rPr>
      </w:pPr>
      <w:r>
        <w:rPr>
          <w:rFonts w:ascii="Book Antiqua" w:hAnsi="Book Antiqua"/>
          <w:lang w:val="es-PR"/>
        </w:rPr>
        <w:t>…</w:t>
      </w:r>
    </w:p>
    <w:p w14:paraId="4E679214" w14:textId="641496F9" w:rsidR="009874EE" w:rsidRDefault="009874EE" w:rsidP="009874EE">
      <w:pPr>
        <w:pStyle w:val="ListParagraph"/>
        <w:numPr>
          <w:ilvl w:val="0"/>
          <w:numId w:val="22"/>
        </w:numPr>
        <w:spacing w:line="480" w:lineRule="auto"/>
        <w:jc w:val="both"/>
        <w:rPr>
          <w:rFonts w:ascii="Book Antiqua" w:hAnsi="Book Antiqua"/>
          <w:lang w:val="es-PR"/>
        </w:rPr>
      </w:pPr>
      <w:r>
        <w:rPr>
          <w:rFonts w:ascii="Book Antiqua" w:hAnsi="Book Antiqua"/>
          <w:lang w:val="es-PR"/>
        </w:rPr>
        <w:t>…</w:t>
      </w:r>
    </w:p>
    <w:p w14:paraId="0AD0C1A6" w14:textId="540A6544" w:rsidR="00BF5D5A" w:rsidRPr="00BF5D5A" w:rsidRDefault="009874EE" w:rsidP="00BF5D5A">
      <w:pPr>
        <w:pStyle w:val="ListParagraph"/>
        <w:numPr>
          <w:ilvl w:val="0"/>
          <w:numId w:val="22"/>
        </w:numPr>
        <w:spacing w:line="480" w:lineRule="auto"/>
        <w:jc w:val="both"/>
        <w:rPr>
          <w:rFonts w:ascii="Book Antiqua" w:hAnsi="Book Antiqua"/>
          <w:lang w:val="es-PR"/>
        </w:rPr>
      </w:pPr>
      <w:r w:rsidRPr="009874EE">
        <w:rPr>
          <w:rFonts w:ascii="Book Antiqua" w:hAnsi="Book Antiqua"/>
          <w:lang w:val="es-PR"/>
        </w:rPr>
        <w:t>Para la adquisición y/o contratación de servicios profesionales serán eximidos, sin previa autorización del Administrador del Registro Único de Proveedores de Servicios Profesionales, los profesionales de la salud que laboren en los hospitales, programas e instalaciones de la Administración de Servicios Médicos de Puerto Rico (ASEM), el Centro Médico y el Hospital Cardiovascular.</w:t>
      </w:r>
      <w:r>
        <w:rPr>
          <w:rFonts w:ascii="Book Antiqua" w:hAnsi="Book Antiqua"/>
          <w:lang w:val="es-PR"/>
        </w:rPr>
        <w:t xml:space="preserve"> </w:t>
      </w:r>
      <w:r>
        <w:rPr>
          <w:rFonts w:ascii="Book Antiqua" w:hAnsi="Book Antiqua"/>
          <w:i/>
          <w:iCs/>
          <w:lang w:val="es-PR"/>
        </w:rPr>
        <w:t>De igual manera, está exento el personal docente que labora en las instituciones de educación superior públicas.</w:t>
      </w:r>
      <w:r w:rsidR="00032520">
        <w:rPr>
          <w:rFonts w:ascii="Book Antiqua" w:hAnsi="Book Antiqua"/>
          <w:i/>
          <w:iCs/>
          <w:lang w:val="es-PR"/>
        </w:rPr>
        <w:t xml:space="preserve"> No obstante, el personal docente que labora en instituciones públicas de educación superior vendrá obligado a registrarse anualmente, pero una vez registrado, su registración le dará un derecho de exención del pago de cualquier arancel, cargo o cobro por dicho concepto a la Administración del Registro por los próximos </w:t>
      </w:r>
      <w:r w:rsidR="00A80737">
        <w:rPr>
          <w:rFonts w:ascii="Book Antiqua" w:hAnsi="Book Antiqua"/>
          <w:i/>
          <w:iCs/>
          <w:lang w:val="es-PR"/>
        </w:rPr>
        <w:t>seis (</w:t>
      </w:r>
      <w:r w:rsidR="00032520">
        <w:rPr>
          <w:rFonts w:ascii="Book Antiqua" w:hAnsi="Book Antiqua"/>
          <w:i/>
          <w:iCs/>
          <w:lang w:val="es-PR"/>
        </w:rPr>
        <w:t>6) años. Estos harán sus pagos por concepto de registración una vez cada siete (7) años.</w:t>
      </w:r>
      <w:r>
        <w:rPr>
          <w:rFonts w:ascii="Book Antiqua" w:hAnsi="Book Antiqua"/>
          <w:i/>
          <w:iCs/>
          <w:lang w:val="es-PR"/>
        </w:rPr>
        <w:t xml:space="preserve">”  </w:t>
      </w:r>
    </w:p>
    <w:p w14:paraId="00DBDAA3" w14:textId="55B08A15" w:rsidR="00BF5D5A" w:rsidRDefault="00BF5D5A" w:rsidP="00BF5D5A">
      <w:pPr>
        <w:suppressAutoHyphens/>
        <w:spacing w:line="480" w:lineRule="auto"/>
        <w:ind w:firstLine="720"/>
        <w:jc w:val="both"/>
        <w:rPr>
          <w:rFonts w:ascii="Book Antiqua" w:hAnsi="Book Antiqua"/>
          <w:spacing w:val="-3"/>
          <w:lang w:val="es-PR"/>
        </w:rPr>
      </w:pPr>
      <w:r>
        <w:rPr>
          <w:rFonts w:ascii="Book Antiqua" w:hAnsi="Book Antiqua"/>
          <w:spacing w:val="-3"/>
          <w:lang w:val="es-PR"/>
        </w:rPr>
        <w:t>Sección 3</w:t>
      </w:r>
      <w:r w:rsidRPr="009C6980">
        <w:rPr>
          <w:rFonts w:ascii="Book Antiqua" w:hAnsi="Book Antiqua"/>
          <w:spacing w:val="-3"/>
          <w:lang w:val="es-PR"/>
        </w:rPr>
        <w:t xml:space="preserve">.- Separabilidad. </w:t>
      </w:r>
    </w:p>
    <w:p w14:paraId="2FA5AED0" w14:textId="2F798B49" w:rsidR="00BF5D5A" w:rsidRPr="00BF5D5A" w:rsidRDefault="00BF5D5A" w:rsidP="00BF5D5A">
      <w:pPr>
        <w:suppressAutoHyphens/>
        <w:spacing w:line="480" w:lineRule="auto"/>
        <w:ind w:firstLine="720"/>
        <w:jc w:val="both"/>
        <w:rPr>
          <w:rFonts w:ascii="Book Antiqua" w:hAnsi="Book Antiqua"/>
          <w:spacing w:val="-3"/>
          <w:lang w:val="es-PR"/>
        </w:rPr>
      </w:pPr>
      <w:r w:rsidRPr="00A974BA">
        <w:rPr>
          <w:rFonts w:ascii="Book Antiqua" w:hAnsi="Book Antiqua"/>
          <w:spacing w:val="-3"/>
          <w:lang w:val="es-PR"/>
        </w:rPr>
        <w:t>Si cualquier cláusula, párrafo, artículo, disposición o parte de esta Ley fuere declarada inconstitucional o nula por un tribunal competente, tal decisión no afectará, perjudicará ni invalidará el resto de esta Ley, la cual continuará en pleno vigor y efecto.</w:t>
      </w:r>
    </w:p>
    <w:p w14:paraId="544AA1BD" w14:textId="7278C86D" w:rsidR="005A5C2E" w:rsidRPr="00525F1B" w:rsidRDefault="005A5C2E" w:rsidP="005A5C2E">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sidR="00BF5D5A">
        <w:rPr>
          <w:rFonts w:ascii="Book Antiqua" w:eastAsia="Book Antiqua" w:hAnsi="Book Antiqua" w:cs="Book Antiqua"/>
          <w:color w:val="000000" w:themeColor="text1"/>
        </w:rPr>
        <w:t>4</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Vigencia.</w:t>
      </w:r>
    </w:p>
    <w:p w14:paraId="79550695" w14:textId="01C652B6" w:rsidR="00FF2214" w:rsidRPr="00BE6A63" w:rsidRDefault="005A5C2E" w:rsidP="005A5C2E">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Esta Ley entrará en vigor inmediatamente después de su aprobación</w:t>
      </w:r>
      <w:bookmarkEnd w:id="0"/>
      <w:bookmarkEnd w:id="1"/>
      <w:r w:rsidRPr="00525F1B">
        <w:rPr>
          <w:rFonts w:ascii="Book Antiqua" w:hAnsi="Book Antiqua"/>
          <w:color w:val="000000" w:themeColor="text1"/>
          <w:lang w:val="es-ES"/>
        </w:rPr>
        <w:t>.</w:t>
      </w:r>
    </w:p>
    <w:sectPr w:rsidR="00FF2214" w:rsidRPr="00BE6A63"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E4B3A" w14:textId="77777777" w:rsidR="005E6331" w:rsidRDefault="005E6331">
      <w:r>
        <w:separator/>
      </w:r>
    </w:p>
  </w:endnote>
  <w:endnote w:type="continuationSeparator" w:id="0">
    <w:p w14:paraId="317C1A8C" w14:textId="77777777" w:rsidR="005E6331" w:rsidRDefault="005E6331">
      <w:r>
        <w:continuationSeparator/>
      </w:r>
    </w:p>
  </w:endnote>
  <w:endnote w:type="continuationNotice" w:id="1">
    <w:p w14:paraId="596FAB03" w14:textId="77777777" w:rsidR="005E6331" w:rsidRDefault="005E63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0AF52B76-3563-4BE8-A1DF-BE2807B65986}"/>
    <w:embedBold r:id="rId2" w:fontKey="{348563E1-7EAE-44FD-A6F3-212EB65F0C63}"/>
    <w:embedItalic r:id="rId3" w:fontKey="{570F6364-DAF4-47FB-95F1-9E6AAA62D2D9}"/>
  </w:font>
  <w:font w:name="Segoe UI">
    <w:panose1 w:val="020B0502040204020203"/>
    <w:charset w:val="00"/>
    <w:family w:val="swiss"/>
    <w:pitch w:val="variable"/>
    <w:sig w:usb0="E4002EFF" w:usb1="C000E47F" w:usb2="00000009" w:usb3="00000000" w:csb0="000001FF" w:csb1="00000000"/>
    <w:embedRegular r:id="rId4" w:fontKey="{73A68105-F158-426E-A941-D515C6C40F8C}"/>
  </w:font>
  <w:font w:name="Georgia">
    <w:panose1 w:val="02040502050405020303"/>
    <w:charset w:val="00"/>
    <w:family w:val="roman"/>
    <w:pitch w:val="variable"/>
    <w:sig w:usb0="00000287" w:usb1="00000000" w:usb2="00000000" w:usb3="00000000" w:csb0="0000009F" w:csb1="00000000"/>
    <w:embedRegular r:id="rId5" w:fontKey="{987A784A-0098-437B-9276-B1D6C503C5DD}"/>
    <w:embedItalic r:id="rId6" w:fontKey="{31AE001C-8B3A-476D-BAE3-43D0B5641C55}"/>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1829477A-3C62-4287-ACE2-DACBB1D2D70C}"/>
    <w:embedItalic r:id="rId8" w:fontKey="{CDA4FD5B-2180-4CCE-B9C6-0A3632AF4577}"/>
  </w:font>
  <w:font w:name="Calibri">
    <w:panose1 w:val="020F0502020204030204"/>
    <w:charset w:val="00"/>
    <w:family w:val="swiss"/>
    <w:pitch w:val="variable"/>
    <w:sig w:usb0="E4002EFF" w:usb1="C200247B" w:usb2="00000009" w:usb3="00000000" w:csb0="000001FF" w:csb1="00000000"/>
    <w:embedRegular r:id="rId9" w:fontKey="{AB132420-98E9-4846-81E8-1615726A61B2}"/>
  </w:font>
  <w:font w:name="Times">
    <w:panose1 w:val="02020603050405020304"/>
    <w:charset w:val="00"/>
    <w:family w:val="roman"/>
    <w:pitch w:val="variable"/>
    <w:sig w:usb0="E0002EFF" w:usb1="C000785B" w:usb2="00000009" w:usb3="00000000" w:csb0="000001FF" w:csb1="00000000"/>
    <w:embedBold r:id="rId10" w:fontKey="{AF11314F-9CD1-4A4B-B3F6-BDC8BAAB08DC}"/>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1" w:fontKey="{17B0D368-FE0E-4327-B31F-08E1566C110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075BC" w14:textId="77777777" w:rsidR="005E6331" w:rsidRDefault="005E6331">
      <w:r>
        <w:separator/>
      </w:r>
    </w:p>
  </w:footnote>
  <w:footnote w:type="continuationSeparator" w:id="0">
    <w:p w14:paraId="3C1C08A7" w14:textId="77777777" w:rsidR="005E6331" w:rsidRDefault="005E6331">
      <w:r>
        <w:continuationSeparator/>
      </w:r>
    </w:p>
  </w:footnote>
  <w:footnote w:type="continuationNotice" w:id="1">
    <w:p w14:paraId="70AB9050" w14:textId="77777777" w:rsidR="005E6331" w:rsidRDefault="005E63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7DB4A19B" w:rsidR="00FF2214" w:rsidRDefault="00850770">
    <w:pPr>
      <w:tabs>
        <w:tab w:val="center" w:pos="4320"/>
        <w:tab w:val="right" w:pos="8640"/>
      </w:tabs>
      <w:jc w:val="right"/>
      <w:rPr>
        <w:color w:val="000000"/>
      </w:rPr>
    </w:pPr>
    <w:r>
      <w:rPr>
        <w:color w:val="000000"/>
      </w:rPr>
      <w:t>A-0</w:t>
    </w:r>
    <w:r w:rsidR="00A405A8">
      <w:rPr>
        <w:color w:val="000000"/>
      </w:rPr>
      <w:t>60</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9668D"/>
    <w:multiLevelType w:val="hybridMultilevel"/>
    <w:tmpl w:val="DFE4B442"/>
    <w:lvl w:ilvl="0" w:tplc="986E52C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626C91"/>
    <w:multiLevelType w:val="hybridMultilevel"/>
    <w:tmpl w:val="6A64D85E"/>
    <w:lvl w:ilvl="0" w:tplc="1708FEAA">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11"/>
  </w:num>
  <w:num w:numId="2" w16cid:durableId="1011832284">
    <w:abstractNumId w:val="5"/>
  </w:num>
  <w:num w:numId="3" w16cid:durableId="1943102285">
    <w:abstractNumId w:val="21"/>
  </w:num>
  <w:num w:numId="4" w16cid:durableId="1106316835">
    <w:abstractNumId w:val="17"/>
  </w:num>
  <w:num w:numId="5" w16cid:durableId="455106598">
    <w:abstractNumId w:val="14"/>
  </w:num>
  <w:num w:numId="6" w16cid:durableId="175340939">
    <w:abstractNumId w:val="2"/>
  </w:num>
  <w:num w:numId="7" w16cid:durableId="1854225982">
    <w:abstractNumId w:val="18"/>
  </w:num>
  <w:num w:numId="8" w16cid:durableId="1919754197">
    <w:abstractNumId w:val="1"/>
  </w:num>
  <w:num w:numId="9" w16cid:durableId="365562201">
    <w:abstractNumId w:val="4"/>
  </w:num>
  <w:num w:numId="10" w16cid:durableId="1904826230">
    <w:abstractNumId w:val="7"/>
  </w:num>
  <w:num w:numId="11" w16cid:durableId="118687224">
    <w:abstractNumId w:val="8"/>
  </w:num>
  <w:num w:numId="12" w16cid:durableId="508376565">
    <w:abstractNumId w:val="12"/>
  </w:num>
  <w:num w:numId="13" w16cid:durableId="216819222">
    <w:abstractNumId w:val="10"/>
  </w:num>
  <w:num w:numId="14" w16cid:durableId="517544549">
    <w:abstractNumId w:val="19"/>
  </w:num>
  <w:num w:numId="15" w16cid:durableId="478498451">
    <w:abstractNumId w:val="9"/>
  </w:num>
  <w:num w:numId="16" w16cid:durableId="46998239">
    <w:abstractNumId w:val="20"/>
  </w:num>
  <w:num w:numId="17" w16cid:durableId="275597364">
    <w:abstractNumId w:val="3"/>
  </w:num>
  <w:num w:numId="18" w16cid:durableId="1162702400">
    <w:abstractNumId w:val="6"/>
  </w:num>
  <w:num w:numId="19" w16cid:durableId="2055156664">
    <w:abstractNumId w:val="13"/>
  </w:num>
  <w:num w:numId="20" w16cid:durableId="1121461949">
    <w:abstractNumId w:val="16"/>
  </w:num>
  <w:num w:numId="21" w16cid:durableId="943340285">
    <w:abstractNumId w:val="0"/>
  </w:num>
  <w:num w:numId="22" w16cid:durableId="16741402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A10"/>
    <w:rsid w:val="00003E86"/>
    <w:rsid w:val="000069C8"/>
    <w:rsid w:val="00006DD7"/>
    <w:rsid w:val="0001054D"/>
    <w:rsid w:val="000107AB"/>
    <w:rsid w:val="00010836"/>
    <w:rsid w:val="0001793B"/>
    <w:rsid w:val="00022FC4"/>
    <w:rsid w:val="00027C66"/>
    <w:rsid w:val="00032520"/>
    <w:rsid w:val="00032F6A"/>
    <w:rsid w:val="00040CAA"/>
    <w:rsid w:val="0004195C"/>
    <w:rsid w:val="000502AE"/>
    <w:rsid w:val="00056D71"/>
    <w:rsid w:val="00057EF4"/>
    <w:rsid w:val="00061922"/>
    <w:rsid w:val="0007036F"/>
    <w:rsid w:val="000741B3"/>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07891"/>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0471"/>
    <w:rsid w:val="002121D5"/>
    <w:rsid w:val="002138BE"/>
    <w:rsid w:val="00230215"/>
    <w:rsid w:val="002304C5"/>
    <w:rsid w:val="002318F0"/>
    <w:rsid w:val="00231C2C"/>
    <w:rsid w:val="0023393F"/>
    <w:rsid w:val="002429DB"/>
    <w:rsid w:val="002435A4"/>
    <w:rsid w:val="0024422E"/>
    <w:rsid w:val="00251AFB"/>
    <w:rsid w:val="00252646"/>
    <w:rsid w:val="00254DCC"/>
    <w:rsid w:val="002600AE"/>
    <w:rsid w:val="00260FC0"/>
    <w:rsid w:val="002630C4"/>
    <w:rsid w:val="002646F8"/>
    <w:rsid w:val="00266688"/>
    <w:rsid w:val="00273031"/>
    <w:rsid w:val="00285A15"/>
    <w:rsid w:val="0028794F"/>
    <w:rsid w:val="00291A4F"/>
    <w:rsid w:val="002A1D65"/>
    <w:rsid w:val="002A23EE"/>
    <w:rsid w:val="002A4F4F"/>
    <w:rsid w:val="002B2FBB"/>
    <w:rsid w:val="002B5618"/>
    <w:rsid w:val="002B62EE"/>
    <w:rsid w:val="002B6A9F"/>
    <w:rsid w:val="002B7906"/>
    <w:rsid w:val="002C1726"/>
    <w:rsid w:val="002D6159"/>
    <w:rsid w:val="002E0A3E"/>
    <w:rsid w:val="002F21CF"/>
    <w:rsid w:val="002F48BA"/>
    <w:rsid w:val="002F5B16"/>
    <w:rsid w:val="002F6B81"/>
    <w:rsid w:val="00300082"/>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66666"/>
    <w:rsid w:val="0037191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1966"/>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078F"/>
    <w:rsid w:val="00440CB7"/>
    <w:rsid w:val="00444257"/>
    <w:rsid w:val="00452649"/>
    <w:rsid w:val="00461FBD"/>
    <w:rsid w:val="00462353"/>
    <w:rsid w:val="00462BEA"/>
    <w:rsid w:val="00465256"/>
    <w:rsid w:val="00466027"/>
    <w:rsid w:val="004674AD"/>
    <w:rsid w:val="00470B12"/>
    <w:rsid w:val="00477933"/>
    <w:rsid w:val="0048210C"/>
    <w:rsid w:val="0049425A"/>
    <w:rsid w:val="004A0EAF"/>
    <w:rsid w:val="004A5974"/>
    <w:rsid w:val="004A63FB"/>
    <w:rsid w:val="004A763E"/>
    <w:rsid w:val="004B290C"/>
    <w:rsid w:val="004B357F"/>
    <w:rsid w:val="004C411D"/>
    <w:rsid w:val="004C41AE"/>
    <w:rsid w:val="004C6236"/>
    <w:rsid w:val="004D03F5"/>
    <w:rsid w:val="004D0CDB"/>
    <w:rsid w:val="004D24B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5B8"/>
    <w:rsid w:val="00573C36"/>
    <w:rsid w:val="0057614A"/>
    <w:rsid w:val="00576725"/>
    <w:rsid w:val="00580739"/>
    <w:rsid w:val="00591957"/>
    <w:rsid w:val="005A3527"/>
    <w:rsid w:val="005A5C2E"/>
    <w:rsid w:val="005A5F0D"/>
    <w:rsid w:val="005B3512"/>
    <w:rsid w:val="005B3BBD"/>
    <w:rsid w:val="005C1370"/>
    <w:rsid w:val="005C3826"/>
    <w:rsid w:val="005C3AFC"/>
    <w:rsid w:val="005C7524"/>
    <w:rsid w:val="005D3EB3"/>
    <w:rsid w:val="005E3602"/>
    <w:rsid w:val="005E3680"/>
    <w:rsid w:val="005E4152"/>
    <w:rsid w:val="005E6331"/>
    <w:rsid w:val="005E63C3"/>
    <w:rsid w:val="005E7EC5"/>
    <w:rsid w:val="005F0A2C"/>
    <w:rsid w:val="005F265C"/>
    <w:rsid w:val="005F2872"/>
    <w:rsid w:val="005F486E"/>
    <w:rsid w:val="0060246B"/>
    <w:rsid w:val="00604605"/>
    <w:rsid w:val="00604DA6"/>
    <w:rsid w:val="006156E3"/>
    <w:rsid w:val="00615B4D"/>
    <w:rsid w:val="0061628B"/>
    <w:rsid w:val="00623D53"/>
    <w:rsid w:val="006241D1"/>
    <w:rsid w:val="0062471D"/>
    <w:rsid w:val="006414C7"/>
    <w:rsid w:val="00642C79"/>
    <w:rsid w:val="006430D0"/>
    <w:rsid w:val="00643433"/>
    <w:rsid w:val="0064494E"/>
    <w:rsid w:val="00654571"/>
    <w:rsid w:val="00654CE0"/>
    <w:rsid w:val="00657A02"/>
    <w:rsid w:val="00663D06"/>
    <w:rsid w:val="00666FD4"/>
    <w:rsid w:val="00670249"/>
    <w:rsid w:val="00670CA7"/>
    <w:rsid w:val="0068065A"/>
    <w:rsid w:val="006819FE"/>
    <w:rsid w:val="0068748D"/>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491"/>
    <w:rsid w:val="0073352B"/>
    <w:rsid w:val="00736EAA"/>
    <w:rsid w:val="00740BAC"/>
    <w:rsid w:val="00753E10"/>
    <w:rsid w:val="00755AEC"/>
    <w:rsid w:val="00755DDC"/>
    <w:rsid w:val="00760792"/>
    <w:rsid w:val="0077017C"/>
    <w:rsid w:val="00773ABA"/>
    <w:rsid w:val="00774978"/>
    <w:rsid w:val="0078017D"/>
    <w:rsid w:val="00781480"/>
    <w:rsid w:val="00791FA9"/>
    <w:rsid w:val="00795BD6"/>
    <w:rsid w:val="007A346E"/>
    <w:rsid w:val="007A4745"/>
    <w:rsid w:val="007A5875"/>
    <w:rsid w:val="007B090C"/>
    <w:rsid w:val="007C7157"/>
    <w:rsid w:val="007D6A91"/>
    <w:rsid w:val="007D71E7"/>
    <w:rsid w:val="007D76E0"/>
    <w:rsid w:val="007E368D"/>
    <w:rsid w:val="00804D98"/>
    <w:rsid w:val="00805B64"/>
    <w:rsid w:val="00807CED"/>
    <w:rsid w:val="00812840"/>
    <w:rsid w:val="008316F2"/>
    <w:rsid w:val="00831773"/>
    <w:rsid w:val="008337A4"/>
    <w:rsid w:val="00834801"/>
    <w:rsid w:val="00836115"/>
    <w:rsid w:val="00836710"/>
    <w:rsid w:val="008402C1"/>
    <w:rsid w:val="008450D8"/>
    <w:rsid w:val="00850770"/>
    <w:rsid w:val="00851249"/>
    <w:rsid w:val="00855B45"/>
    <w:rsid w:val="008574AE"/>
    <w:rsid w:val="008670BC"/>
    <w:rsid w:val="008676E8"/>
    <w:rsid w:val="008863D7"/>
    <w:rsid w:val="0089008A"/>
    <w:rsid w:val="00890C4D"/>
    <w:rsid w:val="00891773"/>
    <w:rsid w:val="008925BB"/>
    <w:rsid w:val="008A1F5E"/>
    <w:rsid w:val="008A5641"/>
    <w:rsid w:val="008B3680"/>
    <w:rsid w:val="008C0934"/>
    <w:rsid w:val="008C30C9"/>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22EE2"/>
    <w:rsid w:val="00930E48"/>
    <w:rsid w:val="0093314A"/>
    <w:rsid w:val="0093744C"/>
    <w:rsid w:val="00942E06"/>
    <w:rsid w:val="00950505"/>
    <w:rsid w:val="00950A46"/>
    <w:rsid w:val="009526E5"/>
    <w:rsid w:val="00952875"/>
    <w:rsid w:val="00954675"/>
    <w:rsid w:val="009547E8"/>
    <w:rsid w:val="00962C3E"/>
    <w:rsid w:val="00963E17"/>
    <w:rsid w:val="00965195"/>
    <w:rsid w:val="00970540"/>
    <w:rsid w:val="00971D18"/>
    <w:rsid w:val="009833D3"/>
    <w:rsid w:val="009841D4"/>
    <w:rsid w:val="009874EE"/>
    <w:rsid w:val="009927E5"/>
    <w:rsid w:val="009A003A"/>
    <w:rsid w:val="009A0ED5"/>
    <w:rsid w:val="009B47BF"/>
    <w:rsid w:val="009D1C75"/>
    <w:rsid w:val="009D5726"/>
    <w:rsid w:val="009D61E3"/>
    <w:rsid w:val="009D7450"/>
    <w:rsid w:val="009D79EC"/>
    <w:rsid w:val="009E240E"/>
    <w:rsid w:val="009E36AA"/>
    <w:rsid w:val="009F15AE"/>
    <w:rsid w:val="00A02203"/>
    <w:rsid w:val="00A04577"/>
    <w:rsid w:val="00A11BAB"/>
    <w:rsid w:val="00A1720E"/>
    <w:rsid w:val="00A22039"/>
    <w:rsid w:val="00A23051"/>
    <w:rsid w:val="00A23CBE"/>
    <w:rsid w:val="00A26252"/>
    <w:rsid w:val="00A26489"/>
    <w:rsid w:val="00A30925"/>
    <w:rsid w:val="00A3392B"/>
    <w:rsid w:val="00A405A8"/>
    <w:rsid w:val="00A41F69"/>
    <w:rsid w:val="00A44362"/>
    <w:rsid w:val="00A47378"/>
    <w:rsid w:val="00A47BDC"/>
    <w:rsid w:val="00A52322"/>
    <w:rsid w:val="00A52F9B"/>
    <w:rsid w:val="00A5416B"/>
    <w:rsid w:val="00A62528"/>
    <w:rsid w:val="00A67A3A"/>
    <w:rsid w:val="00A770A7"/>
    <w:rsid w:val="00A7759E"/>
    <w:rsid w:val="00A80737"/>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D7E22"/>
    <w:rsid w:val="00AE0D1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274C"/>
    <w:rsid w:val="00B231AC"/>
    <w:rsid w:val="00B23F46"/>
    <w:rsid w:val="00B24BAA"/>
    <w:rsid w:val="00B3263E"/>
    <w:rsid w:val="00B34B9F"/>
    <w:rsid w:val="00B41851"/>
    <w:rsid w:val="00B51DBD"/>
    <w:rsid w:val="00B5375E"/>
    <w:rsid w:val="00B54199"/>
    <w:rsid w:val="00B57F92"/>
    <w:rsid w:val="00B60014"/>
    <w:rsid w:val="00B70B63"/>
    <w:rsid w:val="00B72A6A"/>
    <w:rsid w:val="00B74EC0"/>
    <w:rsid w:val="00B81E44"/>
    <w:rsid w:val="00B84666"/>
    <w:rsid w:val="00B84B1D"/>
    <w:rsid w:val="00B87A1C"/>
    <w:rsid w:val="00B87D3C"/>
    <w:rsid w:val="00B950B6"/>
    <w:rsid w:val="00BA3CB8"/>
    <w:rsid w:val="00BA70CD"/>
    <w:rsid w:val="00BB00B8"/>
    <w:rsid w:val="00BB3314"/>
    <w:rsid w:val="00BB3C4F"/>
    <w:rsid w:val="00BB48CC"/>
    <w:rsid w:val="00BB4F4D"/>
    <w:rsid w:val="00BC1AD6"/>
    <w:rsid w:val="00BD11DE"/>
    <w:rsid w:val="00BD4F99"/>
    <w:rsid w:val="00BE4BBF"/>
    <w:rsid w:val="00BE55AC"/>
    <w:rsid w:val="00BE6A63"/>
    <w:rsid w:val="00BE7D02"/>
    <w:rsid w:val="00BF5A14"/>
    <w:rsid w:val="00BF5D5A"/>
    <w:rsid w:val="00BF5DE6"/>
    <w:rsid w:val="00C004A4"/>
    <w:rsid w:val="00C05E49"/>
    <w:rsid w:val="00C05E9D"/>
    <w:rsid w:val="00C13DC9"/>
    <w:rsid w:val="00C25487"/>
    <w:rsid w:val="00C32AB8"/>
    <w:rsid w:val="00C32AF1"/>
    <w:rsid w:val="00C33CEB"/>
    <w:rsid w:val="00C361CD"/>
    <w:rsid w:val="00C57448"/>
    <w:rsid w:val="00C635EB"/>
    <w:rsid w:val="00C6433E"/>
    <w:rsid w:val="00C71782"/>
    <w:rsid w:val="00C8076C"/>
    <w:rsid w:val="00C87975"/>
    <w:rsid w:val="00C90DA0"/>
    <w:rsid w:val="00C93262"/>
    <w:rsid w:val="00C97C1A"/>
    <w:rsid w:val="00CA38D8"/>
    <w:rsid w:val="00CA3F74"/>
    <w:rsid w:val="00CA5BDF"/>
    <w:rsid w:val="00CA69E3"/>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50765"/>
    <w:rsid w:val="00D50CD3"/>
    <w:rsid w:val="00D51091"/>
    <w:rsid w:val="00D54B9E"/>
    <w:rsid w:val="00D63CAC"/>
    <w:rsid w:val="00D84992"/>
    <w:rsid w:val="00D937E3"/>
    <w:rsid w:val="00D938F9"/>
    <w:rsid w:val="00D95879"/>
    <w:rsid w:val="00D962FB"/>
    <w:rsid w:val="00DA5EB9"/>
    <w:rsid w:val="00DB55DC"/>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4634"/>
    <w:rsid w:val="00E75D0B"/>
    <w:rsid w:val="00E83E85"/>
    <w:rsid w:val="00E8449E"/>
    <w:rsid w:val="00E87812"/>
    <w:rsid w:val="00E90225"/>
    <w:rsid w:val="00E93811"/>
    <w:rsid w:val="00E97260"/>
    <w:rsid w:val="00EA3595"/>
    <w:rsid w:val="00EA452F"/>
    <w:rsid w:val="00EA5801"/>
    <w:rsid w:val="00EA6377"/>
    <w:rsid w:val="00EB087E"/>
    <w:rsid w:val="00EB506F"/>
    <w:rsid w:val="00EC2169"/>
    <w:rsid w:val="00EC31D3"/>
    <w:rsid w:val="00EC546C"/>
    <w:rsid w:val="00EC69F6"/>
    <w:rsid w:val="00ED3996"/>
    <w:rsid w:val="00ED3D87"/>
    <w:rsid w:val="00ED5A58"/>
    <w:rsid w:val="00EE009B"/>
    <w:rsid w:val="00EE0372"/>
    <w:rsid w:val="00EF2711"/>
    <w:rsid w:val="00EF2D8D"/>
    <w:rsid w:val="00F026C9"/>
    <w:rsid w:val="00F1322B"/>
    <w:rsid w:val="00F16B71"/>
    <w:rsid w:val="00F245C1"/>
    <w:rsid w:val="00F27415"/>
    <w:rsid w:val="00F3308A"/>
    <w:rsid w:val="00F36138"/>
    <w:rsid w:val="00F42967"/>
    <w:rsid w:val="00F519A3"/>
    <w:rsid w:val="00F55BC6"/>
    <w:rsid w:val="00F571EB"/>
    <w:rsid w:val="00F63969"/>
    <w:rsid w:val="00F65464"/>
    <w:rsid w:val="00F70223"/>
    <w:rsid w:val="00F70BEF"/>
    <w:rsid w:val="00F70D38"/>
    <w:rsid w:val="00F739FE"/>
    <w:rsid w:val="00F858BD"/>
    <w:rsid w:val="00F87B47"/>
    <w:rsid w:val="00FA0CB1"/>
    <w:rsid w:val="00FA11F4"/>
    <w:rsid w:val="00FB470E"/>
    <w:rsid w:val="00FB77D5"/>
    <w:rsid w:val="00FC0C14"/>
    <w:rsid w:val="00FD065B"/>
    <w:rsid w:val="00FD093E"/>
    <w:rsid w:val="00FE2D53"/>
    <w:rsid w:val="00FF2214"/>
    <w:rsid w:val="542407D0"/>
    <w:rsid w:val="56E75300"/>
    <w:rsid w:val="5C5C04A9"/>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1312</Words>
  <Characters>7484</Characters>
  <Application>Microsoft Office Word</Application>
  <DocSecurity>0</DocSecurity>
  <Lines>62</Lines>
  <Paragraphs>17</Paragraphs>
  <ScaleCrop>false</ScaleCrop>
  <Company/>
  <LinksUpToDate>false</LinksUpToDate>
  <CharactersWithSpaces>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2025-04-07T14:36:00Z</cp:lastPrinted>
  <dcterms:created xsi:type="dcterms:W3CDTF">2025-04-07T22:39:00Z</dcterms:created>
  <dcterms:modified xsi:type="dcterms:W3CDTF">2025-04-08T18:23:00Z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