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6B268" w14:textId="77777777" w:rsidR="00BC074C" w:rsidRPr="003161BA" w:rsidRDefault="00BC074C" w:rsidP="00BC074C">
      <w:pPr>
        <w:jc w:val="center"/>
        <w:rPr>
          <w:rFonts w:ascii="Book Antiqua" w:eastAsia="Book Antiqua" w:hAnsi="Book Antiqua" w:cs="Book Antiqua"/>
          <w:b/>
          <w:bCs/>
          <w:color w:val="000000" w:themeColor="text1"/>
          <w:lang w:val="es-PR"/>
        </w:rPr>
      </w:pPr>
      <w:bookmarkStart w:id="0" w:name="_Hlk138253982"/>
      <w:r w:rsidRPr="00BC074C">
        <w:rPr>
          <w:rFonts w:ascii="Book Antiqua" w:eastAsia="Book Antiqua" w:hAnsi="Book Antiqua" w:cs="Book Antiqua"/>
          <w:b/>
          <w:bCs/>
          <w:color w:val="000000" w:themeColor="text1"/>
          <w:sz w:val="28"/>
          <w:szCs w:val="28"/>
          <w:lang w:val="es-PR"/>
        </w:rPr>
        <w:t>(</w:t>
      </w:r>
      <w:r w:rsidRPr="003161BA">
        <w:rPr>
          <w:rFonts w:ascii="Book Antiqua" w:eastAsia="Book Antiqua" w:hAnsi="Book Antiqua" w:cs="Book Antiqua"/>
          <w:b/>
          <w:bCs/>
          <w:color w:val="000000" w:themeColor="text1"/>
          <w:lang w:val="es-PR"/>
        </w:rPr>
        <w:t>TEXTO DE APROBACIÓN FINAL POR LA CÁMARA)</w:t>
      </w:r>
      <w:r w:rsidRPr="003161BA">
        <w:rPr>
          <w:rFonts w:ascii="Book Antiqua" w:eastAsia="Book Antiqua" w:hAnsi="Book Antiqua" w:cs="Book Antiqua"/>
          <w:bCs/>
          <w:color w:val="000000" w:themeColor="text1"/>
          <w:lang w:val="es-ES"/>
        </w:rPr>
        <w:fldChar w:fldCharType="begin"/>
      </w:r>
      <w:r w:rsidRPr="003161BA">
        <w:rPr>
          <w:rFonts w:ascii="Book Antiqua" w:eastAsia="Book Antiqua" w:hAnsi="Book Antiqua" w:cs="Book Antiqua"/>
          <w:b/>
          <w:bCs/>
          <w:color w:val="000000" w:themeColor="text1"/>
          <w:lang w:val="es-PR"/>
        </w:rPr>
        <w:instrText xml:space="preserve">PRIVATE </w:instrText>
      </w:r>
      <w:r w:rsidRPr="003161BA">
        <w:rPr>
          <w:rFonts w:ascii="Book Antiqua" w:eastAsia="Book Antiqua" w:hAnsi="Book Antiqua" w:cs="Book Antiqua"/>
          <w:bCs/>
          <w:color w:val="000000" w:themeColor="text1"/>
          <w:lang w:val="es-ES"/>
        </w:rPr>
        <w:fldChar w:fldCharType="end"/>
      </w:r>
    </w:p>
    <w:p w14:paraId="2C772336" w14:textId="6BE2BFEC" w:rsidR="00BC074C" w:rsidRPr="003161BA" w:rsidRDefault="00BC074C" w:rsidP="00BC074C">
      <w:pPr>
        <w:jc w:val="center"/>
        <w:rPr>
          <w:rFonts w:ascii="Book Antiqua" w:eastAsia="Book Antiqua" w:hAnsi="Book Antiqua" w:cs="Book Antiqua"/>
          <w:b/>
          <w:bCs/>
          <w:color w:val="000000" w:themeColor="text1"/>
          <w:lang w:val="es-PR"/>
        </w:rPr>
      </w:pPr>
      <w:r w:rsidRPr="003161BA">
        <w:rPr>
          <w:rFonts w:ascii="Book Antiqua" w:eastAsia="Book Antiqua" w:hAnsi="Book Antiqua" w:cs="Book Antiqua"/>
          <w:b/>
          <w:bCs/>
          <w:color w:val="000000" w:themeColor="text1"/>
          <w:lang w:val="es-PR"/>
        </w:rPr>
        <w:t>(12 DE MAYO DE 2025)</w:t>
      </w:r>
    </w:p>
    <w:p w14:paraId="34591457" w14:textId="222DA91F" w:rsidR="00BC074C" w:rsidRPr="00BC074C" w:rsidRDefault="00BC074C" w:rsidP="00BC074C">
      <w:pPr>
        <w:rPr>
          <w:rFonts w:ascii="Book Antiqua" w:eastAsia="Book Antiqua" w:hAnsi="Book Antiqua" w:cs="Book Antiqua"/>
          <w:b/>
          <w:bCs/>
          <w:color w:val="000000" w:themeColor="text1"/>
          <w:sz w:val="28"/>
          <w:szCs w:val="28"/>
          <w:lang w:val="es-ES_tradnl"/>
        </w:rPr>
      </w:pPr>
      <w:r w:rsidRPr="00BC074C">
        <w:rPr>
          <w:rFonts w:ascii="Book Antiqua" w:eastAsia="Book Antiqua" w:hAnsi="Book Antiqua" w:cs="Book Antiqua"/>
          <w:bCs/>
          <w:noProof/>
          <w:color w:val="000000" w:themeColor="text1"/>
          <w:sz w:val="28"/>
          <w:szCs w:val="28"/>
          <w:lang w:val="es-ES"/>
        </w:rPr>
        <mc:AlternateContent>
          <mc:Choice Requires="wps">
            <w:drawing>
              <wp:anchor distT="0" distB="0" distL="114300" distR="114300" simplePos="0" relativeHeight="251659264" behindDoc="1" locked="0" layoutInCell="0" allowOverlap="1" wp14:anchorId="07D67D04" wp14:editId="7CBECEA7">
                <wp:simplePos x="0" y="0"/>
                <wp:positionH relativeFrom="margin">
                  <wp:posOffset>0</wp:posOffset>
                </wp:positionH>
                <wp:positionV relativeFrom="paragraph">
                  <wp:posOffset>0</wp:posOffset>
                </wp:positionV>
                <wp:extent cx="5943600" cy="22860"/>
                <wp:effectExtent l="0" t="0" r="0" b="0"/>
                <wp:wrapNone/>
                <wp:docPr id="23305927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C214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1D3C7B76" w:rsidR="00FF2214" w:rsidRPr="009A6298" w:rsidRDefault="00850770">
      <w:pPr>
        <w:jc w:val="center"/>
        <w:rPr>
          <w:rFonts w:ascii="Book Antiqua" w:eastAsia="Book Antiqua" w:hAnsi="Book Antiqua" w:cs="Book Antiqua"/>
          <w:bCs/>
          <w:color w:val="000000" w:themeColor="text1"/>
          <w:sz w:val="28"/>
          <w:szCs w:val="28"/>
          <w:lang w:val="es-PR"/>
        </w:rPr>
      </w:pPr>
      <w:r w:rsidRPr="009A629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A6298">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5A988C42" w:rsidR="00FF2214" w:rsidRPr="00BC074C" w:rsidRDefault="00BC074C" w:rsidP="00BC074C">
      <w:pPr>
        <w:rPr>
          <w:rFonts w:ascii="Book Antiqua" w:eastAsia="Book Antiqua" w:hAnsi="Book Antiqua" w:cs="Book Antiqua"/>
          <w:color w:val="000000" w:themeColor="text1"/>
          <w:lang w:val="it-IT"/>
        </w:rPr>
      </w:pPr>
      <w:r w:rsidRPr="00BC074C">
        <w:rPr>
          <w:rFonts w:ascii="Book Antiqua" w:eastAsia="Book Antiqua" w:hAnsi="Book Antiqua" w:cs="Book Antiqua"/>
          <w:color w:val="000000" w:themeColor="text1"/>
          <w:lang w:val="it-IT"/>
        </w:rPr>
        <w:t>20ma.</w:t>
      </w:r>
      <w:r w:rsidR="00850770" w:rsidRPr="00BC074C">
        <w:rPr>
          <w:rFonts w:ascii="Book Antiqua" w:eastAsia="Book Antiqua" w:hAnsi="Book Antiqua" w:cs="Book Antiqua"/>
          <w:color w:val="000000" w:themeColor="text1"/>
          <w:lang w:val="it-IT"/>
        </w:rPr>
        <w:tab/>
        <w:t>Asamblea</w:t>
      </w:r>
      <w:r w:rsidR="00850770" w:rsidRPr="00BC074C">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t xml:space="preserve">           </w:t>
      </w:r>
      <w:r w:rsidRPr="00BC074C">
        <w:rPr>
          <w:rFonts w:ascii="Book Antiqua" w:eastAsia="Book Antiqua" w:hAnsi="Book Antiqua" w:cs="Book Antiqua"/>
          <w:color w:val="000000" w:themeColor="text1"/>
          <w:lang w:val="it-IT"/>
        </w:rPr>
        <w:t>1ra.</w:t>
      </w:r>
      <w:r>
        <w:rPr>
          <w:rFonts w:ascii="Book Antiqua" w:eastAsia="Book Antiqua" w:hAnsi="Book Antiqua" w:cs="Book Antiqua"/>
          <w:color w:val="000000" w:themeColor="text1"/>
          <w:lang w:val="it-IT"/>
        </w:rPr>
        <w:t xml:space="preserve"> </w:t>
      </w:r>
      <w:r w:rsidR="00850770" w:rsidRPr="00BC074C">
        <w:rPr>
          <w:rFonts w:ascii="Book Antiqua" w:eastAsia="Book Antiqua" w:hAnsi="Book Antiqua" w:cs="Book Antiqua"/>
          <w:color w:val="000000" w:themeColor="text1"/>
          <w:lang w:val="it-IT"/>
        </w:rPr>
        <w:t>Sesión</w:t>
      </w:r>
    </w:p>
    <w:p w14:paraId="79550659" w14:textId="5AA17D83" w:rsidR="00FF2214" w:rsidRPr="00BC074C" w:rsidRDefault="00850770">
      <w:pPr>
        <w:tabs>
          <w:tab w:val="left" w:pos="648"/>
          <w:tab w:val="right" w:pos="7776"/>
          <w:tab w:val="left" w:pos="7848"/>
        </w:tabs>
        <w:rPr>
          <w:rFonts w:ascii="Book Antiqua" w:eastAsia="Book Antiqua" w:hAnsi="Book Antiqua" w:cs="Book Antiqua"/>
          <w:color w:val="000000" w:themeColor="text1"/>
          <w:lang w:val="it-IT"/>
        </w:rPr>
      </w:pPr>
      <w:r w:rsidRPr="00BC074C">
        <w:rPr>
          <w:rFonts w:ascii="Book Antiqua" w:eastAsia="Book Antiqua" w:hAnsi="Book Antiqua" w:cs="Book Antiqua"/>
          <w:color w:val="000000" w:themeColor="text1"/>
          <w:lang w:val="it-IT"/>
        </w:rPr>
        <w:tab/>
        <w:t>Legislativa</w:t>
      </w:r>
      <w:r w:rsidRPr="00BC074C">
        <w:rPr>
          <w:rFonts w:ascii="Book Antiqua" w:eastAsia="Book Antiqua" w:hAnsi="Book Antiqua" w:cs="Book Antiqua"/>
          <w:color w:val="000000" w:themeColor="text1"/>
          <w:lang w:val="it-IT"/>
        </w:rPr>
        <w:tab/>
      </w:r>
      <w:r w:rsidRPr="00BC074C">
        <w:rPr>
          <w:rFonts w:ascii="Book Antiqua" w:eastAsia="Book Antiqua" w:hAnsi="Book Antiqua" w:cs="Book Antiqua"/>
          <w:color w:val="000000" w:themeColor="text1"/>
          <w:lang w:val="it-IT"/>
        </w:rPr>
        <w:tab/>
      </w:r>
      <w:r w:rsidR="00BC074C" w:rsidRPr="00BC074C">
        <w:rPr>
          <w:rFonts w:ascii="Book Antiqua" w:eastAsia="Book Antiqua" w:hAnsi="Book Antiqua" w:cs="Book Antiqua"/>
          <w:color w:val="000000" w:themeColor="text1"/>
          <w:lang w:val="it-IT"/>
        </w:rPr>
        <w:t xml:space="preserve"> </w:t>
      </w:r>
      <w:r w:rsidR="00BC074C">
        <w:rPr>
          <w:rFonts w:ascii="Book Antiqua" w:eastAsia="Book Antiqua" w:hAnsi="Book Antiqua" w:cs="Book Antiqua"/>
          <w:color w:val="000000" w:themeColor="text1"/>
          <w:lang w:val="it-IT"/>
        </w:rPr>
        <w:t xml:space="preserve">      </w:t>
      </w:r>
      <w:r w:rsidRPr="00BC074C">
        <w:rPr>
          <w:rFonts w:ascii="Book Antiqua" w:eastAsia="Book Antiqua" w:hAnsi="Book Antiqua" w:cs="Book Antiqua"/>
          <w:color w:val="000000" w:themeColor="text1"/>
          <w:lang w:val="it-IT"/>
        </w:rPr>
        <w:t>Ordinaria</w:t>
      </w:r>
    </w:p>
    <w:p w14:paraId="7955065A" w14:textId="77777777" w:rsidR="00FF2214" w:rsidRPr="00BC074C" w:rsidRDefault="00FF2214">
      <w:pPr>
        <w:rPr>
          <w:rFonts w:ascii="Book Antiqua" w:eastAsia="Book Antiqua" w:hAnsi="Book Antiqua" w:cs="Book Antiqua"/>
          <w:color w:val="000000" w:themeColor="text1"/>
          <w:lang w:val="it-IT"/>
        </w:rPr>
      </w:pPr>
    </w:p>
    <w:p w14:paraId="32A931BE" w14:textId="77777777" w:rsidR="00950505" w:rsidRPr="009A6298" w:rsidRDefault="00950505" w:rsidP="00950505">
      <w:pPr>
        <w:jc w:val="center"/>
        <w:rPr>
          <w:rFonts w:ascii="Book Antiqua" w:hAnsi="Book Antiqua"/>
          <w:b/>
          <w:color w:val="000000" w:themeColor="text1"/>
          <w:sz w:val="36"/>
          <w:szCs w:val="36"/>
          <w:lang w:val="es-PR"/>
        </w:rPr>
      </w:pPr>
      <w:r w:rsidRPr="009A629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2D75A31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9A6298">
        <w:rPr>
          <w:rFonts w:ascii="Book Antiqua" w:hAnsi="Book Antiqua"/>
          <w:b/>
          <w:color w:val="000000" w:themeColor="text1"/>
          <w:sz w:val="52"/>
          <w:szCs w:val="52"/>
          <w:lang w:val="es-PR"/>
        </w:rPr>
        <w:t xml:space="preserve"> 520</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185CC63F" w:rsidR="00950505" w:rsidRPr="00930E48" w:rsidRDefault="009A6298" w:rsidP="180AD1F2">
      <w:pPr>
        <w:jc w:val="center"/>
        <w:rPr>
          <w:rFonts w:ascii="Book Antiqua" w:hAnsi="Book Antiqua"/>
          <w:b/>
          <w:bCs/>
          <w:color w:val="000000" w:themeColor="text1"/>
          <w:sz w:val="48"/>
          <w:szCs w:val="48"/>
          <w:lang w:val="es-PR"/>
        </w:rPr>
      </w:pPr>
      <w:r>
        <w:rPr>
          <w:rFonts w:ascii="Book Antiqua" w:hAnsi="Book Antiqua"/>
          <w:color w:val="000000" w:themeColor="text1"/>
          <w:lang w:val="es-PR"/>
        </w:rPr>
        <w:t>7 DE ABRIL DE</w:t>
      </w:r>
      <w:r w:rsidR="00950505" w:rsidRPr="180AD1F2">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370D7FD"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B02CD9" w:rsidRPr="00BC63DB">
        <w:rPr>
          <w:rFonts w:ascii="Book Antiqua" w:eastAsia="Aptos" w:hAnsi="Book Antiqua"/>
          <w:i/>
          <w:iCs/>
          <w:kern w:val="2"/>
          <w:lang w:val="es-ES"/>
          <w14:ligatures w14:val="standardContextual"/>
        </w:rPr>
        <w:t>Charbonier</w:t>
      </w:r>
      <w:proofErr w:type="spellEnd"/>
      <w:r w:rsidR="00B02CD9" w:rsidRPr="00BC63DB">
        <w:rPr>
          <w:rFonts w:ascii="Book Antiqua" w:eastAsia="Aptos" w:hAnsi="Book Antiqua"/>
          <w:i/>
          <w:iCs/>
          <w:kern w:val="2"/>
          <w:lang w:val="es-ES"/>
          <w14:ligatures w14:val="standardContextual"/>
        </w:rPr>
        <w:t xml:space="preserve">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w:t>
      </w:r>
      <w:r w:rsidR="00111BBD">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9A6298">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28363749"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E33608">
        <w:rPr>
          <w:rFonts w:ascii="Book Antiqua" w:hAnsi="Book Antiqua"/>
          <w:color w:val="000000" w:themeColor="text1"/>
          <w:lang w:val="es-PR"/>
        </w:rPr>
        <w:t xml:space="preserve"> la Comisión de</w:t>
      </w:r>
      <w:r w:rsidR="00B32F90">
        <w:rPr>
          <w:rFonts w:ascii="Book Antiqua" w:hAnsi="Book Antiqua"/>
          <w:color w:val="000000" w:themeColor="text1"/>
          <w:lang w:val="es-PR"/>
        </w:rPr>
        <w:t>l</w:t>
      </w:r>
      <w:r w:rsidR="00E33608">
        <w:rPr>
          <w:rFonts w:ascii="Book Antiqua" w:hAnsi="Book Antiqua"/>
          <w:color w:val="000000" w:themeColor="text1"/>
          <w:lang w:val="es-PR"/>
        </w:rPr>
        <w:t xml:space="preserve"> Trabajo y Asuntos Laborales</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6100887" w14:textId="61EE7BB7" w:rsidR="007A40FA" w:rsidRPr="006E250B" w:rsidRDefault="00850770" w:rsidP="006E250B">
      <w:pPr>
        <w:ind w:left="540" w:hanging="540"/>
        <w:jc w:val="both"/>
        <w:rPr>
          <w:rFonts w:ascii="Book Antiqua" w:eastAsia="Book Antiqua" w:hAnsi="Book Antiqua" w:cs="Book Antiqua"/>
          <w:color w:val="000000"/>
          <w:lang w:val="es-PR"/>
        </w:rPr>
      </w:pPr>
      <w:r w:rsidRPr="00930E48">
        <w:rPr>
          <w:rFonts w:ascii="Book Antiqua" w:eastAsia="Book Antiqua" w:hAnsi="Book Antiqua" w:cs="Book Antiqua"/>
          <w:color w:val="000000" w:themeColor="text1"/>
          <w:lang w:val="es-PR"/>
        </w:rPr>
        <w:t>Para</w:t>
      </w:r>
      <w:r w:rsidR="006E250B" w:rsidRPr="0023404C">
        <w:rPr>
          <w:rFonts w:ascii="Book Antiqua" w:eastAsia="Book Antiqua" w:hAnsi="Book Antiqua" w:cs="Book Antiqua"/>
          <w:color w:val="000000"/>
          <w:lang w:val="es-PR"/>
        </w:rPr>
        <w:t xml:space="preserve"> </w:t>
      </w:r>
      <w:r w:rsidR="006E250B">
        <w:rPr>
          <w:rFonts w:ascii="Book Antiqua" w:eastAsia="Book Antiqua" w:hAnsi="Book Antiqua" w:cs="Book Antiqua"/>
          <w:color w:val="000000"/>
          <w:lang w:val="es-PR"/>
        </w:rPr>
        <w:t xml:space="preserve">enmendar </w:t>
      </w:r>
      <w:r w:rsidR="006E250B" w:rsidRPr="0023404C">
        <w:rPr>
          <w:rFonts w:ascii="Book Antiqua" w:eastAsia="Book Antiqua" w:hAnsi="Book Antiqua" w:cs="Book Antiqua"/>
          <w:color w:val="000000"/>
          <w:lang w:val="es-PR"/>
        </w:rPr>
        <w:t>la Sección 1</w:t>
      </w:r>
      <w:r w:rsidR="006E250B">
        <w:rPr>
          <w:rFonts w:ascii="Book Antiqua" w:eastAsia="Book Antiqua" w:hAnsi="Book Antiqua" w:cs="Book Antiqua"/>
          <w:color w:val="000000"/>
          <w:lang w:val="es-PR"/>
        </w:rPr>
        <w:t>5</w:t>
      </w:r>
      <w:r w:rsidR="006E250B" w:rsidRPr="0023404C">
        <w:rPr>
          <w:rFonts w:ascii="Book Antiqua" w:eastAsia="Book Antiqua" w:hAnsi="Book Antiqua" w:cs="Book Antiqua"/>
          <w:color w:val="000000"/>
          <w:lang w:val="es-PR"/>
        </w:rPr>
        <w:t xml:space="preserve"> de la Ley Núm. 15 de 14 de abril de 1931, según enmendada, conocida como “Ley Orgánica del Departamento del Trabajo y Recursos Humanos”, a los fines </w:t>
      </w:r>
      <w:r w:rsidR="006E250B">
        <w:rPr>
          <w:rFonts w:ascii="Book Antiqua" w:eastAsia="Book Antiqua" w:hAnsi="Book Antiqua" w:cs="Book Antiqua"/>
          <w:color w:val="000000"/>
          <w:lang w:val="es-PR"/>
        </w:rPr>
        <w:t xml:space="preserve">de autorizar al Negociado de Asuntos Legales a representar </w:t>
      </w:r>
      <w:r w:rsidR="006E250B" w:rsidRPr="0066427A">
        <w:rPr>
          <w:rFonts w:ascii="Book Antiqua" w:eastAsia="Book Antiqua" w:hAnsi="Book Antiqua" w:cs="Book Antiqua"/>
          <w:color w:val="000000"/>
          <w:lang w:val="es-PR"/>
        </w:rPr>
        <w:t>a empleados que hayan pactado utilizar el arbitraje como método</w:t>
      </w:r>
      <w:r w:rsidR="006E250B">
        <w:rPr>
          <w:rFonts w:ascii="Book Antiqua" w:eastAsia="Book Antiqua" w:hAnsi="Book Antiqua" w:cs="Book Antiqua"/>
          <w:color w:val="000000"/>
          <w:lang w:val="es-PR"/>
        </w:rPr>
        <w:t>,</w:t>
      </w:r>
      <w:r w:rsidR="006E250B" w:rsidRPr="0066427A">
        <w:rPr>
          <w:rFonts w:ascii="Book Antiqua" w:eastAsia="Book Antiqua" w:hAnsi="Book Antiqua" w:cs="Book Antiqua"/>
          <w:color w:val="000000"/>
          <w:lang w:val="es-PR"/>
        </w:rPr>
        <w:t xml:space="preserve"> para resolver las controversias que surjan al amparo del contrato </w:t>
      </w:r>
      <w:r w:rsidR="006E250B">
        <w:rPr>
          <w:rFonts w:ascii="Book Antiqua" w:eastAsia="Book Antiqua" w:hAnsi="Book Antiqua" w:cs="Book Antiqua"/>
          <w:color w:val="000000"/>
          <w:lang w:val="es-PR"/>
        </w:rPr>
        <w:t xml:space="preserve">privado </w:t>
      </w:r>
      <w:r w:rsidR="006E250B" w:rsidRPr="0066427A">
        <w:rPr>
          <w:rFonts w:ascii="Book Antiqua" w:eastAsia="Book Antiqua" w:hAnsi="Book Antiqua" w:cs="Book Antiqua"/>
          <w:color w:val="000000"/>
          <w:lang w:val="es-PR"/>
        </w:rPr>
        <w:t>de empleo</w:t>
      </w:r>
      <w:r w:rsidR="007E045B" w:rsidRPr="00BC074C">
        <w:rPr>
          <w:rFonts w:ascii="Book Antiqua" w:eastAsia="Book Antiqua" w:hAnsi="Book Antiqua" w:cs="Book Antiqua"/>
          <w:color w:val="000000"/>
          <w:lang w:val="es-PR"/>
        </w:rPr>
        <w:t>;</w:t>
      </w:r>
      <w:r w:rsidR="006E250B">
        <w:rPr>
          <w:rFonts w:ascii="Book Antiqua" w:eastAsia="Book Antiqua" w:hAnsi="Book Antiqua" w:cs="Book Antiqua"/>
          <w:color w:val="000000"/>
          <w:lang w:val="es-PR"/>
        </w:rPr>
        <w:t xml:space="preserve"> y para otros fines relacionados. </w:t>
      </w:r>
    </w:p>
    <w:p w14:paraId="2EEB844F" w14:textId="77777777" w:rsidR="007A40FA" w:rsidRDefault="007A40FA" w:rsidP="004C1C7C">
      <w:pPr>
        <w:ind w:left="720" w:hanging="720"/>
        <w:jc w:val="both"/>
        <w:rPr>
          <w:rFonts w:ascii="Book Antiqua" w:hAnsi="Book Antiqua"/>
          <w:lang w:val="es-PR"/>
        </w:rPr>
      </w:pPr>
    </w:p>
    <w:p w14:paraId="63AE53B1" w14:textId="4CB927AE" w:rsidR="00010836" w:rsidRPr="009A6298" w:rsidRDefault="00850770" w:rsidP="180AD1F2">
      <w:pPr>
        <w:ind w:left="540" w:hanging="540"/>
        <w:jc w:val="center"/>
        <w:rPr>
          <w:rFonts w:ascii="Book Antiqua" w:eastAsia="Book Antiqua" w:hAnsi="Book Antiqua" w:cs="Book Antiqua"/>
          <w:color w:val="000000" w:themeColor="text1"/>
          <w:lang w:val="es-PR"/>
        </w:rPr>
      </w:pPr>
      <w:r w:rsidRPr="009A6298">
        <w:rPr>
          <w:rFonts w:ascii="Book Antiqua" w:eastAsia="Book Antiqua" w:hAnsi="Book Antiqua" w:cs="Book Antiqua"/>
          <w:color w:val="000000" w:themeColor="text1"/>
          <w:lang w:val="es-PR"/>
        </w:rPr>
        <w:t>EXPOSICIÓN DE MOTIVOS</w:t>
      </w:r>
    </w:p>
    <w:p w14:paraId="3CAD940A" w14:textId="77777777" w:rsidR="007A40FA" w:rsidRDefault="007A40FA" w:rsidP="180AD1F2">
      <w:pPr>
        <w:ind w:left="540" w:hanging="540"/>
        <w:jc w:val="center"/>
        <w:rPr>
          <w:rFonts w:ascii="Book Antiqua" w:eastAsia="Book Antiqua" w:hAnsi="Book Antiqua" w:cs="Book Antiqua"/>
          <w:b/>
          <w:bCs/>
          <w:color w:val="000000" w:themeColor="text1"/>
          <w:lang w:val="es-PR"/>
        </w:rPr>
      </w:pPr>
    </w:p>
    <w:p w14:paraId="43436D37" w14:textId="74E9B026" w:rsidR="006E250B" w:rsidRPr="00BC074C" w:rsidRDefault="006E250B" w:rsidP="006E250B">
      <w:pPr>
        <w:jc w:val="both"/>
        <w:rPr>
          <w:rFonts w:ascii="Book Antiqua" w:hAnsi="Book Antiqua"/>
          <w:lang w:val="es-PR"/>
        </w:rPr>
      </w:pPr>
      <w:r w:rsidRPr="68B1AD57">
        <w:rPr>
          <w:rFonts w:ascii="Book Antiqua" w:hAnsi="Book Antiqua"/>
          <w:lang w:val="es-PR"/>
        </w:rPr>
        <w:t xml:space="preserve">Las decisiones de política pública deben sostenerse en un análisis </w:t>
      </w:r>
      <w:r w:rsidRPr="004E52E1">
        <w:rPr>
          <w:rFonts w:ascii="Book Antiqua" w:hAnsi="Book Antiqua"/>
          <w:lang w:val="es-PR"/>
        </w:rPr>
        <w:t>ponderado</w:t>
      </w:r>
      <w:r w:rsidR="0013175B" w:rsidRPr="004E52E1">
        <w:rPr>
          <w:rFonts w:ascii="Book Antiqua" w:hAnsi="Book Antiqua"/>
          <w:lang w:val="es-PR"/>
        </w:rPr>
        <w:t xml:space="preserve"> en</w:t>
      </w:r>
      <w:r w:rsidRPr="004E52E1">
        <w:rPr>
          <w:rFonts w:ascii="Book Antiqua" w:hAnsi="Book Antiqua"/>
          <w:lang w:val="es-PR"/>
        </w:rPr>
        <w:t xml:space="preserve"> el</w:t>
      </w:r>
      <w:r w:rsidRPr="68B1AD57">
        <w:rPr>
          <w:rFonts w:ascii="Book Antiqua" w:hAnsi="Book Antiqua"/>
          <w:lang w:val="es-PR"/>
        </w:rPr>
        <w:t xml:space="preserve"> cual se tome en cuenta las dinámicas sociopolíticas del presente y el futuro. Nuestro gobierno </w:t>
      </w:r>
      <w:r w:rsidRPr="00BC074C">
        <w:rPr>
          <w:rFonts w:ascii="Book Antiqua" w:hAnsi="Book Antiqua"/>
          <w:lang w:val="es-PR"/>
        </w:rPr>
        <w:lastRenderedPageBreak/>
        <w:t xml:space="preserve">tiene un firme compromiso con nuestro pueblo, de adelantar aquellas medidas que directa e indirectamente incidan en nuestro desarrollo económico, y que mejoren las condiciones para hacer negocios en Puerto Rico. Un elemento esencial de un clima de negocios </w:t>
      </w:r>
      <w:proofErr w:type="gramStart"/>
      <w:r w:rsidRPr="00BC074C">
        <w:rPr>
          <w:rFonts w:ascii="Book Antiqua" w:hAnsi="Book Antiqua"/>
          <w:lang w:val="es-PR"/>
        </w:rPr>
        <w:t>apropiado,</w:t>
      </w:r>
      <w:proofErr w:type="gramEnd"/>
      <w:r w:rsidRPr="00BC074C">
        <w:rPr>
          <w:rFonts w:ascii="Book Antiqua" w:hAnsi="Book Antiqua"/>
          <w:lang w:val="es-PR"/>
        </w:rPr>
        <w:t xml:space="preserve"> </w:t>
      </w:r>
      <w:r w:rsidR="00B50144" w:rsidRPr="00BC074C">
        <w:rPr>
          <w:rFonts w:ascii="Book Antiqua" w:hAnsi="Book Antiqua"/>
          <w:lang w:val="es-PR"/>
        </w:rPr>
        <w:t xml:space="preserve">incorpora </w:t>
      </w:r>
      <w:r w:rsidRPr="00BC074C">
        <w:rPr>
          <w:rFonts w:ascii="Book Antiqua" w:hAnsi="Book Antiqua"/>
          <w:lang w:val="es-PR"/>
        </w:rPr>
        <w:t>las condiciones, procesos y derechos en las relaciones obrero-patronales. En ese sentido, en nuestra Constitución se incorporó, la negociación colectiva como parte de los derechos que tienen los trabajadores. Esta figura se recoge en la Carta de Derechos en el Artículo II, Secciones 17 y 18, otorgando el derecho de los trabajadores de empresas, negocios, patronos privados y de agencias o instrumentalidades del gobierno que funcionen como empresas o negocios privados, a negociar colectivamente con sus patronos por mediación de representantes de su propia y libre selección para promover su bienestar.</w:t>
      </w:r>
    </w:p>
    <w:p w14:paraId="0CC1AC2D" w14:textId="77777777" w:rsidR="006E250B" w:rsidRDefault="006E250B" w:rsidP="006E250B">
      <w:pPr>
        <w:jc w:val="both"/>
        <w:rPr>
          <w:rFonts w:ascii="Book Antiqua" w:hAnsi="Book Antiqua"/>
          <w:lang w:val="es-PR"/>
        </w:rPr>
      </w:pPr>
    </w:p>
    <w:p w14:paraId="7CF701FA" w14:textId="77777777" w:rsidR="006E250B" w:rsidRPr="00BC074C" w:rsidRDefault="006E250B" w:rsidP="006E250B">
      <w:pPr>
        <w:jc w:val="both"/>
        <w:rPr>
          <w:rFonts w:ascii="Book Antiqua" w:hAnsi="Book Antiqua"/>
          <w:lang w:val="es-PR"/>
        </w:rPr>
      </w:pPr>
      <w:r w:rsidRPr="00BC074C">
        <w:rPr>
          <w:rFonts w:ascii="Book Antiqua" w:hAnsi="Book Antiqua"/>
          <w:lang w:val="es-PR"/>
        </w:rPr>
        <w:t>Ahora bien, como en toda relación contractual, y más aún en el caso de relaciones obrero-patrono, resulta necesario mantener un ambiente de paz y sana convivencia laboral. Con el propósito de atender las diferencias y potenciales conflictos, nuestro ordenamiento jurídico ha establecido diferentes métodos de solución de conflictos en el ámbito laboral. Entre estos métodos se encuentra el arbitraje, la mediación y la conciliación. En el caso específico del arbitraje, es preciso recordar que es una figura jurídica de naturaleza contractual.</w:t>
      </w:r>
      <w:r w:rsidRPr="00BC074C">
        <w:rPr>
          <w:rStyle w:val="FootnoteReference"/>
          <w:rFonts w:ascii="Book Antiqua" w:hAnsi="Book Antiqua"/>
          <w:lang w:val="es-PR"/>
        </w:rPr>
        <w:footnoteReference w:id="2"/>
      </w:r>
      <w:r w:rsidRPr="00BC074C">
        <w:rPr>
          <w:rFonts w:ascii="Book Antiqua" w:hAnsi="Book Antiqua"/>
          <w:lang w:val="es-PR"/>
        </w:rPr>
        <w:t xml:space="preserve">  Según se desprende en la Ley 147-2024, conocida como “Ley de Arbitraje de Puerto Rico”, dos o más partes podrán pactar en un convenio por escrito una disposición para el arreglo mediante arbitraje de cualquier controversia que en el futuro surgiere entre ellos de ese acuerdo o en relación con él.</w:t>
      </w:r>
      <w:r w:rsidRPr="00BC074C">
        <w:rPr>
          <w:rStyle w:val="FootnoteReference"/>
          <w:rFonts w:ascii="Book Antiqua" w:hAnsi="Book Antiqua"/>
          <w:lang w:val="es-PR"/>
        </w:rPr>
        <w:footnoteReference w:id="3"/>
      </w:r>
      <w:r w:rsidRPr="00BC074C">
        <w:rPr>
          <w:rFonts w:ascii="Book Antiqua" w:hAnsi="Book Antiqua"/>
          <w:lang w:val="es-PR"/>
        </w:rPr>
        <w:t xml:space="preserve"> Las partes están obligadas a cumplir con el arbitraje pactado expresamente, cuya naturaleza es una  obligación nace del principio de la buena fe.</w:t>
      </w:r>
      <w:r w:rsidRPr="00BC074C">
        <w:rPr>
          <w:rStyle w:val="FootnoteReference"/>
          <w:rFonts w:ascii="Book Antiqua" w:hAnsi="Book Antiqua"/>
          <w:lang w:val="es-PR"/>
        </w:rPr>
        <w:footnoteReference w:id="4"/>
      </w:r>
    </w:p>
    <w:p w14:paraId="2B13C68A" w14:textId="77777777" w:rsidR="006E250B" w:rsidRPr="00BC074C" w:rsidRDefault="006E250B" w:rsidP="006E250B">
      <w:pPr>
        <w:jc w:val="both"/>
        <w:rPr>
          <w:rFonts w:ascii="Book Antiqua" w:hAnsi="Book Antiqua"/>
          <w:lang w:val="es-PR"/>
        </w:rPr>
      </w:pPr>
    </w:p>
    <w:p w14:paraId="30B45335" w14:textId="77777777" w:rsidR="006E250B" w:rsidRPr="00BC074C" w:rsidRDefault="006E250B" w:rsidP="006E250B">
      <w:pPr>
        <w:jc w:val="both"/>
        <w:rPr>
          <w:rFonts w:ascii="Book Antiqua" w:hAnsi="Book Antiqua"/>
          <w:lang w:val="es-PR"/>
        </w:rPr>
      </w:pPr>
      <w:r w:rsidRPr="00BC074C">
        <w:rPr>
          <w:rFonts w:ascii="Book Antiqua" w:hAnsi="Book Antiqua"/>
          <w:lang w:val="es-PR"/>
        </w:rPr>
        <w:t>En aras de proteger los derechos de todos los trabajadores en Puerto Rico, y buscando fomentar un balance en la relación entre trabajadores y patronos, velando así por el cumplimiento de las leyes del trabajo, acudiendo oportunamente a los tribunales y foros administrativos en reclamo de los derechos de los obreros, se estableció el Negociado de Asuntos Legales (NAL) del Departamento del Trabajo y Recursos Humanos de Puerto Rico.</w:t>
      </w:r>
      <w:r w:rsidRPr="00BC074C">
        <w:rPr>
          <w:rStyle w:val="FootnoteReference"/>
          <w:rFonts w:ascii="Book Antiqua" w:hAnsi="Book Antiqua"/>
          <w:lang w:val="es-PR"/>
        </w:rPr>
        <w:footnoteReference w:id="5"/>
      </w:r>
      <w:r w:rsidRPr="00BC074C">
        <w:rPr>
          <w:rFonts w:ascii="Book Antiqua" w:hAnsi="Book Antiqua"/>
          <w:lang w:val="es-PR"/>
        </w:rPr>
        <w:t xml:space="preserve"> El NAL tiene mayor relevancia al considerar que un número considerable de la fuerza trabajadora en la Isla, no está organizada colectivamente, careciendo de protección por parte de organizaciones sindicales y de convenios colectivos.</w:t>
      </w:r>
    </w:p>
    <w:p w14:paraId="10E8DF24" w14:textId="77777777" w:rsidR="006E250B" w:rsidRDefault="006E250B" w:rsidP="006E250B">
      <w:pPr>
        <w:jc w:val="both"/>
        <w:rPr>
          <w:rFonts w:ascii="Book Antiqua" w:hAnsi="Book Antiqua"/>
          <w:lang w:val="es-PR"/>
        </w:rPr>
      </w:pPr>
    </w:p>
    <w:p w14:paraId="50C5151C" w14:textId="77777777" w:rsidR="006E250B" w:rsidRPr="00BC074C" w:rsidRDefault="006E250B" w:rsidP="006E250B">
      <w:pPr>
        <w:jc w:val="both"/>
        <w:rPr>
          <w:rFonts w:ascii="Book Antiqua" w:hAnsi="Book Antiqua"/>
          <w:lang w:val="es-PR"/>
        </w:rPr>
      </w:pPr>
      <w:r w:rsidRPr="00BC074C">
        <w:rPr>
          <w:rFonts w:ascii="Book Antiqua" w:hAnsi="Book Antiqua"/>
          <w:lang w:val="es-PR"/>
        </w:rPr>
        <w:t xml:space="preserve">En la actualidad el 65% de los casos que se atienden en el NAL son de menos de cinco mil (5,000) dólares. Estas son reclamaciones que definitivamente no son costo efectivas para los abogados de la práctica privada, por lo que miles de obreros querellantes se quedarían </w:t>
      </w:r>
      <w:r w:rsidRPr="00BC074C">
        <w:rPr>
          <w:rFonts w:ascii="Book Antiqua" w:hAnsi="Book Antiqua"/>
          <w:lang w:val="es-PR"/>
        </w:rPr>
        <w:lastRenderedPageBreak/>
        <w:t>desprovistos de representación legal. Por tanto, su existencia facilita el acceso a la justicia a una clase laboral sin recursos.</w:t>
      </w:r>
    </w:p>
    <w:p w14:paraId="33C7B362" w14:textId="77777777" w:rsidR="006E250B" w:rsidRPr="00BC074C" w:rsidRDefault="006E250B" w:rsidP="006E250B">
      <w:pPr>
        <w:jc w:val="both"/>
        <w:rPr>
          <w:rFonts w:ascii="Book Antiqua" w:hAnsi="Book Antiqua"/>
          <w:lang w:val="es-PR"/>
        </w:rPr>
      </w:pPr>
    </w:p>
    <w:p w14:paraId="0F3972C6" w14:textId="7677608E" w:rsidR="006E250B" w:rsidRPr="00BC074C" w:rsidRDefault="006E250B" w:rsidP="006E250B">
      <w:pPr>
        <w:jc w:val="both"/>
        <w:rPr>
          <w:rFonts w:ascii="Book Antiqua" w:hAnsi="Book Antiqua"/>
          <w:lang w:val="es-PR"/>
        </w:rPr>
      </w:pPr>
      <w:r w:rsidRPr="00BC074C">
        <w:rPr>
          <w:rFonts w:ascii="Book Antiqua" w:hAnsi="Book Antiqua"/>
          <w:lang w:val="es-PR"/>
        </w:rPr>
        <w:t>Por tanto, esta Asamblea Legislativa considera necesario enmendar la Sección 15, de la citada Ley 15, para facultar al Negociado de Asistencia Legal del Departamento del Trabajo y Recursos Humanos de Puerto Rico, para que pueda representar a empleados que hayan pactado utilizar el arbitraje, como método para resolver las controversias que surjan al amparo del contrato de empleo.</w:t>
      </w:r>
    </w:p>
    <w:p w14:paraId="6122DF45" w14:textId="77777777" w:rsidR="004C1C7C" w:rsidRDefault="004C1C7C" w:rsidP="004C1C7C">
      <w:pPr>
        <w:jc w:val="both"/>
        <w:rPr>
          <w:rFonts w:ascii="Book Antiqua" w:hAnsi="Book Antiqua"/>
          <w:i/>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6CE1378A" w14:textId="77777777" w:rsidR="006E250B" w:rsidRDefault="006E250B" w:rsidP="006E250B">
      <w:pPr>
        <w:pStyle w:val="BodyText"/>
        <w:spacing w:line="480" w:lineRule="auto"/>
        <w:ind w:firstLine="720"/>
        <w:rPr>
          <w:rFonts w:ascii="Book Antiqua" w:hAnsi="Book Antiqua"/>
        </w:rPr>
      </w:pPr>
      <w:bookmarkStart w:id="1" w:name="{20D8}"/>
      <w:bookmarkStart w:id="2" w:name="_Hlk189832381"/>
      <w:r w:rsidRPr="00CE42F5">
        <w:rPr>
          <w:rFonts w:ascii="Book Antiqua" w:hAnsi="Book Antiqua"/>
        </w:rPr>
        <w:t>Artículo 1.</w:t>
      </w:r>
      <w:r w:rsidRPr="00AA6B75">
        <w:rPr>
          <w:rFonts w:ascii="Book Antiqua" w:hAnsi="Book Antiqua"/>
        </w:rPr>
        <w:t>—</w:t>
      </w:r>
      <w:r>
        <w:rPr>
          <w:rFonts w:ascii="Book Antiqua" w:hAnsi="Book Antiqua"/>
        </w:rPr>
        <w:t xml:space="preserve"> Se enmienda la Sección 15 de la </w:t>
      </w:r>
      <w:r w:rsidRPr="0023404C">
        <w:rPr>
          <w:rFonts w:ascii="Book Antiqua" w:eastAsia="Book Antiqua" w:hAnsi="Book Antiqua" w:cs="Book Antiqua"/>
          <w:color w:val="000000"/>
        </w:rPr>
        <w:t xml:space="preserve">Ley Núm. 15 de 14 de abril de 1931, según enmendada, </w:t>
      </w:r>
      <w:r>
        <w:rPr>
          <w:rFonts w:ascii="Book Antiqua" w:hAnsi="Book Antiqua"/>
        </w:rPr>
        <w:t>para que se lea como sigue:</w:t>
      </w:r>
    </w:p>
    <w:p w14:paraId="171C99C1" w14:textId="77777777" w:rsidR="006E250B" w:rsidRDefault="006E250B" w:rsidP="006E250B">
      <w:pPr>
        <w:pStyle w:val="BodyText"/>
        <w:spacing w:line="480" w:lineRule="auto"/>
        <w:ind w:firstLine="720"/>
        <w:rPr>
          <w:rFonts w:ascii="Book Antiqua" w:hAnsi="Book Antiqua"/>
        </w:rPr>
      </w:pPr>
      <w:r>
        <w:rPr>
          <w:rFonts w:ascii="Book Antiqua" w:hAnsi="Book Antiqua"/>
        </w:rPr>
        <w:t>“Sección 1</w:t>
      </w:r>
      <w:bookmarkEnd w:id="1"/>
      <w:bookmarkEnd w:id="2"/>
      <w:r>
        <w:rPr>
          <w:rFonts w:ascii="Book Antiqua" w:hAnsi="Book Antiqua"/>
        </w:rPr>
        <w:t xml:space="preserve">5. </w:t>
      </w:r>
      <w:r w:rsidRPr="00AA6B75">
        <w:rPr>
          <w:rFonts w:ascii="Book Antiqua" w:hAnsi="Book Antiqua"/>
        </w:rPr>
        <w:t>—</w:t>
      </w:r>
      <w:r>
        <w:rPr>
          <w:rFonts w:ascii="Book Antiqua" w:hAnsi="Book Antiqua"/>
        </w:rPr>
        <w:t xml:space="preserve"> División Legal.</w:t>
      </w:r>
    </w:p>
    <w:p w14:paraId="3F4334E4" w14:textId="77777777" w:rsidR="006E250B" w:rsidRPr="00BC074C" w:rsidRDefault="006E250B" w:rsidP="006E250B">
      <w:pPr>
        <w:pStyle w:val="BodyText"/>
        <w:spacing w:line="480" w:lineRule="auto"/>
        <w:ind w:left="720"/>
        <w:rPr>
          <w:rFonts w:ascii="Book Antiqua" w:hAnsi="Book Antiqua"/>
        </w:rPr>
      </w:pPr>
      <w:r w:rsidRPr="00BC074C">
        <w:rPr>
          <w:rFonts w:ascii="Book Antiqua" w:hAnsi="Book Antiqua"/>
        </w:rPr>
        <w:t>A fin de proteger los derechos de los trabajadores, crear un balance en la relación entre trabajadores y patronos, y velar por el cumplimiento de las leyes del trabajo y cuando sea necesario acudir a los tribunales en reclamo de los derechos de los obreros, el Departamento del Trabajo y Recursos Humanos contará con los servicios legales que estime necesarios para poner en vigor la política pública mediante esta Ley, orden ejecutiva, leyes federales aplicables o los reglamentos que administra. Los funcionarios o empleados públicos en quien el Departamento delegue los asuntos legales tendrán a su cargo, sin que constituya una mención taxativa, las siguientes funciones:</w:t>
      </w:r>
    </w:p>
    <w:p w14:paraId="1050D603" w14:textId="77777777" w:rsidR="006E250B" w:rsidRPr="00902450" w:rsidRDefault="006E250B" w:rsidP="006E250B">
      <w:pPr>
        <w:pStyle w:val="BodyText"/>
        <w:numPr>
          <w:ilvl w:val="0"/>
          <w:numId w:val="23"/>
        </w:numPr>
        <w:spacing w:line="480" w:lineRule="auto"/>
        <w:rPr>
          <w:rFonts w:ascii="Book Antiqua" w:hAnsi="Book Antiqua"/>
        </w:rPr>
      </w:pPr>
      <w:r w:rsidRPr="00902450">
        <w:rPr>
          <w:rFonts w:ascii="Book Antiqua" w:hAnsi="Book Antiqua"/>
        </w:rPr>
        <w:t>Emitir consultas legales y revisar contratos y otros documentos que se generen como parte de la jurisdicción y competencia del Departamento;</w:t>
      </w:r>
    </w:p>
    <w:p w14:paraId="082EFA00" w14:textId="77777777" w:rsidR="006E250B" w:rsidRPr="00902450" w:rsidRDefault="006E250B" w:rsidP="006E250B">
      <w:pPr>
        <w:pStyle w:val="BodyText"/>
        <w:numPr>
          <w:ilvl w:val="0"/>
          <w:numId w:val="23"/>
        </w:numPr>
        <w:spacing w:line="480" w:lineRule="auto"/>
        <w:rPr>
          <w:rFonts w:ascii="Book Antiqua" w:hAnsi="Book Antiqua"/>
        </w:rPr>
      </w:pPr>
      <w:r>
        <w:t>…</w:t>
      </w:r>
    </w:p>
    <w:p w14:paraId="0D397B5D" w14:textId="77777777" w:rsidR="006E250B" w:rsidRPr="00902450" w:rsidRDefault="006E250B" w:rsidP="006E250B">
      <w:pPr>
        <w:pStyle w:val="BodyText"/>
        <w:numPr>
          <w:ilvl w:val="0"/>
          <w:numId w:val="23"/>
        </w:numPr>
        <w:spacing w:line="480" w:lineRule="auto"/>
        <w:rPr>
          <w:rFonts w:ascii="Book Antiqua" w:hAnsi="Book Antiqua"/>
        </w:rPr>
      </w:pPr>
      <w:r>
        <w:t>…</w:t>
      </w:r>
    </w:p>
    <w:p w14:paraId="713E5C73" w14:textId="175175D1" w:rsidR="006E250B" w:rsidRPr="00BC074C" w:rsidRDefault="006E250B" w:rsidP="006E250B">
      <w:pPr>
        <w:pStyle w:val="BodyText"/>
        <w:numPr>
          <w:ilvl w:val="0"/>
          <w:numId w:val="23"/>
        </w:numPr>
        <w:spacing w:line="480" w:lineRule="auto"/>
        <w:rPr>
          <w:rFonts w:ascii="Book Antiqua" w:hAnsi="Book Antiqua"/>
        </w:rPr>
      </w:pPr>
      <w:r w:rsidRPr="00902450">
        <w:rPr>
          <w:rFonts w:ascii="Book Antiqua" w:hAnsi="Book Antiqua"/>
        </w:rPr>
        <w:lastRenderedPageBreak/>
        <w:t>Formular denuncias e incoar querelles y demandas para dar efectividad a la legislación protectora del trabajo; comparecer ante los tribunales de justicia en procedimientos para garantizar el derecho de los trabajadores</w:t>
      </w:r>
      <w:r>
        <w:rPr>
          <w:rFonts w:ascii="Book Antiqua" w:hAnsi="Book Antiqua"/>
          <w:i/>
          <w:iCs/>
        </w:rPr>
        <w:t xml:space="preserve">; </w:t>
      </w:r>
      <w:r w:rsidRPr="00BC074C">
        <w:rPr>
          <w:rFonts w:ascii="Book Antiqua" w:hAnsi="Book Antiqua"/>
        </w:rPr>
        <w:t xml:space="preserve">y para representar a empleados que hayan pactado utilizar el arbitraje como método para resolver las controversias que surjan al amparo </w:t>
      </w:r>
      <w:r w:rsidR="00B91426" w:rsidRPr="00BC074C">
        <w:rPr>
          <w:rFonts w:ascii="Book Antiqua" w:hAnsi="Book Antiqua"/>
        </w:rPr>
        <w:t xml:space="preserve">de contratos </w:t>
      </w:r>
      <w:r w:rsidRPr="00BC074C">
        <w:rPr>
          <w:rFonts w:ascii="Book Antiqua" w:hAnsi="Book Antiqua"/>
        </w:rPr>
        <w:t>privados de empleo.</w:t>
      </w:r>
    </w:p>
    <w:p w14:paraId="006D946D" w14:textId="77777777" w:rsidR="006E250B" w:rsidRDefault="006E250B" w:rsidP="006E250B">
      <w:pPr>
        <w:pStyle w:val="BodyText"/>
        <w:numPr>
          <w:ilvl w:val="0"/>
          <w:numId w:val="23"/>
        </w:numPr>
        <w:spacing w:line="480" w:lineRule="auto"/>
        <w:rPr>
          <w:rFonts w:ascii="Book Antiqua" w:hAnsi="Book Antiqua"/>
        </w:rPr>
      </w:pPr>
      <w:r>
        <w:rPr>
          <w:rFonts w:ascii="Book Antiqua" w:hAnsi="Book Antiqua"/>
        </w:rPr>
        <w:t>…</w:t>
      </w:r>
    </w:p>
    <w:p w14:paraId="06E3DBC3" w14:textId="77777777" w:rsidR="006E250B" w:rsidRPr="00902450" w:rsidRDefault="006E250B" w:rsidP="006E250B">
      <w:pPr>
        <w:pStyle w:val="BodyText"/>
        <w:spacing w:line="480" w:lineRule="auto"/>
        <w:ind w:left="720"/>
        <w:rPr>
          <w:rFonts w:ascii="Book Antiqua" w:hAnsi="Book Antiqua"/>
        </w:rPr>
      </w:pPr>
      <w:r>
        <w:rPr>
          <w:rFonts w:ascii="Book Antiqua" w:hAnsi="Book Antiqua"/>
        </w:rPr>
        <w:t>…”</w:t>
      </w:r>
    </w:p>
    <w:p w14:paraId="6E728A3A" w14:textId="5AB7B61A" w:rsidR="006E250B" w:rsidRPr="00750EC9" w:rsidRDefault="006E250B" w:rsidP="006E250B">
      <w:pPr>
        <w:spacing w:line="480" w:lineRule="auto"/>
        <w:ind w:firstLine="720"/>
        <w:jc w:val="both"/>
        <w:rPr>
          <w:rFonts w:ascii="Book Antiqua" w:hAnsi="Book Antiqua"/>
          <w:color w:val="000000"/>
          <w:lang w:val="es-PR"/>
        </w:rPr>
      </w:pPr>
      <w:r>
        <w:rPr>
          <w:rFonts w:ascii="Book Antiqua" w:hAnsi="Book Antiqua"/>
          <w:color w:val="000000"/>
          <w:lang w:val="es-PR"/>
        </w:rPr>
        <w:t>Artículo 2.</w:t>
      </w:r>
      <w:r w:rsidRPr="009A5042">
        <w:rPr>
          <w:rFonts w:ascii="Book Antiqua" w:hAnsi="Book Antiqua"/>
        </w:rPr>
        <w:t xml:space="preserve"> —</w:t>
      </w:r>
      <w:r w:rsidRPr="00750EC9">
        <w:rPr>
          <w:rFonts w:ascii="Book Antiqua" w:hAnsi="Book Antiqua"/>
          <w:color w:val="000000"/>
          <w:lang w:val="es-PR"/>
        </w:rPr>
        <w:t xml:space="preserve"> Cláusula de Separabilidad.</w:t>
      </w:r>
    </w:p>
    <w:p w14:paraId="3B2DB5DD" w14:textId="061BABF7" w:rsidR="006E250B" w:rsidRPr="00750EC9" w:rsidRDefault="006E250B" w:rsidP="006E250B">
      <w:pPr>
        <w:spacing w:line="480" w:lineRule="auto"/>
        <w:ind w:firstLine="720"/>
        <w:jc w:val="both"/>
        <w:rPr>
          <w:rFonts w:ascii="Book Antiqua" w:hAnsi="Book Antiqua"/>
          <w:color w:val="000000"/>
          <w:lang w:val="es-PR"/>
        </w:rPr>
      </w:pPr>
      <w:r w:rsidRPr="00750EC9">
        <w:rPr>
          <w:rFonts w:ascii="Book Antiqua" w:hAnsi="Book Antiqua"/>
          <w:color w:val="000000"/>
          <w:lang w:val="es-PR"/>
        </w:rPr>
        <w:t>Si cualquier cláusula, párrafo, artículo, sección, título o parte de esta Ley fuere declarada inconstitucional o defectuosa por un Tribunal competente, la sentencia a tal efecto dictada no afectará, perjudicará, ni invalidará el resto de esta Ley. El efecto de dicha sentencia quedará limitado exclusivamente a la cláusula, párrafo, artículo, sección, título o parte de esta que así hubiere sido declarada inconstitucional o defectuosa.</w:t>
      </w:r>
    </w:p>
    <w:p w14:paraId="63A6B8F9" w14:textId="5ABF4502" w:rsidR="006E250B" w:rsidRPr="00750EC9" w:rsidRDefault="006E250B" w:rsidP="006E250B">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F66A96">
        <w:rPr>
          <w:rFonts w:ascii="Book Antiqua" w:hAnsi="Book Antiqua"/>
          <w:color w:val="000000"/>
          <w:lang w:val="es-PR"/>
        </w:rPr>
        <w:t xml:space="preserve"> 3</w:t>
      </w:r>
      <w:r>
        <w:rPr>
          <w:rFonts w:ascii="Book Antiqua" w:hAnsi="Book Antiqua"/>
          <w:color w:val="000000"/>
          <w:lang w:val="es-PR"/>
        </w:rPr>
        <w:t>.</w:t>
      </w:r>
      <w:r w:rsidRPr="004D704E">
        <w:rPr>
          <w:rFonts w:ascii="Book Antiqua" w:hAnsi="Book Antiqua"/>
          <w:lang w:val="es-PR"/>
        </w:rPr>
        <w:t xml:space="preserve"> —</w:t>
      </w:r>
      <w:r w:rsidRPr="00750EC9">
        <w:rPr>
          <w:rFonts w:ascii="Book Antiqua" w:hAnsi="Book Antiqua"/>
          <w:color w:val="000000"/>
          <w:lang w:val="es-PR"/>
        </w:rPr>
        <w:t xml:space="preserve"> </w:t>
      </w:r>
      <w:r>
        <w:rPr>
          <w:rFonts w:ascii="Book Antiqua" w:hAnsi="Book Antiqua"/>
          <w:color w:val="000000"/>
          <w:lang w:val="es-PR"/>
        </w:rPr>
        <w:t>Vigencia</w:t>
      </w:r>
      <w:r w:rsidRPr="00750EC9">
        <w:rPr>
          <w:rFonts w:ascii="Book Antiqua" w:hAnsi="Book Antiqua"/>
          <w:color w:val="000000"/>
          <w:lang w:val="es-PR"/>
        </w:rPr>
        <w:t>.</w:t>
      </w:r>
    </w:p>
    <w:p w14:paraId="0580CC3C" w14:textId="4EE3DEA3" w:rsidR="00B8278F" w:rsidRPr="006E250B" w:rsidRDefault="006E250B" w:rsidP="006E250B">
      <w:pPr>
        <w:spacing w:line="480" w:lineRule="auto"/>
        <w:ind w:firstLine="720"/>
        <w:jc w:val="both"/>
        <w:rPr>
          <w:rFonts w:ascii="Book Antiqua" w:hAnsi="Book Antiqua"/>
          <w:color w:val="000000"/>
          <w:lang w:val="es-ES_tradnl"/>
        </w:rPr>
      </w:pPr>
      <w:r w:rsidRPr="00750EC9">
        <w:rPr>
          <w:rFonts w:ascii="Book Antiqua" w:hAnsi="Book Antiqua"/>
          <w:color w:val="000000"/>
          <w:lang w:val="es-PR"/>
        </w:rPr>
        <w:t xml:space="preserve">Esta Ley comenzará a regir inmediatamente después de su </w:t>
      </w:r>
      <w:proofErr w:type="spellStart"/>
      <w:r w:rsidRPr="00750EC9">
        <w:rPr>
          <w:rFonts w:ascii="Book Antiqua" w:hAnsi="Book Antiqua"/>
          <w:color w:val="000000"/>
          <w:lang w:val="es-PR"/>
        </w:rPr>
        <w:t>apro</w:t>
      </w:r>
      <w:r>
        <w:rPr>
          <w:rFonts w:ascii="Book Antiqua" w:hAnsi="Book Antiqua"/>
          <w:color w:val="000000"/>
          <w:lang w:val="es-ES_tradnl"/>
        </w:rPr>
        <w:t>bación</w:t>
      </w:r>
      <w:proofErr w:type="spellEnd"/>
      <w:r>
        <w:rPr>
          <w:rFonts w:ascii="Book Antiqua" w:hAnsi="Book Antiqua"/>
          <w:color w:val="000000"/>
          <w:lang w:val="es-ES_tradnl"/>
        </w:rPr>
        <w:t>.</w:t>
      </w:r>
    </w:p>
    <w:sectPr w:rsidR="00B8278F" w:rsidRPr="006E250B" w:rsidSect="006E250B">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A0EBE" w14:textId="77777777" w:rsidR="00FF3526" w:rsidRDefault="00FF3526">
      <w:r>
        <w:separator/>
      </w:r>
    </w:p>
  </w:endnote>
  <w:endnote w:type="continuationSeparator" w:id="0">
    <w:p w14:paraId="0CC1311F" w14:textId="77777777" w:rsidR="00FF3526" w:rsidRDefault="00FF3526">
      <w:r>
        <w:continuationSeparator/>
      </w:r>
    </w:p>
  </w:endnote>
  <w:endnote w:type="continuationNotice" w:id="1">
    <w:p w14:paraId="3A14764B" w14:textId="77777777" w:rsidR="00FF3526" w:rsidRDefault="00FF35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3178CA78-4BDA-4A16-BA41-ACC2F26D4B1B}"/>
    <w:embedBold r:id="rId2" w:fontKey="{FF605CB2-50A8-434F-AE76-B6E206EEC148}"/>
    <w:embedItalic r:id="rId3" w:fontKey="{D58A717E-C829-41FD-98E5-8715741D912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4F164A6B-0C19-4597-8F9F-57FDC40BE57D}"/>
  </w:font>
  <w:font w:name="Georgia">
    <w:panose1 w:val="02040502050405020303"/>
    <w:charset w:val="00"/>
    <w:family w:val="roman"/>
    <w:pitch w:val="variable"/>
    <w:sig w:usb0="00000287" w:usb1="00000000" w:usb2="00000000" w:usb3="00000000" w:csb0="0000009F" w:csb1="00000000"/>
    <w:embedRegular r:id="rId5" w:fontKey="{48AAB243-D2A6-4F10-9F5C-40E6B0757FCA}"/>
    <w:embedItalic r:id="rId6" w:fontKey="{7BE871B8-5C70-4843-AD1B-4C5FA489C7E0}"/>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EC8B3532-9056-4E39-A59A-7A9FFAD9F823}"/>
    <w:embedItalic r:id="rId8" w:fontKey="{86FA2AC7-A659-4954-8EEC-ED3188FF37A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D4E4BE2D-0F76-476E-9D19-4E3CC2CD3B5B}"/>
  </w:font>
  <w:font w:name="Calibri">
    <w:panose1 w:val="020F0502020204030204"/>
    <w:charset w:val="00"/>
    <w:family w:val="swiss"/>
    <w:pitch w:val="variable"/>
    <w:sig w:usb0="E4002EFF" w:usb1="C200247B" w:usb2="00000009" w:usb3="00000000" w:csb0="000001FF" w:csb1="00000000"/>
    <w:embedRegular r:id="rId10" w:fontKey="{EDCC3C55-A350-476C-8A3E-2D3EC5DBC9A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738D3" w14:textId="77777777" w:rsidR="00EE2D03" w:rsidRDefault="00EE2D0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A3123A" w14:paraId="139EE343" w14:textId="77777777" w:rsidTr="00C5444E">
      <w:trPr>
        <w:trHeight w:val="300"/>
      </w:trPr>
      <w:tc>
        <w:tcPr>
          <w:tcW w:w="3120" w:type="dxa"/>
          <w:shd w:val="clear" w:color="auto" w:fill="auto"/>
          <w:tcMar>
            <w:top w:w="0" w:type="dxa"/>
            <w:left w:w="108" w:type="dxa"/>
            <w:bottom w:w="0" w:type="dxa"/>
            <w:right w:w="108" w:type="dxa"/>
          </w:tcMar>
        </w:tcPr>
        <w:p w14:paraId="36ABA316" w14:textId="77777777" w:rsidR="00EE2D03" w:rsidRPr="00C5444E" w:rsidRDefault="00EE2D03" w:rsidP="00C5444E">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719C51D0" w14:textId="77777777" w:rsidR="00EE2D03" w:rsidRPr="00C5444E" w:rsidRDefault="00EE2D03" w:rsidP="00C5444E">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14FB9C11" w14:textId="77777777" w:rsidR="00EE2D03" w:rsidRPr="00C5444E" w:rsidRDefault="00EE2D03" w:rsidP="00C5444E">
          <w:pPr>
            <w:tabs>
              <w:tab w:val="center" w:pos="4320"/>
              <w:tab w:val="right" w:pos="8640"/>
            </w:tabs>
            <w:ind w:right="-115"/>
            <w:jc w:val="right"/>
            <w:rPr>
              <w:color w:val="000000"/>
            </w:rPr>
          </w:pPr>
        </w:p>
      </w:tc>
    </w:tr>
  </w:tbl>
  <w:p w14:paraId="518145D3" w14:textId="77777777" w:rsidR="00EE2D03" w:rsidRDefault="00EE2D03">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43726" w14:textId="77777777" w:rsidR="00EE2D03" w:rsidRDefault="00EE2D0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A3123A" w14:paraId="2A9CCD9C" w14:textId="77777777" w:rsidTr="00C5444E">
      <w:trPr>
        <w:trHeight w:val="300"/>
      </w:trPr>
      <w:tc>
        <w:tcPr>
          <w:tcW w:w="3120" w:type="dxa"/>
          <w:shd w:val="clear" w:color="auto" w:fill="auto"/>
          <w:tcMar>
            <w:top w:w="0" w:type="dxa"/>
            <w:left w:w="108" w:type="dxa"/>
            <w:bottom w:w="0" w:type="dxa"/>
            <w:right w:w="108" w:type="dxa"/>
          </w:tcMar>
        </w:tcPr>
        <w:p w14:paraId="1FE4A9B6" w14:textId="77777777" w:rsidR="00EE2D03" w:rsidRPr="00C5444E" w:rsidRDefault="00EE2D03" w:rsidP="00C5444E">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224F7D2A" w14:textId="77777777" w:rsidR="00EE2D03" w:rsidRPr="00C5444E" w:rsidRDefault="00EE2D03" w:rsidP="00C5444E">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5E818A20" w14:textId="77777777" w:rsidR="00EE2D03" w:rsidRPr="00C5444E" w:rsidRDefault="00EE2D03" w:rsidP="00C5444E">
          <w:pPr>
            <w:tabs>
              <w:tab w:val="center" w:pos="4320"/>
              <w:tab w:val="right" w:pos="8640"/>
            </w:tabs>
            <w:ind w:right="-115"/>
            <w:jc w:val="right"/>
            <w:rPr>
              <w:color w:val="000000"/>
            </w:rPr>
          </w:pPr>
        </w:p>
      </w:tc>
    </w:tr>
  </w:tbl>
  <w:p w14:paraId="5C88A74C" w14:textId="77777777" w:rsidR="00EE2D03" w:rsidRDefault="00EE2D03">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A22C7" w14:textId="77777777" w:rsidR="00FF3526" w:rsidRDefault="00FF3526">
      <w:r>
        <w:separator/>
      </w:r>
    </w:p>
  </w:footnote>
  <w:footnote w:type="continuationSeparator" w:id="0">
    <w:p w14:paraId="46CC12DA" w14:textId="77777777" w:rsidR="00FF3526" w:rsidRDefault="00FF3526">
      <w:r>
        <w:continuationSeparator/>
      </w:r>
    </w:p>
  </w:footnote>
  <w:footnote w:type="continuationNotice" w:id="1">
    <w:p w14:paraId="6813725F" w14:textId="77777777" w:rsidR="00FF3526" w:rsidRDefault="00FF3526"/>
  </w:footnote>
  <w:footnote w:id="2">
    <w:p w14:paraId="29F4C3F0"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w:t>
      </w:r>
      <w:r w:rsidRPr="00902450">
        <w:rPr>
          <w:rFonts w:ascii="Book Antiqua" w:hAnsi="Book Antiqua"/>
          <w:i/>
          <w:iCs/>
          <w:lang w:val="es-PR"/>
        </w:rPr>
        <w:t xml:space="preserve">Municipio Mayagüez v. Lebrón, </w:t>
      </w:r>
      <w:r w:rsidRPr="00902450">
        <w:rPr>
          <w:rFonts w:ascii="Book Antiqua" w:hAnsi="Book Antiqua"/>
          <w:lang w:val="es-PR"/>
        </w:rPr>
        <w:t>167 DPR 713, 720 (2006).</w:t>
      </w:r>
    </w:p>
  </w:footnote>
  <w:footnote w:id="3">
    <w:p w14:paraId="2E0D95E5"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Artículo 1.04. Ley Núm. 147 de 9 de agosto de 2024, conocida como “Ley de Arbitraje de Puerto Rico”. </w:t>
      </w:r>
    </w:p>
  </w:footnote>
  <w:footnote w:id="4">
    <w:p w14:paraId="5A3C4583"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w:t>
      </w:r>
      <w:r w:rsidRPr="00902450">
        <w:rPr>
          <w:rFonts w:ascii="Book Antiqua" w:hAnsi="Book Antiqua"/>
          <w:i/>
          <w:iCs/>
          <w:lang w:val="es-PR"/>
        </w:rPr>
        <w:t xml:space="preserve">Constructora Estelar v. </w:t>
      </w:r>
      <w:proofErr w:type="spellStart"/>
      <w:r w:rsidRPr="00902450">
        <w:rPr>
          <w:rFonts w:ascii="Book Antiqua" w:hAnsi="Book Antiqua"/>
          <w:i/>
          <w:iCs/>
          <w:lang w:val="es-PR"/>
        </w:rPr>
        <w:t>Aut</w:t>
      </w:r>
      <w:proofErr w:type="spellEnd"/>
      <w:r w:rsidRPr="00902450">
        <w:rPr>
          <w:rFonts w:ascii="Book Antiqua" w:hAnsi="Book Antiqua"/>
          <w:i/>
          <w:iCs/>
          <w:lang w:val="es-PR"/>
        </w:rPr>
        <w:t xml:space="preserve">. Edif. </w:t>
      </w:r>
      <w:proofErr w:type="spellStart"/>
      <w:r w:rsidRPr="00902450">
        <w:rPr>
          <w:rFonts w:ascii="Book Antiqua" w:hAnsi="Book Antiqua"/>
          <w:i/>
          <w:iCs/>
          <w:lang w:val="es-PR"/>
        </w:rPr>
        <w:t>Púb</w:t>
      </w:r>
      <w:proofErr w:type="spellEnd"/>
      <w:r w:rsidRPr="00902450">
        <w:rPr>
          <w:rFonts w:ascii="Book Antiqua" w:hAnsi="Book Antiqua"/>
          <w:lang w:val="es-PR"/>
        </w:rPr>
        <w:t>., 183 DPR 1, 41-42 (2011).</w:t>
      </w:r>
    </w:p>
  </w:footnote>
  <w:footnote w:id="5">
    <w:p w14:paraId="55438BD4" w14:textId="77777777" w:rsidR="006E250B" w:rsidRPr="007230B9"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Sección 15, Ley Núm. 15 de 14 de abril de 1931, según enmendada, conocida como “Ley Orgánica del Departamento del Trabajo y Recursos Humanos de Puerto Rico”.</w:t>
      </w:r>
      <w:r w:rsidRPr="007230B9">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69B24531" w:rsidR="00FF2214" w:rsidRDefault="00850770">
    <w:pPr>
      <w:tabs>
        <w:tab w:val="center" w:pos="4320"/>
        <w:tab w:val="right" w:pos="8640"/>
      </w:tabs>
      <w:jc w:val="right"/>
      <w:rPr>
        <w:color w:val="000000"/>
      </w:rPr>
    </w:pPr>
    <w:r w:rsidRPr="009F6D79">
      <w:rPr>
        <w:color w:val="000000"/>
      </w:rPr>
      <w:t>A-0</w:t>
    </w:r>
    <w:r w:rsidR="009F6D79" w:rsidRPr="009F6D79">
      <w:rPr>
        <w:color w:val="000000"/>
      </w:rPr>
      <w:t>5</w:t>
    </w:r>
    <w:r w:rsidR="00BC46B0">
      <w:rPr>
        <w:color w:val="000000"/>
      </w:rPr>
      <w:t>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A0F315E"/>
    <w:multiLevelType w:val="hybridMultilevel"/>
    <w:tmpl w:val="CE3EB296"/>
    <w:lvl w:ilvl="0" w:tplc="BFCC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36217031">
    <w:abstractNumId w:val="11"/>
  </w:num>
  <w:num w:numId="2" w16cid:durableId="1115905172">
    <w:abstractNumId w:val="4"/>
  </w:num>
  <w:num w:numId="3" w16cid:durableId="1728651237">
    <w:abstractNumId w:val="22"/>
  </w:num>
  <w:num w:numId="4" w16cid:durableId="1273436090">
    <w:abstractNumId w:val="16"/>
  </w:num>
  <w:num w:numId="5" w16cid:durableId="1993564423">
    <w:abstractNumId w:val="14"/>
  </w:num>
  <w:num w:numId="6" w16cid:durableId="314532663">
    <w:abstractNumId w:val="1"/>
  </w:num>
  <w:num w:numId="7" w16cid:durableId="777412676">
    <w:abstractNumId w:val="17"/>
  </w:num>
  <w:num w:numId="8" w16cid:durableId="1553999959">
    <w:abstractNumId w:val="0"/>
  </w:num>
  <w:num w:numId="9" w16cid:durableId="1319580631">
    <w:abstractNumId w:val="3"/>
  </w:num>
  <w:num w:numId="10" w16cid:durableId="172768325">
    <w:abstractNumId w:val="6"/>
  </w:num>
  <w:num w:numId="11" w16cid:durableId="17775645">
    <w:abstractNumId w:val="7"/>
  </w:num>
  <w:num w:numId="12" w16cid:durableId="875199226">
    <w:abstractNumId w:val="12"/>
  </w:num>
  <w:num w:numId="13" w16cid:durableId="1933706757">
    <w:abstractNumId w:val="10"/>
  </w:num>
  <w:num w:numId="14" w16cid:durableId="1424492860">
    <w:abstractNumId w:val="18"/>
  </w:num>
  <w:num w:numId="15" w16cid:durableId="622611353">
    <w:abstractNumId w:val="8"/>
  </w:num>
  <w:num w:numId="16" w16cid:durableId="1513641802">
    <w:abstractNumId w:val="21"/>
  </w:num>
  <w:num w:numId="17" w16cid:durableId="2031879697">
    <w:abstractNumId w:val="2"/>
  </w:num>
  <w:num w:numId="18" w16cid:durableId="293291636">
    <w:abstractNumId w:val="5"/>
  </w:num>
  <w:num w:numId="19" w16cid:durableId="2085057930">
    <w:abstractNumId w:val="13"/>
  </w:num>
  <w:num w:numId="20" w16cid:durableId="1705279046">
    <w:abstractNumId w:val="15"/>
  </w:num>
  <w:num w:numId="21" w16cid:durableId="1617787279">
    <w:abstractNumId w:val="19"/>
  </w:num>
  <w:num w:numId="22" w16cid:durableId="1636832979">
    <w:abstractNumId w:val="20"/>
  </w:num>
  <w:num w:numId="23" w16cid:durableId="12948227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01E1"/>
    <w:rsid w:val="00031678"/>
    <w:rsid w:val="00032F6A"/>
    <w:rsid w:val="00040CAA"/>
    <w:rsid w:val="000502AE"/>
    <w:rsid w:val="0005178C"/>
    <w:rsid w:val="00056D71"/>
    <w:rsid w:val="00057EF4"/>
    <w:rsid w:val="00066001"/>
    <w:rsid w:val="0007036F"/>
    <w:rsid w:val="00070AD2"/>
    <w:rsid w:val="000741B3"/>
    <w:rsid w:val="0008657D"/>
    <w:rsid w:val="00086AF8"/>
    <w:rsid w:val="00091F49"/>
    <w:rsid w:val="00093558"/>
    <w:rsid w:val="00094484"/>
    <w:rsid w:val="0009603C"/>
    <w:rsid w:val="000A1DC3"/>
    <w:rsid w:val="000A3188"/>
    <w:rsid w:val="000A33B9"/>
    <w:rsid w:val="000B0E9A"/>
    <w:rsid w:val="000B33EC"/>
    <w:rsid w:val="000B757B"/>
    <w:rsid w:val="000B77A8"/>
    <w:rsid w:val="000C0F6A"/>
    <w:rsid w:val="000C5223"/>
    <w:rsid w:val="000C58FF"/>
    <w:rsid w:val="000C68E5"/>
    <w:rsid w:val="000C7E45"/>
    <w:rsid w:val="000D2EB5"/>
    <w:rsid w:val="000D30A4"/>
    <w:rsid w:val="000D5037"/>
    <w:rsid w:val="000D7909"/>
    <w:rsid w:val="000E515E"/>
    <w:rsid w:val="000E6633"/>
    <w:rsid w:val="000F222B"/>
    <w:rsid w:val="00111BBD"/>
    <w:rsid w:val="00113415"/>
    <w:rsid w:val="001150B3"/>
    <w:rsid w:val="00115129"/>
    <w:rsid w:val="001216F2"/>
    <w:rsid w:val="0012419B"/>
    <w:rsid w:val="001255FB"/>
    <w:rsid w:val="001275A9"/>
    <w:rsid w:val="0013175B"/>
    <w:rsid w:val="001336EE"/>
    <w:rsid w:val="00133D83"/>
    <w:rsid w:val="00133DFE"/>
    <w:rsid w:val="00142ECE"/>
    <w:rsid w:val="001433C2"/>
    <w:rsid w:val="00144440"/>
    <w:rsid w:val="00150C87"/>
    <w:rsid w:val="00152B9A"/>
    <w:rsid w:val="00157BB5"/>
    <w:rsid w:val="001613A5"/>
    <w:rsid w:val="001633E0"/>
    <w:rsid w:val="00164E97"/>
    <w:rsid w:val="001677A8"/>
    <w:rsid w:val="0017795B"/>
    <w:rsid w:val="00185EA9"/>
    <w:rsid w:val="00191362"/>
    <w:rsid w:val="001930DD"/>
    <w:rsid w:val="001940FD"/>
    <w:rsid w:val="00194A5E"/>
    <w:rsid w:val="00194D59"/>
    <w:rsid w:val="0019674C"/>
    <w:rsid w:val="001969E8"/>
    <w:rsid w:val="001A1EA2"/>
    <w:rsid w:val="001B6185"/>
    <w:rsid w:val="001C05DD"/>
    <w:rsid w:val="001C1387"/>
    <w:rsid w:val="001C50A0"/>
    <w:rsid w:val="001C7468"/>
    <w:rsid w:val="001D07B3"/>
    <w:rsid w:val="001D0FDF"/>
    <w:rsid w:val="001D1537"/>
    <w:rsid w:val="001D4BBB"/>
    <w:rsid w:val="001D54A8"/>
    <w:rsid w:val="001E1A20"/>
    <w:rsid w:val="001F0F16"/>
    <w:rsid w:val="001F3565"/>
    <w:rsid w:val="001F4366"/>
    <w:rsid w:val="001F4416"/>
    <w:rsid w:val="00203B18"/>
    <w:rsid w:val="0021009A"/>
    <w:rsid w:val="00210471"/>
    <w:rsid w:val="002121D5"/>
    <w:rsid w:val="002138BE"/>
    <w:rsid w:val="002204F0"/>
    <w:rsid w:val="00230215"/>
    <w:rsid w:val="002304C5"/>
    <w:rsid w:val="002318F0"/>
    <w:rsid w:val="00231C2C"/>
    <w:rsid w:val="0023328C"/>
    <w:rsid w:val="00233635"/>
    <w:rsid w:val="0023393F"/>
    <w:rsid w:val="00234E7B"/>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6159"/>
    <w:rsid w:val="002D75E1"/>
    <w:rsid w:val="002D7EFD"/>
    <w:rsid w:val="002E5D86"/>
    <w:rsid w:val="002F21CF"/>
    <w:rsid w:val="002F48BA"/>
    <w:rsid w:val="002F5B16"/>
    <w:rsid w:val="00302F90"/>
    <w:rsid w:val="0030308D"/>
    <w:rsid w:val="00310744"/>
    <w:rsid w:val="00310FDD"/>
    <w:rsid w:val="0031323F"/>
    <w:rsid w:val="00313C97"/>
    <w:rsid w:val="00314E6B"/>
    <w:rsid w:val="003161BA"/>
    <w:rsid w:val="00321AB7"/>
    <w:rsid w:val="0032794E"/>
    <w:rsid w:val="00332E7A"/>
    <w:rsid w:val="00340015"/>
    <w:rsid w:val="00343CBC"/>
    <w:rsid w:val="0034626A"/>
    <w:rsid w:val="00346582"/>
    <w:rsid w:val="003524D5"/>
    <w:rsid w:val="00356264"/>
    <w:rsid w:val="00356E97"/>
    <w:rsid w:val="0036537B"/>
    <w:rsid w:val="00365FFA"/>
    <w:rsid w:val="00371D68"/>
    <w:rsid w:val="00372E7F"/>
    <w:rsid w:val="003772D1"/>
    <w:rsid w:val="0037751A"/>
    <w:rsid w:val="00381E1D"/>
    <w:rsid w:val="00391B13"/>
    <w:rsid w:val="00396D46"/>
    <w:rsid w:val="003A2100"/>
    <w:rsid w:val="003B17EE"/>
    <w:rsid w:val="003B2357"/>
    <w:rsid w:val="003B6F6C"/>
    <w:rsid w:val="003C79D6"/>
    <w:rsid w:val="003D3B08"/>
    <w:rsid w:val="003D4254"/>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52649"/>
    <w:rsid w:val="00461FBD"/>
    <w:rsid w:val="00462353"/>
    <w:rsid w:val="00462BEA"/>
    <w:rsid w:val="0046344B"/>
    <w:rsid w:val="00465256"/>
    <w:rsid w:val="004674AD"/>
    <w:rsid w:val="0048210C"/>
    <w:rsid w:val="0049425A"/>
    <w:rsid w:val="004A0EAF"/>
    <w:rsid w:val="004A5974"/>
    <w:rsid w:val="004A63FB"/>
    <w:rsid w:val="004A763E"/>
    <w:rsid w:val="004B290C"/>
    <w:rsid w:val="004B357F"/>
    <w:rsid w:val="004C1C7C"/>
    <w:rsid w:val="004C411D"/>
    <w:rsid w:val="004C41AE"/>
    <w:rsid w:val="004C6236"/>
    <w:rsid w:val="004D03F5"/>
    <w:rsid w:val="004D0CDB"/>
    <w:rsid w:val="004D7071"/>
    <w:rsid w:val="004E04A9"/>
    <w:rsid w:val="004E44D5"/>
    <w:rsid w:val="004E52E1"/>
    <w:rsid w:val="004E6136"/>
    <w:rsid w:val="004F6B8B"/>
    <w:rsid w:val="005003F6"/>
    <w:rsid w:val="00500DD3"/>
    <w:rsid w:val="00502B14"/>
    <w:rsid w:val="00503836"/>
    <w:rsid w:val="00503C13"/>
    <w:rsid w:val="00504742"/>
    <w:rsid w:val="005058B8"/>
    <w:rsid w:val="00506CA0"/>
    <w:rsid w:val="005075F3"/>
    <w:rsid w:val="00511693"/>
    <w:rsid w:val="00521CE8"/>
    <w:rsid w:val="005229AD"/>
    <w:rsid w:val="00524FBA"/>
    <w:rsid w:val="00526AC9"/>
    <w:rsid w:val="00527B13"/>
    <w:rsid w:val="00534596"/>
    <w:rsid w:val="00535105"/>
    <w:rsid w:val="005427F8"/>
    <w:rsid w:val="00543529"/>
    <w:rsid w:val="00546040"/>
    <w:rsid w:val="00552C7A"/>
    <w:rsid w:val="00556C43"/>
    <w:rsid w:val="005640D7"/>
    <w:rsid w:val="0056577A"/>
    <w:rsid w:val="00573345"/>
    <w:rsid w:val="0057336F"/>
    <w:rsid w:val="00573C36"/>
    <w:rsid w:val="0057614A"/>
    <w:rsid w:val="00576725"/>
    <w:rsid w:val="00576F23"/>
    <w:rsid w:val="00577130"/>
    <w:rsid w:val="00580739"/>
    <w:rsid w:val="00591957"/>
    <w:rsid w:val="005A3527"/>
    <w:rsid w:val="005A5C2E"/>
    <w:rsid w:val="005A5F0D"/>
    <w:rsid w:val="005B3512"/>
    <w:rsid w:val="005B3BBD"/>
    <w:rsid w:val="005C3826"/>
    <w:rsid w:val="005C3AFC"/>
    <w:rsid w:val="005C7524"/>
    <w:rsid w:val="005C7ECE"/>
    <w:rsid w:val="005D3EB3"/>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1789"/>
    <w:rsid w:val="0062471D"/>
    <w:rsid w:val="006414C7"/>
    <w:rsid w:val="00642C79"/>
    <w:rsid w:val="006430D0"/>
    <w:rsid w:val="00643733"/>
    <w:rsid w:val="0064494E"/>
    <w:rsid w:val="00647846"/>
    <w:rsid w:val="00654571"/>
    <w:rsid w:val="00657A02"/>
    <w:rsid w:val="00663D06"/>
    <w:rsid w:val="00666FD4"/>
    <w:rsid w:val="00670249"/>
    <w:rsid w:val="00670CA7"/>
    <w:rsid w:val="006730F1"/>
    <w:rsid w:val="0068065A"/>
    <w:rsid w:val="006819FE"/>
    <w:rsid w:val="00694E17"/>
    <w:rsid w:val="006A1488"/>
    <w:rsid w:val="006B17C2"/>
    <w:rsid w:val="006B3A56"/>
    <w:rsid w:val="006B78AD"/>
    <w:rsid w:val="006C4755"/>
    <w:rsid w:val="006C5540"/>
    <w:rsid w:val="006C6334"/>
    <w:rsid w:val="006D1974"/>
    <w:rsid w:val="006E1314"/>
    <w:rsid w:val="006E250B"/>
    <w:rsid w:val="006E37D2"/>
    <w:rsid w:val="006E7A33"/>
    <w:rsid w:val="006F0B06"/>
    <w:rsid w:val="006F205C"/>
    <w:rsid w:val="006F2AC8"/>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63CE6"/>
    <w:rsid w:val="007658E2"/>
    <w:rsid w:val="0077017C"/>
    <w:rsid w:val="00773ABA"/>
    <w:rsid w:val="0078017D"/>
    <w:rsid w:val="00781480"/>
    <w:rsid w:val="00791FA9"/>
    <w:rsid w:val="00793189"/>
    <w:rsid w:val="00795BD6"/>
    <w:rsid w:val="007A1A7B"/>
    <w:rsid w:val="007A32EC"/>
    <w:rsid w:val="007A346E"/>
    <w:rsid w:val="007A40FA"/>
    <w:rsid w:val="007A4745"/>
    <w:rsid w:val="007A5875"/>
    <w:rsid w:val="007B090C"/>
    <w:rsid w:val="007B6B38"/>
    <w:rsid w:val="007C7157"/>
    <w:rsid w:val="007D76E0"/>
    <w:rsid w:val="007E045B"/>
    <w:rsid w:val="007E368D"/>
    <w:rsid w:val="007E4C22"/>
    <w:rsid w:val="007F1D2B"/>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6041"/>
    <w:rsid w:val="008574AE"/>
    <w:rsid w:val="008670BC"/>
    <w:rsid w:val="00871898"/>
    <w:rsid w:val="008863D7"/>
    <w:rsid w:val="0088798F"/>
    <w:rsid w:val="0089008A"/>
    <w:rsid w:val="00890C4D"/>
    <w:rsid w:val="00891773"/>
    <w:rsid w:val="008925BB"/>
    <w:rsid w:val="008A1828"/>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62C3E"/>
    <w:rsid w:val="00963E17"/>
    <w:rsid w:val="00965195"/>
    <w:rsid w:val="00970540"/>
    <w:rsid w:val="00975D82"/>
    <w:rsid w:val="009833D3"/>
    <w:rsid w:val="009927E5"/>
    <w:rsid w:val="00996A17"/>
    <w:rsid w:val="009A0ED5"/>
    <w:rsid w:val="009A6298"/>
    <w:rsid w:val="009B47BF"/>
    <w:rsid w:val="009D1C75"/>
    <w:rsid w:val="009D5726"/>
    <w:rsid w:val="009D61E3"/>
    <w:rsid w:val="009D7450"/>
    <w:rsid w:val="009D79EC"/>
    <w:rsid w:val="009E36AA"/>
    <w:rsid w:val="009F15AE"/>
    <w:rsid w:val="009F5E7C"/>
    <w:rsid w:val="009F6D79"/>
    <w:rsid w:val="00A02203"/>
    <w:rsid w:val="00A04577"/>
    <w:rsid w:val="00A11BAB"/>
    <w:rsid w:val="00A1720E"/>
    <w:rsid w:val="00A212F7"/>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2528"/>
    <w:rsid w:val="00A625D1"/>
    <w:rsid w:val="00A67A3A"/>
    <w:rsid w:val="00A7289B"/>
    <w:rsid w:val="00A770A7"/>
    <w:rsid w:val="00A7759E"/>
    <w:rsid w:val="00A8093F"/>
    <w:rsid w:val="00A860DC"/>
    <w:rsid w:val="00A92D34"/>
    <w:rsid w:val="00A94A37"/>
    <w:rsid w:val="00A9567F"/>
    <w:rsid w:val="00AA1BAB"/>
    <w:rsid w:val="00AB26DD"/>
    <w:rsid w:val="00AB417C"/>
    <w:rsid w:val="00AB635B"/>
    <w:rsid w:val="00AB6B2F"/>
    <w:rsid w:val="00AC4491"/>
    <w:rsid w:val="00AC7A4D"/>
    <w:rsid w:val="00AD173C"/>
    <w:rsid w:val="00AD1CE3"/>
    <w:rsid w:val="00AD2586"/>
    <w:rsid w:val="00AD3CF8"/>
    <w:rsid w:val="00AD473B"/>
    <w:rsid w:val="00AD4C7D"/>
    <w:rsid w:val="00AE091B"/>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31AC"/>
    <w:rsid w:val="00B23F46"/>
    <w:rsid w:val="00B24BAA"/>
    <w:rsid w:val="00B32F90"/>
    <w:rsid w:val="00B34B9F"/>
    <w:rsid w:val="00B41851"/>
    <w:rsid w:val="00B50144"/>
    <w:rsid w:val="00B51DBD"/>
    <w:rsid w:val="00B5375E"/>
    <w:rsid w:val="00B57F92"/>
    <w:rsid w:val="00B60014"/>
    <w:rsid w:val="00B60332"/>
    <w:rsid w:val="00B62634"/>
    <w:rsid w:val="00B70B63"/>
    <w:rsid w:val="00B72A6A"/>
    <w:rsid w:val="00B74EC0"/>
    <w:rsid w:val="00B81E44"/>
    <w:rsid w:val="00B8278F"/>
    <w:rsid w:val="00B84666"/>
    <w:rsid w:val="00B84B1D"/>
    <w:rsid w:val="00B87A1C"/>
    <w:rsid w:val="00B87D3C"/>
    <w:rsid w:val="00B91426"/>
    <w:rsid w:val="00B950B6"/>
    <w:rsid w:val="00BA3CB8"/>
    <w:rsid w:val="00BA70CD"/>
    <w:rsid w:val="00BB3314"/>
    <w:rsid w:val="00BB3C4F"/>
    <w:rsid w:val="00BB48CC"/>
    <w:rsid w:val="00BB4F4D"/>
    <w:rsid w:val="00BC074C"/>
    <w:rsid w:val="00BC1AD6"/>
    <w:rsid w:val="00BC46B0"/>
    <w:rsid w:val="00BD11DE"/>
    <w:rsid w:val="00BD4F99"/>
    <w:rsid w:val="00BE4BBF"/>
    <w:rsid w:val="00BE55AC"/>
    <w:rsid w:val="00BE6A63"/>
    <w:rsid w:val="00BE7D02"/>
    <w:rsid w:val="00BF5A14"/>
    <w:rsid w:val="00BF5DE6"/>
    <w:rsid w:val="00C004A4"/>
    <w:rsid w:val="00C05E49"/>
    <w:rsid w:val="00C05E9D"/>
    <w:rsid w:val="00C06126"/>
    <w:rsid w:val="00C13DC9"/>
    <w:rsid w:val="00C2331C"/>
    <w:rsid w:val="00C25487"/>
    <w:rsid w:val="00C32AB8"/>
    <w:rsid w:val="00C32AF1"/>
    <w:rsid w:val="00C33CEB"/>
    <w:rsid w:val="00C361CD"/>
    <w:rsid w:val="00C400A1"/>
    <w:rsid w:val="00C47E72"/>
    <w:rsid w:val="00C56E4D"/>
    <w:rsid w:val="00C57448"/>
    <w:rsid w:val="00C635EB"/>
    <w:rsid w:val="00C71782"/>
    <w:rsid w:val="00C7694F"/>
    <w:rsid w:val="00C8076C"/>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32989"/>
    <w:rsid w:val="00D42696"/>
    <w:rsid w:val="00D43503"/>
    <w:rsid w:val="00D43E19"/>
    <w:rsid w:val="00D50765"/>
    <w:rsid w:val="00D50CD3"/>
    <w:rsid w:val="00D814BA"/>
    <w:rsid w:val="00D84992"/>
    <w:rsid w:val="00D937E3"/>
    <w:rsid w:val="00D938F9"/>
    <w:rsid w:val="00D95879"/>
    <w:rsid w:val="00D962FB"/>
    <w:rsid w:val="00DA5EB9"/>
    <w:rsid w:val="00DB21F6"/>
    <w:rsid w:val="00DD225A"/>
    <w:rsid w:val="00DD4DFA"/>
    <w:rsid w:val="00DD4EC2"/>
    <w:rsid w:val="00DD633A"/>
    <w:rsid w:val="00DD6D60"/>
    <w:rsid w:val="00DE4C0D"/>
    <w:rsid w:val="00DF4DB8"/>
    <w:rsid w:val="00DF5718"/>
    <w:rsid w:val="00DF5E51"/>
    <w:rsid w:val="00DF7351"/>
    <w:rsid w:val="00E03053"/>
    <w:rsid w:val="00E05064"/>
    <w:rsid w:val="00E07253"/>
    <w:rsid w:val="00E079B9"/>
    <w:rsid w:val="00E138E0"/>
    <w:rsid w:val="00E142DA"/>
    <w:rsid w:val="00E22AE3"/>
    <w:rsid w:val="00E22CE1"/>
    <w:rsid w:val="00E2741C"/>
    <w:rsid w:val="00E30811"/>
    <w:rsid w:val="00E31356"/>
    <w:rsid w:val="00E3223D"/>
    <w:rsid w:val="00E33608"/>
    <w:rsid w:val="00E45E9B"/>
    <w:rsid w:val="00E61B41"/>
    <w:rsid w:val="00E64141"/>
    <w:rsid w:val="00E65583"/>
    <w:rsid w:val="00E67017"/>
    <w:rsid w:val="00E673B7"/>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4D27"/>
    <w:rsid w:val="00ED5A58"/>
    <w:rsid w:val="00EE009B"/>
    <w:rsid w:val="00EE2D03"/>
    <w:rsid w:val="00EE58A4"/>
    <w:rsid w:val="00EE7FDF"/>
    <w:rsid w:val="00EF2711"/>
    <w:rsid w:val="00EF2D8D"/>
    <w:rsid w:val="00EF512A"/>
    <w:rsid w:val="00F026C9"/>
    <w:rsid w:val="00F0629E"/>
    <w:rsid w:val="00F16B71"/>
    <w:rsid w:val="00F245C1"/>
    <w:rsid w:val="00F27415"/>
    <w:rsid w:val="00F3308A"/>
    <w:rsid w:val="00F36138"/>
    <w:rsid w:val="00F373F2"/>
    <w:rsid w:val="00F37EC1"/>
    <w:rsid w:val="00F42967"/>
    <w:rsid w:val="00F44B1E"/>
    <w:rsid w:val="00F519A3"/>
    <w:rsid w:val="00F55BC6"/>
    <w:rsid w:val="00F57042"/>
    <w:rsid w:val="00F571EB"/>
    <w:rsid w:val="00F57E31"/>
    <w:rsid w:val="00F65464"/>
    <w:rsid w:val="00F66A96"/>
    <w:rsid w:val="00F70223"/>
    <w:rsid w:val="00F70BEF"/>
    <w:rsid w:val="00F70D38"/>
    <w:rsid w:val="00F739FE"/>
    <w:rsid w:val="00F858BD"/>
    <w:rsid w:val="00F96E52"/>
    <w:rsid w:val="00FA0CB1"/>
    <w:rsid w:val="00FA11F4"/>
    <w:rsid w:val="00FB470E"/>
    <w:rsid w:val="00FB77D5"/>
    <w:rsid w:val="00FC2737"/>
    <w:rsid w:val="00FC5E4E"/>
    <w:rsid w:val="00FC62A0"/>
    <w:rsid w:val="00FC671D"/>
    <w:rsid w:val="00FD065B"/>
    <w:rsid w:val="00FD093E"/>
    <w:rsid w:val="00FE2D53"/>
    <w:rsid w:val="00FF2214"/>
    <w:rsid w:val="00FF3526"/>
    <w:rsid w:val="0206FCE5"/>
    <w:rsid w:val="180AD1F2"/>
    <w:rsid w:val="1B9D9E57"/>
    <w:rsid w:val="257C5BC4"/>
    <w:rsid w:val="4E2E3AD1"/>
    <w:rsid w:val="542407D0"/>
    <w:rsid w:val="56E75300"/>
    <w:rsid w:val="594B75FA"/>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887569763">
      <w:bodyDiv w:val="1"/>
      <w:marLeft w:val="0"/>
      <w:marRight w:val="0"/>
      <w:marTop w:val="0"/>
      <w:marBottom w:val="0"/>
      <w:divBdr>
        <w:top w:val="none" w:sz="0" w:space="0" w:color="auto"/>
        <w:left w:val="none" w:sz="0" w:space="0" w:color="auto"/>
        <w:bottom w:val="none" w:sz="0" w:space="0" w:color="auto"/>
        <w:right w:val="none" w:sz="0" w:space="0" w:color="auto"/>
      </w:divBdr>
    </w:div>
    <w:div w:id="1073162098">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1057</Words>
  <Characters>6026</Characters>
  <Application>Microsoft Office Word</Application>
  <DocSecurity>0</DocSecurity>
  <Lines>50</Lines>
  <Paragraphs>14</Paragraphs>
  <ScaleCrop>false</ScaleCrop>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Victor E. Vélez Cucuta</cp:lastModifiedBy>
  <cp:revision>2</cp:revision>
  <cp:lastPrinted>2025-05-13T14:04:00Z</cp:lastPrinted>
  <dcterms:created xsi:type="dcterms:W3CDTF">2025-05-13T14:04:00Z</dcterms:created>
  <dcterms:modified xsi:type="dcterms:W3CDTF">2025-05-13T14:04:00Z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