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3E765A"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3E765A">
        <w:rPr>
          <w:rFonts w:ascii="Book Antiqua" w:hAnsi="Book Antiqua"/>
          <w:sz w:val="28"/>
          <w:szCs w:val="28"/>
          <w:lang w:val="es-ES"/>
        </w:rPr>
        <w:t>GOBIERNO DE PUERTO RICO</w:t>
      </w:r>
    </w:p>
    <w:p w14:paraId="24353140" w14:textId="77777777" w:rsidR="007535BB" w:rsidRPr="003E765A"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3E765A" w14:paraId="4DE77E24" w14:textId="77777777" w:rsidTr="00D95836">
        <w:trPr>
          <w:trHeight w:val="900"/>
        </w:trPr>
        <w:tc>
          <w:tcPr>
            <w:tcW w:w="3170" w:type="dxa"/>
          </w:tcPr>
          <w:p w14:paraId="27AF3912" w14:textId="77777777" w:rsidR="007535BB" w:rsidRPr="003E765A" w:rsidRDefault="007535BB" w:rsidP="00D95836">
            <w:pPr>
              <w:rPr>
                <w:rFonts w:ascii="Book Antiqua" w:hAnsi="Book Antiqua"/>
                <w:lang w:val="es-ES"/>
              </w:rPr>
            </w:pPr>
            <w:r w:rsidRPr="003E765A">
              <w:rPr>
                <w:rFonts w:ascii="Book Antiqua" w:hAnsi="Book Antiqua"/>
                <w:lang w:val="es-ES"/>
              </w:rPr>
              <w:t>20</w:t>
            </w:r>
            <w:r w:rsidRPr="003E765A">
              <w:rPr>
                <w:rFonts w:ascii="Book Antiqua" w:hAnsi="Book Antiqua"/>
                <w:vertAlign w:val="superscript"/>
                <w:lang w:val="es-ES"/>
              </w:rPr>
              <w:t>ma.</w:t>
            </w:r>
            <w:r w:rsidRPr="003E765A">
              <w:rPr>
                <w:rFonts w:ascii="Book Antiqua" w:hAnsi="Book Antiqua"/>
                <w:lang w:val="es-ES"/>
              </w:rPr>
              <w:tab/>
              <w:t>Asamblea</w:t>
            </w:r>
          </w:p>
          <w:p w14:paraId="082D32B2" w14:textId="77777777" w:rsidR="007535BB" w:rsidRPr="003E765A" w:rsidRDefault="007535BB" w:rsidP="00D95836">
            <w:pPr>
              <w:rPr>
                <w:rFonts w:ascii="Book Antiqua" w:hAnsi="Book Antiqua"/>
                <w:sz w:val="36"/>
                <w:lang w:val="es-ES"/>
              </w:rPr>
            </w:pPr>
            <w:r w:rsidRPr="003E765A">
              <w:rPr>
                <w:rFonts w:ascii="Book Antiqua" w:hAnsi="Book Antiqua"/>
                <w:lang w:val="es-ES"/>
              </w:rPr>
              <w:t xml:space="preserve">         </w:t>
            </w:r>
            <w:r w:rsidRPr="003E765A">
              <w:rPr>
                <w:rFonts w:ascii="Book Antiqua" w:hAnsi="Book Antiqua"/>
                <w:lang w:val="es-ES"/>
              </w:rPr>
              <w:tab/>
              <w:t xml:space="preserve">Legislativa                                                                                                          </w:t>
            </w:r>
          </w:p>
        </w:tc>
        <w:tc>
          <w:tcPr>
            <w:tcW w:w="3171" w:type="dxa"/>
          </w:tcPr>
          <w:p w14:paraId="48FE9142" w14:textId="77777777" w:rsidR="007535BB" w:rsidRPr="003E765A" w:rsidRDefault="007535BB" w:rsidP="00D95836">
            <w:pPr>
              <w:jc w:val="center"/>
              <w:rPr>
                <w:rFonts w:ascii="Book Antiqua" w:hAnsi="Book Antiqua"/>
                <w:sz w:val="36"/>
                <w:lang w:val="es-ES"/>
              </w:rPr>
            </w:pPr>
          </w:p>
        </w:tc>
        <w:tc>
          <w:tcPr>
            <w:tcW w:w="3268" w:type="dxa"/>
          </w:tcPr>
          <w:p w14:paraId="69176C76" w14:textId="2F06252B" w:rsidR="007535BB" w:rsidRPr="003E765A" w:rsidRDefault="007535BB" w:rsidP="00D95836">
            <w:pPr>
              <w:rPr>
                <w:rFonts w:ascii="Book Antiqua" w:hAnsi="Book Antiqua"/>
                <w:lang w:val="es-ES"/>
              </w:rPr>
            </w:pPr>
            <w:r w:rsidRPr="003E765A">
              <w:rPr>
                <w:rFonts w:ascii="Book Antiqua" w:hAnsi="Book Antiqua"/>
                <w:lang w:val="es-ES"/>
              </w:rPr>
              <w:tab/>
            </w:r>
            <w:r w:rsidR="00E17E3B" w:rsidRPr="003E765A">
              <w:rPr>
                <w:rFonts w:ascii="Book Antiqua" w:hAnsi="Book Antiqua"/>
                <w:lang w:val="es-ES"/>
              </w:rPr>
              <w:t>2</w:t>
            </w:r>
            <w:r w:rsidR="00E17E3B" w:rsidRPr="003E765A">
              <w:rPr>
                <w:rFonts w:ascii="Book Antiqua" w:hAnsi="Book Antiqua"/>
                <w:vertAlign w:val="superscript"/>
                <w:lang w:val="es-ES"/>
              </w:rPr>
              <w:t>d</w:t>
            </w:r>
            <w:r w:rsidRPr="003E765A">
              <w:rPr>
                <w:rFonts w:ascii="Book Antiqua" w:hAnsi="Book Antiqua"/>
                <w:vertAlign w:val="superscript"/>
                <w:lang w:val="es-ES"/>
              </w:rPr>
              <w:t>a.</w:t>
            </w:r>
            <w:r w:rsidRPr="003E765A">
              <w:rPr>
                <w:rFonts w:ascii="Book Antiqua" w:hAnsi="Book Antiqua"/>
                <w:lang w:val="es-ES"/>
              </w:rPr>
              <w:t xml:space="preserve"> Sesión</w:t>
            </w:r>
          </w:p>
          <w:p w14:paraId="42A8E2C1" w14:textId="6033C9E1" w:rsidR="007535BB" w:rsidRPr="003E765A" w:rsidRDefault="007535BB" w:rsidP="00D95836">
            <w:pPr>
              <w:rPr>
                <w:rFonts w:ascii="Book Antiqua" w:hAnsi="Book Antiqua"/>
                <w:lang w:val="es-ES"/>
              </w:rPr>
            </w:pPr>
            <w:r w:rsidRPr="003E765A">
              <w:rPr>
                <w:rFonts w:ascii="Book Antiqua" w:hAnsi="Book Antiqua"/>
                <w:lang w:val="es-ES"/>
              </w:rPr>
              <w:tab/>
              <w:t xml:space="preserve">      Ordinaria</w:t>
            </w:r>
          </w:p>
          <w:p w14:paraId="640FD190" w14:textId="77777777" w:rsidR="007535BB" w:rsidRPr="003E765A" w:rsidRDefault="007535BB" w:rsidP="00D95836">
            <w:pPr>
              <w:jc w:val="center"/>
              <w:rPr>
                <w:rFonts w:ascii="Book Antiqua" w:hAnsi="Book Antiqua"/>
                <w:sz w:val="36"/>
                <w:lang w:val="es-ES"/>
              </w:rPr>
            </w:pPr>
          </w:p>
        </w:tc>
      </w:tr>
    </w:tbl>
    <w:bookmarkEnd w:id="0"/>
    <w:p w14:paraId="44DF1C72" w14:textId="77777777" w:rsidR="007535BB" w:rsidRPr="003E765A" w:rsidRDefault="007535BB" w:rsidP="0027212A">
      <w:pPr>
        <w:spacing w:line="360" w:lineRule="auto"/>
        <w:jc w:val="center"/>
        <w:rPr>
          <w:rFonts w:ascii="Book Antiqua" w:hAnsi="Book Antiqua"/>
          <w:b/>
          <w:sz w:val="36"/>
          <w:lang w:val="es-ES"/>
        </w:rPr>
      </w:pPr>
      <w:r w:rsidRPr="003E765A">
        <w:rPr>
          <w:rFonts w:ascii="Book Antiqua" w:hAnsi="Book Antiqua"/>
          <w:b/>
          <w:sz w:val="36"/>
          <w:lang w:val="es-ES"/>
        </w:rPr>
        <w:t>SENADO DE PUERTO RICO</w:t>
      </w:r>
      <w:bookmarkEnd w:id="1"/>
    </w:p>
    <w:p w14:paraId="3E53146F" w14:textId="62038EE5" w:rsidR="007535BB" w:rsidRPr="003E765A" w:rsidRDefault="007535BB" w:rsidP="0027212A">
      <w:pPr>
        <w:spacing w:line="360" w:lineRule="auto"/>
        <w:jc w:val="center"/>
        <w:rPr>
          <w:rFonts w:ascii="Book Antiqua" w:hAnsi="Book Antiqua"/>
          <w:b/>
          <w:sz w:val="52"/>
          <w:lang w:val="es-ES"/>
        </w:rPr>
      </w:pPr>
      <w:r w:rsidRPr="003E765A">
        <w:rPr>
          <w:rFonts w:ascii="Book Antiqua" w:hAnsi="Book Antiqua"/>
          <w:b/>
          <w:sz w:val="52"/>
          <w:lang w:val="es-ES"/>
        </w:rPr>
        <w:t xml:space="preserve">P. del S. </w:t>
      </w:r>
      <w:r w:rsidR="000B0AC4" w:rsidRPr="003E765A">
        <w:rPr>
          <w:rFonts w:ascii="Book Antiqua" w:hAnsi="Book Antiqua"/>
          <w:b/>
          <w:sz w:val="52"/>
          <w:lang w:val="es-ES"/>
        </w:rPr>
        <w:t>507</w:t>
      </w:r>
    </w:p>
    <w:p w14:paraId="1443CA0F" w14:textId="77777777" w:rsidR="007535BB" w:rsidRPr="003E765A" w:rsidRDefault="007535BB" w:rsidP="0027212A">
      <w:pPr>
        <w:spacing w:line="360" w:lineRule="auto"/>
        <w:jc w:val="center"/>
        <w:rPr>
          <w:rFonts w:ascii="Book Antiqua" w:hAnsi="Book Antiqua"/>
          <w:b/>
          <w:bCs/>
          <w:lang w:val="es-ES"/>
        </w:rPr>
      </w:pPr>
      <w:r w:rsidRPr="003E765A">
        <w:rPr>
          <w:rFonts w:ascii="Book Antiqua" w:hAnsi="Book Antiqua"/>
          <w:b/>
          <w:bCs/>
          <w:lang w:val="es-ES"/>
        </w:rPr>
        <w:t xml:space="preserve"> </w:t>
      </w:r>
      <w:bookmarkStart w:id="3" w:name="_Hlk183037684"/>
      <w:r w:rsidR="001B5218" w:rsidRPr="003E765A">
        <w:rPr>
          <w:rFonts w:ascii="Book Antiqua" w:hAnsi="Book Antiqua"/>
          <w:b/>
          <w:bCs/>
          <w:sz w:val="28"/>
          <w:szCs w:val="22"/>
          <w:lang w:val="es-ES"/>
        </w:rPr>
        <w:t xml:space="preserve">INFORME POSITIVO </w:t>
      </w:r>
    </w:p>
    <w:p w14:paraId="07AB4BDD" w14:textId="639ADBE8" w:rsidR="001B5218" w:rsidRPr="003E765A" w:rsidRDefault="00F21A56" w:rsidP="0027212A">
      <w:pPr>
        <w:spacing w:line="360" w:lineRule="auto"/>
        <w:jc w:val="center"/>
        <w:rPr>
          <w:rFonts w:ascii="Book Antiqua" w:hAnsi="Book Antiqua"/>
          <w:lang w:val="es-ES"/>
        </w:rPr>
      </w:pPr>
      <w:r>
        <w:rPr>
          <w:rFonts w:ascii="Book Antiqua" w:hAnsi="Book Antiqua"/>
          <w:lang w:val="es-ES"/>
        </w:rPr>
        <w:t>1</w:t>
      </w:r>
      <w:r w:rsidR="00AC5139">
        <w:rPr>
          <w:rFonts w:ascii="Book Antiqua" w:hAnsi="Book Antiqua"/>
          <w:lang w:val="es-ES"/>
        </w:rPr>
        <w:t>4</w:t>
      </w:r>
      <w:r>
        <w:rPr>
          <w:rFonts w:ascii="Book Antiqua" w:hAnsi="Book Antiqua"/>
          <w:lang w:val="es-ES"/>
        </w:rPr>
        <w:t xml:space="preserve"> </w:t>
      </w:r>
      <w:r w:rsidR="006239E8" w:rsidRPr="003E765A">
        <w:rPr>
          <w:rFonts w:ascii="Book Antiqua" w:hAnsi="Book Antiqua"/>
          <w:lang w:val="es-ES"/>
        </w:rPr>
        <w:t xml:space="preserve">de agosto </w:t>
      </w:r>
      <w:r w:rsidR="00D13D23" w:rsidRPr="003E765A">
        <w:rPr>
          <w:rFonts w:ascii="Book Antiqua" w:hAnsi="Book Antiqua"/>
          <w:lang w:val="es-ES"/>
        </w:rPr>
        <w:t>de 2025</w:t>
      </w:r>
    </w:p>
    <w:bookmarkEnd w:id="2"/>
    <w:bookmarkEnd w:id="3"/>
    <w:p w14:paraId="518A096B" w14:textId="07DCC0DC" w:rsidR="005B2884" w:rsidRPr="003E765A" w:rsidRDefault="001B5218" w:rsidP="00D72149">
      <w:pPr>
        <w:tabs>
          <w:tab w:val="left" w:pos="-720"/>
        </w:tabs>
        <w:suppressAutoHyphens/>
        <w:spacing w:before="240" w:after="240" w:line="276" w:lineRule="auto"/>
        <w:rPr>
          <w:rFonts w:ascii="Book Antiqua" w:hAnsi="Book Antiqua"/>
          <w:szCs w:val="24"/>
          <w:lang w:val="es-ES"/>
        </w:rPr>
      </w:pPr>
      <w:r w:rsidRPr="003E765A">
        <w:rPr>
          <w:rFonts w:ascii="Book Antiqua" w:hAnsi="Book Antiqua"/>
          <w:b/>
          <w:szCs w:val="24"/>
          <w:lang w:val="es-ES"/>
        </w:rPr>
        <w:t xml:space="preserve">AL SENADO DE PUERTO RICO: </w:t>
      </w:r>
    </w:p>
    <w:p w14:paraId="37982730" w14:textId="579B06D7" w:rsidR="005B2884" w:rsidRPr="003E765A" w:rsidRDefault="00A52CD9" w:rsidP="00D72149">
      <w:pPr>
        <w:suppressAutoHyphens/>
        <w:spacing w:line="276" w:lineRule="auto"/>
        <w:jc w:val="both"/>
        <w:rPr>
          <w:rFonts w:ascii="Book Antiqua" w:hAnsi="Book Antiqua"/>
          <w:spacing w:val="-3"/>
          <w:lang w:val="es-ES"/>
        </w:rPr>
      </w:pPr>
      <w:r w:rsidRPr="003E765A">
        <w:rPr>
          <w:rFonts w:ascii="Book Antiqua" w:hAnsi="Book Antiqua"/>
          <w:spacing w:val="-3"/>
          <w:lang w:val="es-ES"/>
        </w:rPr>
        <w:t xml:space="preserve">      </w:t>
      </w:r>
      <w:r w:rsidR="009F427F" w:rsidRPr="003E765A">
        <w:rPr>
          <w:rFonts w:ascii="Book Antiqua" w:hAnsi="Book Antiqua"/>
          <w:spacing w:val="-3"/>
          <w:lang w:val="es-ES"/>
        </w:rPr>
        <w:tab/>
      </w:r>
      <w:r w:rsidR="001B5218" w:rsidRPr="003E765A">
        <w:rPr>
          <w:rFonts w:ascii="Book Antiqua" w:hAnsi="Book Antiqua"/>
          <w:spacing w:val="-3"/>
          <w:lang w:val="es-ES"/>
        </w:rPr>
        <w:t xml:space="preserve">La </w:t>
      </w:r>
      <w:r w:rsidR="00E17E3B" w:rsidRPr="003E765A">
        <w:rPr>
          <w:rFonts w:ascii="Book Antiqua" w:hAnsi="Book Antiqua"/>
          <w:spacing w:val="-3"/>
          <w:lang w:val="es-ES"/>
        </w:rPr>
        <w:t>Comisión de lo Jurídico del Senado de Puerto Rico</w:t>
      </w:r>
      <w:r w:rsidR="001B5218" w:rsidRPr="003E765A">
        <w:rPr>
          <w:rFonts w:ascii="Book Antiqua" w:hAnsi="Book Antiqua"/>
          <w:spacing w:val="-3"/>
          <w:lang w:val="es-ES"/>
        </w:rPr>
        <w:t>, previo estudio y consideración</w:t>
      </w:r>
      <w:r w:rsidR="009F427F" w:rsidRPr="003E765A">
        <w:rPr>
          <w:rFonts w:ascii="Book Antiqua" w:hAnsi="Book Antiqua"/>
          <w:spacing w:val="-3"/>
          <w:lang w:val="es-ES"/>
        </w:rPr>
        <w:t xml:space="preserve"> del </w:t>
      </w:r>
      <w:r w:rsidR="004B5AC3" w:rsidRPr="003E765A">
        <w:rPr>
          <w:rFonts w:ascii="Book Antiqua" w:hAnsi="Book Antiqua"/>
          <w:spacing w:val="-3"/>
          <w:lang w:val="es-ES"/>
        </w:rPr>
        <w:t>Proyecto del Senado 507</w:t>
      </w:r>
      <w:r w:rsidR="001B5218" w:rsidRPr="003E765A">
        <w:rPr>
          <w:rFonts w:ascii="Book Antiqua" w:hAnsi="Book Antiqua"/>
          <w:spacing w:val="-3"/>
          <w:lang w:val="es-ES"/>
        </w:rPr>
        <w:t xml:space="preserve"> </w:t>
      </w:r>
      <w:r w:rsidR="009F427F" w:rsidRPr="003E765A">
        <w:rPr>
          <w:rFonts w:ascii="Book Antiqua" w:hAnsi="Book Antiqua"/>
          <w:spacing w:val="-3"/>
          <w:lang w:val="es-ES"/>
        </w:rPr>
        <w:t>recomienda a este Alto Cuerpo su</w:t>
      </w:r>
      <w:r w:rsidR="008E051A" w:rsidRPr="003E765A">
        <w:rPr>
          <w:rFonts w:ascii="Book Antiqua" w:hAnsi="Book Antiqua"/>
          <w:spacing w:val="-3"/>
          <w:lang w:val="es-ES"/>
        </w:rPr>
        <w:t xml:space="preserve"> </w:t>
      </w:r>
      <w:r w:rsidR="001B5218" w:rsidRPr="003E765A">
        <w:rPr>
          <w:rFonts w:ascii="Book Antiqua" w:hAnsi="Book Antiqua"/>
          <w:spacing w:val="-3"/>
          <w:lang w:val="es-ES"/>
        </w:rPr>
        <w:t>aprobación, con las enmiendas contenidas en el entirillado electrónico que se acompaña</w:t>
      </w:r>
      <w:r w:rsidR="004B5AC3" w:rsidRPr="003E765A">
        <w:rPr>
          <w:rFonts w:ascii="Book Antiqua" w:hAnsi="Book Antiqua"/>
          <w:spacing w:val="-3"/>
          <w:lang w:val="es-ES"/>
        </w:rPr>
        <w:t>.</w:t>
      </w:r>
    </w:p>
    <w:p w14:paraId="1C36686D" w14:textId="77777777" w:rsidR="000C52A1" w:rsidRPr="003E765A" w:rsidRDefault="000C52A1" w:rsidP="00D72149">
      <w:pPr>
        <w:suppressAutoHyphens/>
        <w:spacing w:line="276" w:lineRule="auto"/>
        <w:jc w:val="both"/>
        <w:rPr>
          <w:rFonts w:ascii="Book Antiqua" w:hAnsi="Book Antiqua"/>
          <w:spacing w:val="-3"/>
          <w:lang w:val="es-ES"/>
        </w:rPr>
      </w:pPr>
    </w:p>
    <w:p w14:paraId="632423B1" w14:textId="77777777" w:rsidR="0024131E" w:rsidRPr="003E765A" w:rsidRDefault="001B5218" w:rsidP="00D72149">
      <w:pPr>
        <w:tabs>
          <w:tab w:val="left" w:pos="-720"/>
        </w:tabs>
        <w:suppressAutoHyphens/>
        <w:spacing w:line="276" w:lineRule="auto"/>
        <w:jc w:val="center"/>
        <w:rPr>
          <w:rFonts w:ascii="Book Antiqua" w:hAnsi="Book Antiqua"/>
          <w:b/>
          <w:bCs/>
          <w:szCs w:val="24"/>
          <w:lang w:val="es-ES"/>
        </w:rPr>
      </w:pPr>
      <w:r w:rsidRPr="003E765A">
        <w:rPr>
          <w:rFonts w:ascii="Book Antiqua" w:hAnsi="Book Antiqua"/>
          <w:b/>
          <w:bCs/>
          <w:szCs w:val="24"/>
          <w:lang w:val="es-ES"/>
        </w:rPr>
        <w:t xml:space="preserve">ALCANCE DE LA MEDIDA </w:t>
      </w:r>
    </w:p>
    <w:p w14:paraId="5B5C79B2" w14:textId="77777777" w:rsidR="000C52A1" w:rsidRPr="003E765A" w:rsidRDefault="000C52A1" w:rsidP="00D72149">
      <w:pPr>
        <w:tabs>
          <w:tab w:val="left" w:pos="-720"/>
        </w:tabs>
        <w:suppressAutoHyphens/>
        <w:spacing w:line="276" w:lineRule="auto"/>
        <w:rPr>
          <w:rFonts w:ascii="Book Antiqua" w:hAnsi="Book Antiqua"/>
          <w:b/>
          <w:bCs/>
          <w:szCs w:val="24"/>
          <w:lang w:val="es-ES"/>
        </w:rPr>
      </w:pPr>
    </w:p>
    <w:p w14:paraId="7C7A3389" w14:textId="5C2E9E80" w:rsidR="006F51A8" w:rsidRPr="003E765A" w:rsidRDefault="009F427F"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1B5218" w:rsidRPr="003E765A">
        <w:rPr>
          <w:rFonts w:ascii="Book Antiqua" w:hAnsi="Book Antiqua"/>
          <w:lang w:val="es-ES"/>
        </w:rPr>
        <w:t xml:space="preserve">El Proyecto del Senado </w:t>
      </w:r>
      <w:r w:rsidR="004B5AC3" w:rsidRPr="003E765A">
        <w:rPr>
          <w:rFonts w:ascii="Book Antiqua" w:hAnsi="Book Antiqua"/>
          <w:lang w:val="es-ES"/>
        </w:rPr>
        <w:t>507</w:t>
      </w:r>
      <w:r w:rsidRPr="003E765A">
        <w:rPr>
          <w:rFonts w:ascii="Book Antiqua" w:hAnsi="Book Antiqua"/>
          <w:lang w:val="es-ES"/>
        </w:rPr>
        <w:t xml:space="preserve"> (en adelante, P. del S. </w:t>
      </w:r>
      <w:r w:rsidR="004B5AC3" w:rsidRPr="003E765A">
        <w:rPr>
          <w:rFonts w:ascii="Book Antiqua" w:hAnsi="Book Antiqua"/>
          <w:lang w:val="es-ES"/>
        </w:rPr>
        <w:t>507</w:t>
      </w:r>
      <w:r w:rsidR="005354C6" w:rsidRPr="003E765A">
        <w:rPr>
          <w:rFonts w:ascii="Book Antiqua" w:hAnsi="Book Antiqua"/>
          <w:lang w:val="es-ES"/>
        </w:rPr>
        <w:t>)</w:t>
      </w:r>
      <w:r w:rsidR="005354C6" w:rsidRPr="003E765A">
        <w:rPr>
          <w:rFonts w:ascii="Book Antiqua" w:hAnsi="Book Antiqua"/>
          <w:i/>
          <w:iCs/>
          <w:lang w:val="es-ES"/>
        </w:rPr>
        <w:t>,</w:t>
      </w:r>
      <w:r w:rsidR="001B5218" w:rsidRPr="003E765A">
        <w:rPr>
          <w:rFonts w:ascii="Book Antiqua" w:hAnsi="Book Antiqua"/>
          <w:lang w:val="es-ES"/>
        </w:rPr>
        <w:t xml:space="preserve"> según </w:t>
      </w:r>
      <w:r w:rsidR="005354C6" w:rsidRPr="003E765A">
        <w:rPr>
          <w:rFonts w:ascii="Book Antiqua" w:hAnsi="Book Antiqua"/>
          <w:lang w:val="es-ES"/>
        </w:rPr>
        <w:t>presentado</w:t>
      </w:r>
      <w:r w:rsidR="001B5218" w:rsidRPr="003E765A">
        <w:rPr>
          <w:rFonts w:ascii="Book Antiqua" w:hAnsi="Book Antiqua"/>
          <w:lang w:val="es-ES"/>
        </w:rPr>
        <w:t xml:space="preserve">, tiene como propósito </w:t>
      </w:r>
      <w:bookmarkStart w:id="4" w:name="_Hlk194438498"/>
      <w:r w:rsidR="00AF5E84" w:rsidRPr="003E765A">
        <w:rPr>
          <w:rFonts w:ascii="Book Antiqua" w:hAnsi="Book Antiqua"/>
          <w:lang w:val="es-ES"/>
        </w:rPr>
        <w:t>enmendar el Artículo 169 de la Ley Núm. 55-2020, según enmendada, conocida como “Código Civil de Puerto Rico de 2020”, a los fines de restituir el derecho de los abuelos y los tíos a relacionarse con los menores; y para otros fines relacionados.</w:t>
      </w:r>
    </w:p>
    <w:bookmarkEnd w:id="4"/>
    <w:p w14:paraId="771800BC" w14:textId="77777777" w:rsidR="00A06A16" w:rsidRPr="003E765A" w:rsidRDefault="00A06A16" w:rsidP="00D72149">
      <w:pPr>
        <w:tabs>
          <w:tab w:val="left" w:pos="-720"/>
        </w:tabs>
        <w:suppressAutoHyphens/>
        <w:spacing w:line="276" w:lineRule="auto"/>
        <w:ind w:firstLine="360"/>
        <w:jc w:val="center"/>
        <w:rPr>
          <w:rFonts w:ascii="Book Antiqua" w:hAnsi="Book Antiqua"/>
          <w:b/>
          <w:bCs/>
          <w:lang w:val="es-ES"/>
        </w:rPr>
      </w:pPr>
    </w:p>
    <w:p w14:paraId="6EE110C6" w14:textId="695AAC9E" w:rsidR="006F51A8" w:rsidRPr="003E765A" w:rsidRDefault="009F427F" w:rsidP="00D72149">
      <w:pPr>
        <w:tabs>
          <w:tab w:val="left" w:pos="-720"/>
        </w:tabs>
        <w:suppressAutoHyphens/>
        <w:spacing w:line="276" w:lineRule="auto"/>
        <w:ind w:firstLine="360"/>
        <w:jc w:val="center"/>
        <w:rPr>
          <w:rFonts w:ascii="Book Antiqua" w:hAnsi="Book Antiqua"/>
          <w:b/>
          <w:bCs/>
          <w:lang w:val="es-ES"/>
        </w:rPr>
      </w:pPr>
      <w:r w:rsidRPr="003E765A">
        <w:rPr>
          <w:rFonts w:ascii="Book Antiqua" w:hAnsi="Book Antiqua"/>
          <w:b/>
          <w:bCs/>
          <w:lang w:val="es-ES"/>
        </w:rPr>
        <w:t>ANÁLISIS DE LA MEDIDA</w:t>
      </w:r>
    </w:p>
    <w:p w14:paraId="6FD2A601" w14:textId="77777777" w:rsidR="000C52A1" w:rsidRPr="003E765A" w:rsidRDefault="000C52A1" w:rsidP="00D72149">
      <w:pPr>
        <w:tabs>
          <w:tab w:val="left" w:pos="-720"/>
        </w:tabs>
        <w:suppressAutoHyphens/>
        <w:spacing w:line="276" w:lineRule="auto"/>
        <w:ind w:firstLine="360"/>
        <w:jc w:val="center"/>
        <w:rPr>
          <w:rFonts w:ascii="Book Antiqua" w:hAnsi="Book Antiqua"/>
          <w:b/>
          <w:bCs/>
          <w:lang w:val="es-ES"/>
        </w:rPr>
      </w:pPr>
    </w:p>
    <w:p w14:paraId="07191A6B" w14:textId="5698B815" w:rsidR="003422B9" w:rsidRPr="003E765A" w:rsidRDefault="009F524F"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3422B9" w:rsidRPr="003E765A">
        <w:rPr>
          <w:rFonts w:ascii="Book Antiqua" w:hAnsi="Book Antiqua"/>
          <w:lang w:val="es-ES"/>
        </w:rPr>
        <w:t>El Artículo 619 del Código Civil de Puerto Rico de 2020 establece un marco legal para las relaciones de los menores con personas fuera de sus progenitores. Este artículo dicta que la decisión sobre con quién se relaciona un hijo, tanto dentro como fuera del núcleo familiar, recae principalmente en los padres que ejercen la patria potestad. Esta prerrogativa parental se considera un derecho fundamental y goza de una presunción de corrección.</w:t>
      </w:r>
    </w:p>
    <w:p w14:paraId="691731B7" w14:textId="49200E47" w:rsidR="003422B9" w:rsidRPr="003E765A" w:rsidRDefault="003422B9"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t xml:space="preserve">La intervención judicial en este derecho de los progenitores es restrictiva. Un tribunal solo puede interferir si se demuestra la existencia de intereses apremiantes, lo </w:t>
      </w:r>
      <w:r w:rsidRPr="003E765A">
        <w:rPr>
          <w:rFonts w:ascii="Book Antiqua" w:hAnsi="Book Antiqua"/>
          <w:lang w:val="es-ES"/>
        </w:rPr>
        <w:lastRenderedPageBreak/>
        <w:t>cual debe ser probado mediante evidencia robusta, clara y convincente. Si el tribunal determina la concesión de un derecho de visita, son los propios progenitores quienes deben planificar el tiempo, lugar y modo de estas relaciones, siempre priorizando el interés óptimo del menor. Al considerar la adjudicación de dicho derecho de visita, el tribunal también debe evaluar si esas relaciones familiares son importantes para el desarrollo integral del menor y si este ha estado bajo el cuidado temporal de otras personas.</w:t>
      </w:r>
    </w:p>
    <w:p w14:paraId="39DB382F" w14:textId="6BCB767D" w:rsidR="003422B9" w:rsidRPr="003E765A" w:rsidRDefault="00194556"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3422B9" w:rsidRPr="003E765A">
        <w:rPr>
          <w:rFonts w:ascii="Book Antiqua" w:hAnsi="Book Antiqua"/>
          <w:lang w:val="es-ES"/>
        </w:rPr>
        <w:t>Es crucial señalar que, a diferencia del derogado Código Civil de 1930,</w:t>
      </w:r>
      <w:r w:rsidR="001F59C6" w:rsidRPr="003E765A">
        <w:rPr>
          <w:rStyle w:val="FootnoteReference"/>
          <w:rFonts w:ascii="Book Antiqua" w:hAnsi="Book Antiqua"/>
          <w:lang w:val="es-ES"/>
        </w:rPr>
        <w:footnoteReference w:id="1"/>
      </w:r>
      <w:r w:rsidR="003422B9" w:rsidRPr="003E765A">
        <w:rPr>
          <w:rFonts w:ascii="Book Antiqua" w:hAnsi="Book Antiqua"/>
          <w:lang w:val="es-ES"/>
        </w:rPr>
        <w:t xml:space="preserve"> el Artículo 619 del Código Civil de 2020 no establece explícitamente un derecho de los abuelos y tíos a relacionarse con los menores. Bajo la ley actual, cualquier pariente interesado en visitas debe demostrar al tribunal la existencia de un </w:t>
      </w:r>
      <w:r w:rsidR="005D0F04" w:rsidRPr="003E765A">
        <w:rPr>
          <w:rFonts w:ascii="Book Antiqua" w:hAnsi="Book Antiqua"/>
          <w:lang w:val="es-ES"/>
        </w:rPr>
        <w:t>“</w:t>
      </w:r>
      <w:r w:rsidR="003422B9" w:rsidRPr="003E765A">
        <w:rPr>
          <w:rFonts w:ascii="Book Antiqua" w:hAnsi="Book Antiqua"/>
          <w:lang w:val="es-ES"/>
        </w:rPr>
        <w:t>interés apremiante</w:t>
      </w:r>
      <w:r w:rsidR="005D0F04" w:rsidRPr="003E765A">
        <w:rPr>
          <w:rFonts w:ascii="Book Antiqua" w:hAnsi="Book Antiqua"/>
          <w:lang w:val="es-ES"/>
        </w:rPr>
        <w:t>”</w:t>
      </w:r>
      <w:r w:rsidR="003422B9" w:rsidRPr="003E765A">
        <w:rPr>
          <w:rFonts w:ascii="Book Antiqua" w:hAnsi="Book Antiqua"/>
          <w:lang w:val="es-ES"/>
        </w:rPr>
        <w:t xml:space="preserve"> con prueba robusta, clara y convincente. Esta omisión ha sido señalada como una contradicción con el reconocimiento histórico del papel de los abuelos y tíos en la vida de los menores en Puerto Rico, especialmente en una sociedad donde la familia extendida es de suma importancia.</w:t>
      </w:r>
      <w:r w:rsidR="00A45A6A">
        <w:rPr>
          <w:rStyle w:val="FootnoteReference"/>
          <w:rFonts w:ascii="Book Antiqua" w:hAnsi="Book Antiqua"/>
          <w:lang w:val="es-ES"/>
        </w:rPr>
        <w:footnoteReference w:id="2"/>
      </w:r>
    </w:p>
    <w:p w14:paraId="7C66C57A" w14:textId="77777777" w:rsidR="00C1736B" w:rsidRPr="003E765A" w:rsidRDefault="005D0F04"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t>El</w:t>
      </w:r>
      <w:r w:rsidR="003422B9" w:rsidRPr="003E765A">
        <w:rPr>
          <w:rFonts w:ascii="Book Antiqua" w:hAnsi="Book Antiqua"/>
          <w:lang w:val="es-ES"/>
        </w:rPr>
        <w:t xml:space="preserve"> Proyecto del Senado 507 busca restituir y fortalecer este derecho para abuelos y tíos mediante la adición de un nuevo Artículo 619A al Código Civil de 2020. Esta modificación se alinea con la jurisprudencia, como el caso </w:t>
      </w:r>
      <w:r w:rsidR="003422B9" w:rsidRPr="003E765A">
        <w:rPr>
          <w:rFonts w:ascii="Book Antiqua" w:hAnsi="Book Antiqua"/>
          <w:i/>
          <w:iCs/>
          <w:lang w:val="es-ES"/>
        </w:rPr>
        <w:t>Rexach vs. Ramírez Vélez</w:t>
      </w:r>
      <w:r w:rsidR="00C1736B" w:rsidRPr="003E765A">
        <w:rPr>
          <w:rFonts w:ascii="Book Antiqua" w:hAnsi="Book Antiqua"/>
          <w:i/>
          <w:iCs/>
          <w:lang w:val="es-ES"/>
        </w:rPr>
        <w:t>,</w:t>
      </w:r>
      <w:r w:rsidR="003422B9" w:rsidRPr="003E765A">
        <w:rPr>
          <w:rFonts w:ascii="Book Antiqua" w:hAnsi="Book Antiqua"/>
          <w:i/>
          <w:iCs/>
          <w:lang w:val="es-ES"/>
        </w:rPr>
        <w:t xml:space="preserve"> </w:t>
      </w:r>
      <w:r w:rsidR="00D45B38" w:rsidRPr="003E765A">
        <w:rPr>
          <w:rFonts w:ascii="Book Antiqua" w:hAnsi="Book Antiqua"/>
          <w:i/>
          <w:iCs/>
          <w:lang w:val="es-ES"/>
        </w:rPr>
        <w:lastRenderedPageBreak/>
        <w:t>2004 TSPR 97</w:t>
      </w:r>
      <w:r w:rsidR="003422B9" w:rsidRPr="003E765A">
        <w:rPr>
          <w:rFonts w:ascii="Book Antiqua" w:hAnsi="Book Antiqua"/>
          <w:lang w:val="es-ES"/>
        </w:rPr>
        <w:t>, que ya había establecido la legitimación de los abuelos para solicitar visitas y los criterios que los tribunales debían considerar para decidir en el mejor interés del menor. La Ley 32-2012, que enmendó el Código Civil de 1930, ya había extendido estas protecciones a los tíos, permitiéndoles solicitar visitas a sus sobrinos.</w:t>
      </w:r>
      <w:r w:rsidR="00C1736B" w:rsidRPr="003E765A">
        <w:rPr>
          <w:rStyle w:val="FootnoteReference"/>
          <w:rFonts w:ascii="Book Antiqua" w:hAnsi="Book Antiqua"/>
          <w:lang w:val="es-ES"/>
        </w:rPr>
        <w:footnoteReference w:id="3"/>
      </w:r>
      <w:r w:rsidR="003422B9" w:rsidRPr="003E765A">
        <w:rPr>
          <w:rFonts w:ascii="Book Antiqua" w:hAnsi="Book Antiqua"/>
          <w:lang w:val="es-ES"/>
        </w:rPr>
        <w:t xml:space="preserve"> </w:t>
      </w:r>
    </w:p>
    <w:p w14:paraId="7A21EE65" w14:textId="0DB2E1D8" w:rsidR="006239E8" w:rsidRPr="003E765A" w:rsidRDefault="00C1736B"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3422B9" w:rsidRPr="003E765A">
        <w:rPr>
          <w:rFonts w:ascii="Book Antiqua" w:hAnsi="Book Antiqua"/>
          <w:lang w:val="es-ES"/>
        </w:rPr>
        <w:t>Por tanto, la introducción del Artículo 619A busca atemperar el Código Civil actual con esta jurisprudencia y reconocer el papel esencial de estos familiares en el desarrollo saludable de los menores, promoviendo la unidad familiar.</w:t>
      </w:r>
    </w:p>
    <w:p w14:paraId="634BDB99" w14:textId="1BCF9852" w:rsidR="00393CA6" w:rsidRPr="003E765A" w:rsidRDefault="009F524F"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9154BD" w:rsidRPr="003E765A">
        <w:rPr>
          <w:rFonts w:ascii="Book Antiqua" w:hAnsi="Book Antiqua"/>
          <w:lang w:val="es-ES"/>
        </w:rPr>
        <w:t xml:space="preserve">La </w:t>
      </w:r>
      <w:r w:rsidR="000C5B91" w:rsidRPr="003E765A">
        <w:rPr>
          <w:rFonts w:ascii="Book Antiqua" w:hAnsi="Book Antiqua"/>
          <w:spacing w:val="-3"/>
          <w:lang w:val="es-ES"/>
        </w:rPr>
        <w:t>Comisión de lo Jurídico del Senado de Puerto Rico</w:t>
      </w:r>
      <w:r w:rsidR="009154BD" w:rsidRPr="003E765A">
        <w:rPr>
          <w:rFonts w:ascii="Book Antiqua" w:hAnsi="Book Antiqua"/>
          <w:spacing w:val="-3"/>
          <w:lang w:val="es-ES"/>
        </w:rPr>
        <w:t xml:space="preserve">, como parte del estudio y evaluación del </w:t>
      </w:r>
      <w:r w:rsidR="00C1736B" w:rsidRPr="003E765A">
        <w:rPr>
          <w:rFonts w:ascii="Book Antiqua" w:hAnsi="Book Antiqua"/>
          <w:spacing w:val="-3"/>
          <w:lang w:val="es-ES"/>
        </w:rPr>
        <w:t>P. del S. 507</w:t>
      </w:r>
      <w:r w:rsidR="00481C39" w:rsidRPr="003E765A">
        <w:rPr>
          <w:rFonts w:ascii="Book Antiqua" w:hAnsi="Book Antiqua"/>
          <w:lang w:val="es-ES"/>
        </w:rPr>
        <w:t xml:space="preserve"> </w:t>
      </w:r>
      <w:r w:rsidRPr="003E765A">
        <w:rPr>
          <w:rFonts w:ascii="Book Antiqua" w:hAnsi="Book Antiqua"/>
          <w:lang w:val="es-ES"/>
        </w:rPr>
        <w:t>recibió</w:t>
      </w:r>
      <w:r w:rsidR="006D5838" w:rsidRPr="003E765A">
        <w:rPr>
          <w:rFonts w:ascii="Book Antiqua" w:hAnsi="Book Antiqua"/>
          <w:lang w:val="es-ES"/>
        </w:rPr>
        <w:t xml:space="preserve"> memoriales explicativos</w:t>
      </w:r>
      <w:r w:rsidR="009154BD" w:rsidRPr="003E765A">
        <w:rPr>
          <w:rFonts w:ascii="Book Antiqua" w:hAnsi="Book Antiqua"/>
          <w:lang w:val="es-ES"/>
        </w:rPr>
        <w:t xml:space="preserve"> a las siguientes agencias y entidades</w:t>
      </w:r>
      <w:r w:rsidR="009313EE" w:rsidRPr="003E765A">
        <w:rPr>
          <w:rFonts w:ascii="Book Antiqua" w:hAnsi="Book Antiqua"/>
          <w:lang w:val="es-ES"/>
        </w:rPr>
        <w:t>:</w:t>
      </w:r>
      <w:r w:rsidR="00393CA6" w:rsidRPr="003E765A">
        <w:rPr>
          <w:rFonts w:ascii="Book Antiqua" w:hAnsi="Book Antiqua"/>
          <w:lang w:val="es-ES"/>
        </w:rPr>
        <w:t xml:space="preserve"> </w:t>
      </w:r>
      <w:r w:rsidR="00C1736B" w:rsidRPr="003E765A">
        <w:rPr>
          <w:rFonts w:ascii="Book Antiqua" w:hAnsi="Book Antiqua"/>
          <w:lang w:val="es-ES"/>
        </w:rPr>
        <w:t xml:space="preserve">Departamento de la Familia y la Administración de Servicios de Salud Mental y Contra la Adicción. </w:t>
      </w:r>
      <w:r w:rsidR="006D5838" w:rsidRPr="003E765A">
        <w:rPr>
          <w:rFonts w:ascii="Book Antiqua" w:hAnsi="Book Antiqua"/>
          <w:lang w:val="es-ES"/>
        </w:rPr>
        <w:t xml:space="preserve"> </w:t>
      </w:r>
    </w:p>
    <w:p w14:paraId="7D81C205" w14:textId="0A79EB58" w:rsidR="006D5838" w:rsidRPr="003E765A" w:rsidRDefault="009F524F"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9154BD" w:rsidRPr="003E765A">
        <w:rPr>
          <w:rFonts w:ascii="Book Antiqua" w:hAnsi="Book Antiqua"/>
          <w:lang w:val="es-ES"/>
        </w:rPr>
        <w:t xml:space="preserve">A continuación, se expone </w:t>
      </w:r>
      <w:r w:rsidR="004F6E72" w:rsidRPr="003E765A">
        <w:rPr>
          <w:rFonts w:ascii="Book Antiqua" w:hAnsi="Book Antiqua"/>
          <w:lang w:val="es-ES"/>
        </w:rPr>
        <w:t>lo expresado por estas</w:t>
      </w:r>
      <w:r w:rsidR="00334935" w:rsidRPr="003E765A">
        <w:rPr>
          <w:rFonts w:ascii="Book Antiqua" w:hAnsi="Book Antiqua"/>
          <w:lang w:val="es-ES"/>
        </w:rPr>
        <w:t xml:space="preserve"> </w:t>
      </w:r>
      <w:r w:rsidR="00186AB6" w:rsidRPr="003E765A">
        <w:rPr>
          <w:rFonts w:ascii="Book Antiqua" w:hAnsi="Book Antiqua"/>
          <w:lang w:val="es-ES"/>
        </w:rPr>
        <w:t xml:space="preserve">entidades </w:t>
      </w:r>
      <w:r w:rsidR="00334935" w:rsidRPr="003E765A">
        <w:rPr>
          <w:rFonts w:ascii="Book Antiqua" w:hAnsi="Book Antiqua"/>
          <w:lang w:val="es-ES"/>
        </w:rPr>
        <w:t>gubernamentales</w:t>
      </w:r>
      <w:r w:rsidR="004F6E72" w:rsidRPr="003E765A">
        <w:rPr>
          <w:rFonts w:ascii="Book Antiqua" w:hAnsi="Book Antiqua"/>
          <w:lang w:val="es-ES"/>
        </w:rPr>
        <w:t>.</w:t>
      </w:r>
    </w:p>
    <w:p w14:paraId="645A7A37" w14:textId="77777777" w:rsidR="00A52CD9" w:rsidRPr="003E765A" w:rsidRDefault="00A52CD9" w:rsidP="00D72149">
      <w:pPr>
        <w:tabs>
          <w:tab w:val="left" w:pos="-720"/>
        </w:tabs>
        <w:suppressAutoHyphens/>
        <w:spacing w:line="276" w:lineRule="auto"/>
        <w:jc w:val="both"/>
        <w:rPr>
          <w:rFonts w:ascii="Book Antiqua" w:hAnsi="Book Antiqua"/>
          <w:b/>
          <w:bCs/>
          <w:u w:val="single"/>
          <w:lang w:val="es-ES"/>
        </w:rPr>
      </w:pPr>
    </w:p>
    <w:p w14:paraId="59FCBAD8" w14:textId="2DC34CAE" w:rsidR="00867243" w:rsidRPr="003E765A" w:rsidRDefault="005713A1" w:rsidP="00D72149">
      <w:pPr>
        <w:tabs>
          <w:tab w:val="left" w:pos="-720"/>
        </w:tabs>
        <w:suppressAutoHyphens/>
        <w:spacing w:line="276" w:lineRule="auto"/>
        <w:jc w:val="center"/>
        <w:rPr>
          <w:rFonts w:ascii="Book Antiqua" w:hAnsi="Book Antiqua"/>
          <w:b/>
          <w:bCs/>
          <w:lang w:val="es-ES"/>
        </w:rPr>
      </w:pPr>
      <w:r w:rsidRPr="003E765A">
        <w:rPr>
          <w:rFonts w:ascii="Book Antiqua" w:hAnsi="Book Antiqua"/>
          <w:b/>
          <w:bCs/>
          <w:lang w:val="es-ES"/>
        </w:rPr>
        <w:t>ADMINISTRACIÓN DE SERVICIOS DE SALUD MENTAL Y CONTRA LA ADICCIÓN</w:t>
      </w:r>
    </w:p>
    <w:p w14:paraId="66F4C638" w14:textId="77777777" w:rsidR="005713A1" w:rsidRPr="003E765A" w:rsidRDefault="005713A1" w:rsidP="00D72149">
      <w:pPr>
        <w:tabs>
          <w:tab w:val="left" w:pos="-720"/>
        </w:tabs>
        <w:suppressAutoHyphens/>
        <w:spacing w:line="276" w:lineRule="auto"/>
        <w:jc w:val="both"/>
        <w:rPr>
          <w:rFonts w:ascii="Book Antiqua" w:hAnsi="Book Antiqua"/>
          <w:b/>
          <w:bCs/>
          <w:lang w:val="es-ES"/>
        </w:rPr>
      </w:pPr>
    </w:p>
    <w:p w14:paraId="6FD3AA5E" w14:textId="38618D79" w:rsidR="005713A1" w:rsidRPr="003E765A" w:rsidRDefault="005713A1" w:rsidP="00D72149">
      <w:pPr>
        <w:tabs>
          <w:tab w:val="left" w:pos="-720"/>
        </w:tabs>
        <w:suppressAutoHyphens/>
        <w:spacing w:line="276" w:lineRule="auto"/>
        <w:jc w:val="both"/>
        <w:rPr>
          <w:rFonts w:ascii="Book Antiqua" w:hAnsi="Book Antiqua"/>
          <w:lang w:val="es-ES"/>
        </w:rPr>
      </w:pPr>
      <w:r w:rsidRPr="003E765A">
        <w:rPr>
          <w:rFonts w:ascii="Book Antiqua" w:hAnsi="Book Antiqua"/>
          <w:lang w:val="es-ES"/>
        </w:rPr>
        <w:tab/>
        <w:t>La ASSMCA subraya el valor incalculable de la familia extendida en la cultura de Puerto Rico y América Latina, donde los abuelos y los tíos mantienen relaciones afectivas y cercanas con los niños. Explica que los abuelos aportan valores, cultura y sabiduría por sus experiencias de vida, protegen las tradiciones familiares y son una fuente constante de comprensión y consuelo en momentos difíciles, lo que brinda estabilidad emocional a los niños, especialmente en circunstancias adversas. Además, fortalecen un sentido de continuidad familiar y el respeto por los adultos mayores. Por su parte, los tíos constituyen una red de apoyo emocional y social distinta pero igualmente significativa para los menores, ofreciendo un entorno seguro para que se expresen libremente y sirviendo como modelos de estilos de vida y profesiones, influyendo positivamente en la formación del carácter e intereses. Las tías, al igual que las abuelas, pueden ofrecer estabilidad, mediación e incluso cuidado temporal en situaciones de conflicto familiar.</w:t>
      </w:r>
    </w:p>
    <w:p w14:paraId="3E3910AB" w14:textId="77777777" w:rsidR="003A3583" w:rsidRPr="003E765A" w:rsidRDefault="003A3583" w:rsidP="00D72149">
      <w:pPr>
        <w:tabs>
          <w:tab w:val="left" w:pos="-720"/>
        </w:tabs>
        <w:suppressAutoHyphens/>
        <w:spacing w:line="276" w:lineRule="auto"/>
        <w:jc w:val="both"/>
        <w:rPr>
          <w:rFonts w:ascii="Book Antiqua" w:hAnsi="Book Antiqua"/>
          <w:lang w:val="es-ES"/>
        </w:rPr>
      </w:pPr>
    </w:p>
    <w:p w14:paraId="164CBBBF" w14:textId="4BECB2CA" w:rsidR="003A3583" w:rsidRPr="003E765A" w:rsidRDefault="003A3583" w:rsidP="00D72149">
      <w:pPr>
        <w:tabs>
          <w:tab w:val="left" w:pos="-720"/>
        </w:tabs>
        <w:suppressAutoHyphens/>
        <w:spacing w:line="276" w:lineRule="auto"/>
        <w:jc w:val="center"/>
        <w:rPr>
          <w:rFonts w:ascii="Book Antiqua" w:hAnsi="Book Antiqua"/>
          <w:b/>
          <w:bCs/>
          <w:lang w:val="es-ES"/>
        </w:rPr>
      </w:pPr>
      <w:r w:rsidRPr="003E765A">
        <w:rPr>
          <w:rFonts w:ascii="Book Antiqua" w:hAnsi="Book Antiqua"/>
          <w:b/>
          <w:bCs/>
          <w:lang w:val="es-ES"/>
        </w:rPr>
        <w:t>DEPARTAMENTO DE LA FAMILIA</w:t>
      </w:r>
    </w:p>
    <w:p w14:paraId="444FFEBF" w14:textId="77777777" w:rsidR="003A3583" w:rsidRPr="003E765A" w:rsidRDefault="003A3583" w:rsidP="00D72149">
      <w:pPr>
        <w:tabs>
          <w:tab w:val="left" w:pos="-720"/>
        </w:tabs>
        <w:suppressAutoHyphens/>
        <w:spacing w:line="276" w:lineRule="auto"/>
        <w:jc w:val="both"/>
        <w:rPr>
          <w:rFonts w:ascii="Book Antiqua" w:hAnsi="Book Antiqua"/>
          <w:lang w:val="es-ES"/>
        </w:rPr>
      </w:pPr>
    </w:p>
    <w:p w14:paraId="4D12CB29" w14:textId="3D26E4E2" w:rsidR="00636C4D" w:rsidRPr="003E765A" w:rsidRDefault="003A3583" w:rsidP="00D72149">
      <w:pPr>
        <w:tabs>
          <w:tab w:val="left" w:pos="-720"/>
        </w:tabs>
        <w:suppressAutoHyphens/>
        <w:spacing w:line="276" w:lineRule="auto"/>
        <w:jc w:val="both"/>
        <w:rPr>
          <w:rFonts w:ascii="Book Antiqua" w:hAnsi="Book Antiqua"/>
          <w:lang w:val="es-ES"/>
        </w:rPr>
      </w:pPr>
      <w:r w:rsidRPr="003E765A">
        <w:rPr>
          <w:rFonts w:ascii="Book Antiqua" w:hAnsi="Book Antiqua"/>
          <w:lang w:val="es-ES"/>
        </w:rPr>
        <w:tab/>
      </w:r>
      <w:r w:rsidR="005713A1" w:rsidRPr="003E765A">
        <w:rPr>
          <w:rFonts w:ascii="Book Antiqua" w:hAnsi="Book Antiqua"/>
          <w:lang w:val="es-ES"/>
        </w:rPr>
        <w:t>El Departamento de la Familia coincide con la importancia de estas relaciones para el desarrollo integral de los menores. Señala que, en muchas ocasiones, los abuelos y tíos actúan como cuidadores primarios, y mantener a los menores con parientes permite conservar vínculos familiares y recibir apoyo. Destaca que la Administración de Familias y Niños (ADFAN) ya considera a abuelos y tíos para la custodia de menores protegidos cuando el retorno al hogar no es viable, siempre que sean aptos y sea en el mejor interés del menor. Incluso, la agencia cuenta con una línea de orientación y apoyo para abuelos que crían a sus nietos.</w:t>
      </w:r>
      <w:r w:rsidR="00003715" w:rsidRPr="003E765A">
        <w:rPr>
          <w:rFonts w:ascii="Book Antiqua" w:hAnsi="Book Antiqua"/>
          <w:lang w:val="es-ES"/>
        </w:rPr>
        <w:t xml:space="preserve"> El Departamento de la Familia, además, recomienda eliminar la distinción sobre menores nacidos de relaciones extramatrimoniales en el texto propuesto, ya que en la actualidad no debe existir diferencia legal en el derecho del menor a relacionarse con su familia, priorizando siempre su mejor bienestar. En esencia, ambas agencias consideran que la aprobación del P. del S. 507 es un paso fundamental para fortalecer el núcleo familiar y la protección de los menores en Puerto Rico.</w:t>
      </w:r>
    </w:p>
    <w:p w14:paraId="35931FC5" w14:textId="77777777" w:rsidR="00940E84" w:rsidRPr="003E765A" w:rsidRDefault="00940E84" w:rsidP="00D72149">
      <w:pPr>
        <w:tabs>
          <w:tab w:val="left" w:pos="-720"/>
        </w:tabs>
        <w:suppressAutoHyphens/>
        <w:spacing w:line="276" w:lineRule="auto"/>
        <w:jc w:val="both"/>
        <w:rPr>
          <w:rFonts w:ascii="Book Antiqua" w:hAnsi="Book Antiqua"/>
          <w:lang w:val="es-ES"/>
        </w:rPr>
      </w:pPr>
    </w:p>
    <w:p w14:paraId="302CAC3A" w14:textId="141F50AB" w:rsidR="00D13D23" w:rsidRPr="003E765A" w:rsidRDefault="0096171F" w:rsidP="00D72149">
      <w:pPr>
        <w:tabs>
          <w:tab w:val="left" w:pos="-720"/>
        </w:tabs>
        <w:suppressAutoHyphens/>
        <w:spacing w:line="276" w:lineRule="auto"/>
        <w:ind w:firstLine="360"/>
        <w:jc w:val="center"/>
        <w:rPr>
          <w:rFonts w:ascii="Book Antiqua" w:hAnsi="Book Antiqua"/>
          <w:b/>
          <w:bCs/>
          <w:lang w:val="es-ES"/>
        </w:rPr>
      </w:pPr>
      <w:r w:rsidRPr="003E765A">
        <w:rPr>
          <w:rFonts w:ascii="Book Antiqua" w:hAnsi="Book Antiqua"/>
          <w:b/>
          <w:bCs/>
          <w:lang w:val="es-ES"/>
        </w:rPr>
        <w:t>I</w:t>
      </w:r>
      <w:r w:rsidR="002C402D" w:rsidRPr="003E765A">
        <w:rPr>
          <w:rFonts w:ascii="Book Antiqua" w:hAnsi="Book Antiqua"/>
          <w:b/>
          <w:bCs/>
          <w:lang w:val="es-ES"/>
        </w:rPr>
        <w:t>MPACTO FISCAL</w:t>
      </w:r>
      <w:r w:rsidR="00D13D23" w:rsidRPr="003E765A">
        <w:rPr>
          <w:rFonts w:ascii="Book Antiqua" w:hAnsi="Book Antiqua"/>
          <w:b/>
          <w:bCs/>
          <w:lang w:val="es-ES"/>
        </w:rPr>
        <w:t xml:space="preserve"> MUNICIPAL </w:t>
      </w:r>
    </w:p>
    <w:p w14:paraId="144378DC" w14:textId="77777777" w:rsidR="000C52A1" w:rsidRPr="003E765A" w:rsidRDefault="000C52A1" w:rsidP="00D72149">
      <w:pPr>
        <w:tabs>
          <w:tab w:val="left" w:pos="-720"/>
        </w:tabs>
        <w:suppressAutoHyphens/>
        <w:spacing w:line="276" w:lineRule="auto"/>
        <w:ind w:firstLine="360"/>
        <w:jc w:val="center"/>
        <w:rPr>
          <w:rFonts w:ascii="Book Antiqua" w:hAnsi="Book Antiqua"/>
          <w:b/>
          <w:bCs/>
          <w:lang w:val="es-ES"/>
        </w:rPr>
      </w:pPr>
    </w:p>
    <w:p w14:paraId="3CD7EB56" w14:textId="418B666F" w:rsidR="002C402D" w:rsidRPr="003E765A" w:rsidRDefault="004F6E72"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D13D23" w:rsidRPr="003E765A">
        <w:rPr>
          <w:rFonts w:ascii="Book Antiqua" w:hAnsi="Book Antiqua"/>
          <w:lang w:val="es-ES"/>
        </w:rPr>
        <w:t xml:space="preserve">En cumplimiento con el Artículo 1.007 de la Ley Núm. 107–2020, según enmendada, conocida como “Código Municipal de Puerto Rico”, la </w:t>
      </w:r>
      <w:r w:rsidR="00BE6740" w:rsidRPr="003E765A">
        <w:rPr>
          <w:rFonts w:ascii="Book Antiqua" w:hAnsi="Book Antiqua"/>
          <w:spacing w:val="-3"/>
          <w:lang w:val="es-ES"/>
        </w:rPr>
        <w:t>Comisión de lo Jurídico del Senado de Puerto Rico</w:t>
      </w:r>
      <w:r w:rsidR="00BE6740" w:rsidRPr="003E765A">
        <w:rPr>
          <w:rFonts w:ascii="Book Antiqua" w:hAnsi="Book Antiqua"/>
          <w:lang w:val="es-ES"/>
        </w:rPr>
        <w:t xml:space="preserve"> </w:t>
      </w:r>
      <w:r w:rsidRPr="003E765A">
        <w:rPr>
          <w:rFonts w:ascii="Book Antiqua" w:hAnsi="Book Antiqua"/>
          <w:lang w:val="es-ES"/>
        </w:rPr>
        <w:t xml:space="preserve">certifica que el </w:t>
      </w:r>
      <w:r w:rsidR="00201567" w:rsidRPr="003E765A">
        <w:rPr>
          <w:rFonts w:ascii="Book Antiqua" w:hAnsi="Book Antiqua"/>
          <w:lang w:val="es-ES"/>
        </w:rPr>
        <w:t xml:space="preserve">P. del S. </w:t>
      </w:r>
      <w:r w:rsidR="000461A9" w:rsidRPr="003E765A">
        <w:rPr>
          <w:rFonts w:ascii="Book Antiqua" w:hAnsi="Book Antiqua"/>
          <w:lang w:val="es-ES"/>
        </w:rPr>
        <w:t>507</w:t>
      </w:r>
      <w:r w:rsidR="00201567" w:rsidRPr="003E765A">
        <w:rPr>
          <w:rFonts w:ascii="Book Antiqua" w:hAnsi="Book Antiqua"/>
          <w:lang w:val="es-ES"/>
        </w:rPr>
        <w:t xml:space="preserve"> </w:t>
      </w:r>
      <w:r w:rsidR="00D13D23" w:rsidRPr="003E765A">
        <w:rPr>
          <w:rFonts w:ascii="Book Antiqua" w:hAnsi="Book Antiqua"/>
          <w:lang w:val="es-ES"/>
        </w:rPr>
        <w:t>no impone una obligación económica en el presupuesto</w:t>
      </w:r>
      <w:r w:rsidR="00946BB4" w:rsidRPr="003E765A">
        <w:rPr>
          <w:rFonts w:ascii="Book Antiqua" w:hAnsi="Book Antiqua"/>
          <w:lang w:val="es-ES"/>
        </w:rPr>
        <w:t xml:space="preserve"> de los gobiernos municipales. </w:t>
      </w:r>
    </w:p>
    <w:p w14:paraId="426C19E9" w14:textId="77777777" w:rsidR="00946BB4" w:rsidRPr="003E765A" w:rsidRDefault="00946BB4" w:rsidP="00D72149">
      <w:pPr>
        <w:tabs>
          <w:tab w:val="left" w:pos="-720"/>
        </w:tabs>
        <w:suppressAutoHyphens/>
        <w:spacing w:line="276" w:lineRule="auto"/>
        <w:ind w:firstLine="360"/>
        <w:jc w:val="both"/>
        <w:rPr>
          <w:rFonts w:ascii="Book Antiqua" w:hAnsi="Book Antiqua"/>
          <w:lang w:val="es-ES"/>
        </w:rPr>
      </w:pPr>
    </w:p>
    <w:p w14:paraId="482AC70D" w14:textId="77777777" w:rsidR="0096171F" w:rsidRPr="003E765A" w:rsidRDefault="0096171F" w:rsidP="00D72149">
      <w:pPr>
        <w:tabs>
          <w:tab w:val="left" w:pos="-720"/>
        </w:tabs>
        <w:suppressAutoHyphens/>
        <w:spacing w:line="276" w:lineRule="auto"/>
        <w:ind w:firstLine="360"/>
        <w:jc w:val="center"/>
        <w:rPr>
          <w:rFonts w:ascii="Book Antiqua" w:hAnsi="Book Antiqua"/>
          <w:b/>
          <w:bCs/>
          <w:lang w:val="es-ES"/>
        </w:rPr>
      </w:pPr>
      <w:r w:rsidRPr="003E765A">
        <w:rPr>
          <w:rFonts w:ascii="Book Antiqua" w:hAnsi="Book Antiqua"/>
          <w:b/>
          <w:bCs/>
          <w:lang w:val="es-ES"/>
        </w:rPr>
        <w:t>C</w:t>
      </w:r>
      <w:r w:rsidR="002C402D" w:rsidRPr="003E765A">
        <w:rPr>
          <w:rFonts w:ascii="Book Antiqua" w:hAnsi="Book Antiqua"/>
          <w:b/>
          <w:bCs/>
          <w:lang w:val="es-ES"/>
        </w:rPr>
        <w:t xml:space="preserve">ONCLUSIÓN </w:t>
      </w:r>
    </w:p>
    <w:p w14:paraId="040801D3" w14:textId="77777777" w:rsidR="000C52A1" w:rsidRPr="003E765A" w:rsidRDefault="000C52A1" w:rsidP="00D72149">
      <w:pPr>
        <w:tabs>
          <w:tab w:val="left" w:pos="-720"/>
        </w:tabs>
        <w:suppressAutoHyphens/>
        <w:spacing w:line="276" w:lineRule="auto"/>
        <w:ind w:firstLine="360"/>
        <w:jc w:val="center"/>
        <w:rPr>
          <w:rFonts w:ascii="Book Antiqua" w:hAnsi="Book Antiqua"/>
          <w:b/>
          <w:bCs/>
          <w:lang w:val="es-ES"/>
        </w:rPr>
      </w:pPr>
    </w:p>
    <w:p w14:paraId="2D81B2DA" w14:textId="660C1039" w:rsidR="000B071A" w:rsidRPr="003E765A" w:rsidRDefault="00006DDC"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t xml:space="preserve">La </w:t>
      </w:r>
      <w:r w:rsidR="00F86C0C" w:rsidRPr="003E765A">
        <w:rPr>
          <w:rFonts w:ascii="Book Antiqua" w:hAnsi="Book Antiqua"/>
          <w:spacing w:val="-3"/>
          <w:lang w:val="es-ES"/>
        </w:rPr>
        <w:t>Comisión de lo Jurídico del Senado de Puerto Rico</w:t>
      </w:r>
      <w:r w:rsidR="006C283C" w:rsidRPr="003E765A">
        <w:rPr>
          <w:rFonts w:ascii="Book Antiqua" w:hAnsi="Book Antiqua"/>
          <w:lang w:val="es-ES"/>
        </w:rPr>
        <w:t xml:space="preserve"> </w:t>
      </w:r>
      <w:r w:rsidR="004F6E72" w:rsidRPr="003E765A">
        <w:rPr>
          <w:rFonts w:ascii="Book Antiqua" w:hAnsi="Book Antiqua"/>
          <w:lang w:val="es-ES"/>
        </w:rPr>
        <w:t xml:space="preserve">efectuó un análisis minucioso </w:t>
      </w:r>
      <w:r w:rsidR="00201567" w:rsidRPr="003E765A">
        <w:rPr>
          <w:rFonts w:ascii="Book Antiqua" w:hAnsi="Book Antiqua"/>
          <w:lang w:val="es-ES"/>
        </w:rPr>
        <w:t xml:space="preserve">del P. del S. </w:t>
      </w:r>
      <w:r w:rsidR="000461A9" w:rsidRPr="003E765A">
        <w:rPr>
          <w:rFonts w:ascii="Book Antiqua" w:hAnsi="Book Antiqua"/>
          <w:lang w:val="es-ES"/>
        </w:rPr>
        <w:t>507,</w:t>
      </w:r>
      <w:r w:rsidR="00B702A0" w:rsidRPr="003E765A">
        <w:rPr>
          <w:rFonts w:ascii="Book Antiqua" w:hAnsi="Book Antiqua"/>
          <w:lang w:val="es-ES"/>
        </w:rPr>
        <w:t xml:space="preserve"> según fue referid</w:t>
      </w:r>
      <w:r w:rsidR="00201567" w:rsidRPr="003E765A">
        <w:rPr>
          <w:rFonts w:ascii="Book Antiqua" w:hAnsi="Book Antiqua"/>
          <w:lang w:val="es-ES"/>
        </w:rPr>
        <w:t>o</w:t>
      </w:r>
      <w:r w:rsidR="001D12A7" w:rsidRPr="003E765A">
        <w:rPr>
          <w:rFonts w:ascii="Book Antiqua" w:hAnsi="Book Antiqua"/>
          <w:lang w:val="es-ES"/>
        </w:rPr>
        <w:t>,</w:t>
      </w:r>
      <w:r w:rsidR="00B702A0" w:rsidRPr="003E765A">
        <w:rPr>
          <w:rFonts w:ascii="Book Antiqua" w:hAnsi="Book Antiqua"/>
          <w:lang w:val="es-ES"/>
        </w:rPr>
        <w:t xml:space="preserve"> también analiz</w:t>
      </w:r>
      <w:r w:rsidR="005354C6" w:rsidRPr="003E765A">
        <w:rPr>
          <w:rFonts w:ascii="Book Antiqua" w:hAnsi="Book Antiqua"/>
          <w:lang w:val="es-ES"/>
        </w:rPr>
        <w:t>ó</w:t>
      </w:r>
      <w:r w:rsidR="00B702A0" w:rsidRPr="003E765A">
        <w:rPr>
          <w:rFonts w:ascii="Book Antiqua" w:hAnsi="Book Antiqua"/>
          <w:lang w:val="es-ES"/>
        </w:rPr>
        <w:t xml:space="preserve"> </w:t>
      </w:r>
      <w:r w:rsidR="000461A9" w:rsidRPr="003E765A">
        <w:rPr>
          <w:rFonts w:ascii="Book Antiqua" w:hAnsi="Book Antiqua"/>
          <w:lang w:val="es-ES"/>
        </w:rPr>
        <w:t xml:space="preserve">el Código Civil de Puerto Rico de 2020 y el derogado Código Civil de 1930, al igual que la jurisprudencia aplicable y </w:t>
      </w:r>
      <w:r w:rsidR="00B7276A" w:rsidRPr="003E765A">
        <w:rPr>
          <w:rFonts w:ascii="Book Antiqua" w:hAnsi="Book Antiqua"/>
          <w:lang w:val="es-ES"/>
        </w:rPr>
        <w:t xml:space="preserve">los memoriales recibidos. </w:t>
      </w:r>
    </w:p>
    <w:p w14:paraId="7BDD79F8" w14:textId="19E763EB" w:rsidR="00A12823" w:rsidRPr="003E765A" w:rsidRDefault="00B7276A" w:rsidP="00D72149">
      <w:pPr>
        <w:tabs>
          <w:tab w:val="left" w:pos="-720"/>
        </w:tabs>
        <w:suppressAutoHyphens/>
        <w:spacing w:line="276" w:lineRule="auto"/>
        <w:ind w:firstLine="360"/>
        <w:jc w:val="both"/>
        <w:rPr>
          <w:rFonts w:ascii="Book Antiqua" w:hAnsi="Book Antiqua"/>
          <w:lang w:val="es-ES"/>
        </w:rPr>
      </w:pPr>
      <w:r w:rsidRPr="003E765A">
        <w:rPr>
          <w:rFonts w:ascii="Book Antiqua" w:hAnsi="Book Antiqua"/>
          <w:lang w:val="es-ES"/>
        </w:rPr>
        <w:tab/>
      </w:r>
      <w:r w:rsidR="000B071A" w:rsidRPr="003E765A">
        <w:rPr>
          <w:rFonts w:ascii="Book Antiqua" w:hAnsi="Book Antiqua"/>
          <w:lang w:val="es-ES"/>
        </w:rPr>
        <w:t xml:space="preserve">La </w:t>
      </w:r>
      <w:r w:rsidR="008F717C" w:rsidRPr="003E765A">
        <w:rPr>
          <w:rFonts w:ascii="Book Antiqua" w:hAnsi="Book Antiqua"/>
          <w:lang w:val="es-ES"/>
        </w:rPr>
        <w:t xml:space="preserve">Comisión </w:t>
      </w:r>
      <w:r w:rsidR="000B071A" w:rsidRPr="003E765A">
        <w:rPr>
          <w:rFonts w:ascii="Book Antiqua" w:hAnsi="Book Antiqua"/>
          <w:spacing w:val="-3"/>
          <w:lang w:val="es-ES"/>
        </w:rPr>
        <w:t xml:space="preserve">de lo Jurídico </w:t>
      </w:r>
      <w:r w:rsidR="00552B8A" w:rsidRPr="003E765A">
        <w:rPr>
          <w:rFonts w:ascii="Book Antiqua" w:hAnsi="Book Antiqua"/>
          <w:lang w:val="es-ES"/>
        </w:rPr>
        <w:t>coincide en que</w:t>
      </w:r>
      <w:r w:rsidRPr="003E765A">
        <w:rPr>
          <w:rFonts w:ascii="Book Antiqua" w:hAnsi="Book Antiqua"/>
          <w:lang w:val="es-ES"/>
        </w:rPr>
        <w:t>,</w:t>
      </w:r>
      <w:r w:rsidR="000B071A" w:rsidRPr="003E765A">
        <w:rPr>
          <w:rFonts w:ascii="Book Antiqua" w:hAnsi="Book Antiqua"/>
          <w:lang w:val="es-ES"/>
        </w:rPr>
        <w:t xml:space="preserve"> </w:t>
      </w:r>
      <w:r w:rsidR="00096054" w:rsidRPr="003E765A">
        <w:rPr>
          <w:rFonts w:ascii="Book Antiqua" w:hAnsi="Book Antiqua"/>
          <w:lang w:val="es-ES"/>
        </w:rPr>
        <w:t>lamentablemente, cada vez más, la institución familiar sufre un fuerte menoscabo en perjuicio de nuestra sociedad cambiante.</w:t>
      </w:r>
      <w:r w:rsidR="00096054" w:rsidRPr="003E765A">
        <w:rPr>
          <w:rStyle w:val="FootnoteReference"/>
          <w:rFonts w:ascii="Book Antiqua" w:hAnsi="Book Antiqua"/>
          <w:lang w:val="es-ES"/>
        </w:rPr>
        <w:footnoteReference w:id="4"/>
      </w:r>
      <w:r w:rsidR="00096054" w:rsidRPr="003E765A">
        <w:rPr>
          <w:rFonts w:ascii="Book Antiqua" w:hAnsi="Book Antiqua"/>
          <w:lang w:val="es-ES"/>
        </w:rPr>
        <w:t xml:space="preserve"> Es de vital interés de este Senado salvaguardar a aquellos núcleos familiares que permanecen unidos y que sostienen relaciones afectuosas entre sus miembros. </w:t>
      </w:r>
    </w:p>
    <w:p w14:paraId="4C81CC85" w14:textId="2CBDCB06" w:rsidR="00636C4D" w:rsidRPr="003E765A" w:rsidRDefault="00636C4D" w:rsidP="00D72149">
      <w:pPr>
        <w:tabs>
          <w:tab w:val="left" w:pos="-720"/>
        </w:tabs>
        <w:suppressAutoHyphens/>
        <w:spacing w:line="276" w:lineRule="auto"/>
        <w:jc w:val="both"/>
        <w:rPr>
          <w:rFonts w:ascii="Book Antiqua" w:hAnsi="Book Antiqua"/>
          <w:lang w:val="es-ES"/>
        </w:rPr>
      </w:pPr>
      <w:r w:rsidRPr="003E765A">
        <w:rPr>
          <w:rFonts w:ascii="Book Antiqua" w:hAnsi="Book Antiqua"/>
          <w:lang w:val="es-ES"/>
        </w:rPr>
        <w:lastRenderedPageBreak/>
        <w:tab/>
        <w:t>Las agencias consultadas identifican la incongruencia del Artículo 619 del Código Civil de 2020 con la política pública y la jurisprudencia de Puerto Rico y Estados Unidos. El Artículo 619 actual establece que son los progenitores que ejercen la patria potestad quienes deciden con quién se relaciona su hijo, ya sea dentro o fuera del núcleo familiar, y esta determinación goza de una presunción de corrección. Un tribunal solo puede interferir si se demuestra la existencia de intereses apremiantes mediante prueba robusta, clara y convincente. El Departamento de la Familia enfatiza que el Artículo 619 no dispone específicamente sobre un derecho de los abuelos y tíos a relacionarse con sus nietos y sobrinos, obligándolos a probar dicho “interés apremiante”.</w:t>
      </w:r>
    </w:p>
    <w:p w14:paraId="2A8FD805" w14:textId="25AB0F6A" w:rsidR="00636C4D" w:rsidRPr="003E765A" w:rsidRDefault="00636C4D" w:rsidP="00D72149">
      <w:pPr>
        <w:tabs>
          <w:tab w:val="left" w:pos="-720"/>
        </w:tabs>
        <w:suppressAutoHyphens/>
        <w:spacing w:line="276" w:lineRule="auto"/>
        <w:jc w:val="both"/>
        <w:rPr>
          <w:rFonts w:ascii="Book Antiqua" w:hAnsi="Book Antiqua"/>
          <w:lang w:val="es-ES"/>
        </w:rPr>
      </w:pPr>
      <w:r w:rsidRPr="003E765A">
        <w:rPr>
          <w:rFonts w:ascii="Book Antiqua" w:hAnsi="Book Antiqua"/>
          <w:lang w:val="es-ES"/>
        </w:rPr>
        <w:tab/>
        <w:t>Esta omisión en el Código de 2020 contrasta con la protección explícita que existía anteriormente. El Código Civil de 1930, enmendado por la Ley 182</w:t>
      </w:r>
      <w:r w:rsidR="00F35727" w:rsidRPr="003E765A">
        <w:rPr>
          <w:rFonts w:ascii="Book Antiqua" w:hAnsi="Book Antiqua"/>
          <w:lang w:val="es-ES"/>
        </w:rPr>
        <w:t>-</w:t>
      </w:r>
      <w:r w:rsidRPr="003E765A">
        <w:rPr>
          <w:rFonts w:ascii="Book Antiqua" w:hAnsi="Book Antiqua"/>
          <w:lang w:val="es-ES"/>
        </w:rPr>
        <w:t>1997 y la Ley 32-2012, ya garantizaba explícitamente el derecho de los abuelos y tíos a mantener relaciones con sus nietos y sobrinos tras la disolución del núcleo familiar. La jurisprudencia</w:t>
      </w:r>
      <w:r w:rsidR="00F35727" w:rsidRPr="003E765A">
        <w:rPr>
          <w:rFonts w:ascii="Book Antiqua" w:hAnsi="Book Antiqua"/>
          <w:lang w:val="es-ES"/>
        </w:rPr>
        <w:t xml:space="preserve"> del Tribunal Supremo de Puerto Rico </w:t>
      </w:r>
      <w:r w:rsidRPr="003E765A">
        <w:rPr>
          <w:rFonts w:ascii="Book Antiqua" w:hAnsi="Book Antiqua"/>
          <w:lang w:val="es-ES"/>
        </w:rPr>
        <w:t xml:space="preserve">había confirmado la legitimación activa de los abuelos para solicitar visitas y establecido los criterios judiciales para decidir en el mejor interés del menor, dando una consideración especial a la decisión de los </w:t>
      </w:r>
      <w:r w:rsidR="003E765A" w:rsidRPr="003E765A">
        <w:rPr>
          <w:rFonts w:ascii="Book Antiqua" w:hAnsi="Book Antiqua"/>
          <w:lang w:val="es-ES"/>
        </w:rPr>
        <w:t>padres,</w:t>
      </w:r>
      <w:r w:rsidRPr="003E765A">
        <w:rPr>
          <w:rFonts w:ascii="Book Antiqua" w:hAnsi="Book Antiqua"/>
          <w:lang w:val="es-ES"/>
        </w:rPr>
        <w:t xml:space="preserve"> pero sin imponerles la carga de probar que las relaciones solicitadas serían perjudiciales.</w:t>
      </w:r>
    </w:p>
    <w:p w14:paraId="6B5EF927" w14:textId="644BE28B" w:rsidR="00636C4D" w:rsidRPr="003E765A" w:rsidRDefault="009A0098" w:rsidP="00D72149">
      <w:pPr>
        <w:tabs>
          <w:tab w:val="left" w:pos="-720"/>
        </w:tabs>
        <w:suppressAutoHyphens/>
        <w:spacing w:line="276" w:lineRule="auto"/>
        <w:jc w:val="both"/>
        <w:rPr>
          <w:rFonts w:ascii="Book Antiqua" w:hAnsi="Book Antiqua"/>
          <w:lang w:val="es-ES"/>
        </w:rPr>
      </w:pPr>
      <w:r w:rsidRPr="003E765A">
        <w:rPr>
          <w:rFonts w:ascii="Book Antiqua" w:hAnsi="Book Antiqua"/>
          <w:lang w:val="es-ES"/>
        </w:rPr>
        <w:tab/>
        <w:t>El</w:t>
      </w:r>
      <w:r w:rsidR="00636C4D" w:rsidRPr="003E765A">
        <w:rPr>
          <w:rFonts w:ascii="Book Antiqua" w:hAnsi="Book Antiqua"/>
          <w:lang w:val="es-ES"/>
        </w:rPr>
        <w:t xml:space="preserve"> nuevo artículo </w:t>
      </w:r>
      <w:r w:rsidRPr="003E765A">
        <w:rPr>
          <w:rFonts w:ascii="Book Antiqua" w:hAnsi="Book Antiqua"/>
          <w:lang w:val="es-ES"/>
        </w:rPr>
        <w:t>prop</w:t>
      </w:r>
      <w:r w:rsidR="003E765A" w:rsidRPr="003E765A">
        <w:rPr>
          <w:rFonts w:ascii="Book Antiqua" w:hAnsi="Book Antiqua"/>
          <w:lang w:val="es-ES"/>
        </w:rPr>
        <w:t>u</w:t>
      </w:r>
      <w:r w:rsidRPr="003E765A">
        <w:rPr>
          <w:rFonts w:ascii="Book Antiqua" w:hAnsi="Book Antiqua"/>
          <w:lang w:val="es-ES"/>
        </w:rPr>
        <w:t xml:space="preserve">esto por el P. del S. 507 </w:t>
      </w:r>
      <w:r w:rsidR="00636C4D" w:rsidRPr="003E765A">
        <w:rPr>
          <w:rFonts w:ascii="Book Antiqua" w:hAnsi="Book Antiqua"/>
          <w:lang w:val="es-ES"/>
        </w:rPr>
        <w:t xml:space="preserve">restituiría el texto contenido en el Artículo 152A del derogado Código de 1930, reconociendo que los padres o tutores no podrán impedir, sin justa causa, que un menor no emancipado se relacione con sus abuelos o tíos luego de la disolución familiar (por muerte, divorcio, separación o nulidad). Se reconocería legitimación jurídica a abuelos y tíos para ser oídos ante el juez, quien decidirá en cada caso tomando en cuenta las circunstancias particulares y el bienestar del menor. </w:t>
      </w:r>
    </w:p>
    <w:p w14:paraId="12984714" w14:textId="7B70CC3E" w:rsidR="000B071A" w:rsidRPr="006C5AC0" w:rsidRDefault="00D72149" w:rsidP="006C5AC0">
      <w:pPr>
        <w:tabs>
          <w:tab w:val="left" w:pos="-720"/>
        </w:tabs>
        <w:suppressAutoHyphens/>
        <w:spacing w:line="276" w:lineRule="auto"/>
        <w:jc w:val="both"/>
        <w:rPr>
          <w:rFonts w:ascii="Book Antiqua" w:hAnsi="Book Antiqua"/>
          <w:lang w:val="es-ES"/>
        </w:rPr>
      </w:pPr>
      <w:r w:rsidRPr="003E765A">
        <w:rPr>
          <w:rFonts w:ascii="Book Antiqua" w:hAnsi="Book Antiqua"/>
          <w:lang w:val="es-ES"/>
        </w:rPr>
        <w:tab/>
        <w:t>Acogemos, asimismo, la recomendación del Departamento de la Familia en cuanto a eliminar la distinción sobre menores nacidos de relaciones extramatrimoniales en el texto propuesto, ya que en la actualidad no debe existir diferencia legal en el derecho del menor a relacionarse con su familia, priorizando siempre su mejor bienestar</w:t>
      </w:r>
    </w:p>
    <w:p w14:paraId="7885E90D" w14:textId="6D4F5FC3" w:rsidR="00DF45DC" w:rsidRPr="003E765A" w:rsidRDefault="00E71634" w:rsidP="00D72149">
      <w:pPr>
        <w:tabs>
          <w:tab w:val="left" w:pos="-720"/>
        </w:tabs>
        <w:suppressAutoHyphens/>
        <w:spacing w:line="276" w:lineRule="auto"/>
        <w:ind w:firstLine="360"/>
        <w:jc w:val="both"/>
        <w:rPr>
          <w:rFonts w:ascii="Book Antiqua" w:hAnsi="Book Antiqua"/>
          <w:lang w:val="es-ES"/>
        </w:rPr>
      </w:pPr>
      <w:r>
        <w:rPr>
          <w:rFonts w:ascii="Book Antiqua" w:hAnsi="Book Antiqua"/>
          <w:b/>
          <w:bCs/>
          <w:lang w:val="es-ES"/>
        </w:rPr>
        <w:tab/>
      </w:r>
      <w:r w:rsidR="0096171F" w:rsidRPr="003E765A">
        <w:rPr>
          <w:rFonts w:ascii="Book Antiqua" w:hAnsi="Book Antiqua"/>
          <w:b/>
          <w:bCs/>
          <w:lang w:val="es-ES"/>
        </w:rPr>
        <w:t>POR TODO LO ANTES EXPUESTO</w:t>
      </w:r>
      <w:r w:rsidR="0096171F" w:rsidRPr="003E765A">
        <w:rPr>
          <w:rFonts w:ascii="Book Antiqua" w:hAnsi="Book Antiqua"/>
          <w:lang w:val="es-ES"/>
        </w:rPr>
        <w:t xml:space="preserve">, la </w:t>
      </w:r>
      <w:r w:rsidR="001D12A7" w:rsidRPr="003E765A">
        <w:rPr>
          <w:rFonts w:ascii="Book Antiqua" w:hAnsi="Book Antiqua"/>
          <w:spacing w:val="-3"/>
          <w:lang w:val="es-ES"/>
        </w:rPr>
        <w:t>Comisión de lo Jurídico del Senado de Puerto Rico</w:t>
      </w:r>
      <w:r w:rsidR="001D12A7" w:rsidRPr="003E765A">
        <w:rPr>
          <w:rFonts w:ascii="Book Antiqua" w:hAnsi="Book Antiqua"/>
          <w:lang w:val="es-ES"/>
        </w:rPr>
        <w:t xml:space="preserve"> </w:t>
      </w:r>
      <w:r w:rsidR="00006DDC" w:rsidRPr="003E765A">
        <w:rPr>
          <w:rFonts w:ascii="Book Antiqua" w:hAnsi="Book Antiqua"/>
          <w:lang w:val="es-ES"/>
        </w:rPr>
        <w:t xml:space="preserve">tiene a bien presentar ante este Alto Cuerpo el Informe Positivo sobre el </w:t>
      </w:r>
      <w:r w:rsidR="00D72149" w:rsidRPr="003E765A">
        <w:rPr>
          <w:rFonts w:ascii="Book Antiqua" w:hAnsi="Book Antiqua"/>
          <w:b/>
          <w:bCs/>
          <w:lang w:val="es-ES"/>
        </w:rPr>
        <w:t>Proyecto del Senado 507,</w:t>
      </w:r>
      <w:r w:rsidR="00006DDC" w:rsidRPr="003E765A">
        <w:rPr>
          <w:rFonts w:ascii="Book Antiqua" w:hAnsi="Book Antiqua"/>
          <w:lang w:val="es-ES"/>
        </w:rPr>
        <w:t xml:space="preserve"> recomendando su aprobación con las enmiendas contenidas en el entirillado electrónico que se acompaña</w:t>
      </w:r>
      <w:r w:rsidR="00D72149" w:rsidRPr="003E765A">
        <w:rPr>
          <w:rFonts w:ascii="Book Antiqua" w:hAnsi="Book Antiqua"/>
          <w:lang w:val="es-ES"/>
        </w:rPr>
        <w:t>.</w:t>
      </w:r>
    </w:p>
    <w:p w14:paraId="02F3C812" w14:textId="77777777" w:rsidR="006861CE" w:rsidRPr="003E765A" w:rsidRDefault="006861CE" w:rsidP="00337BB7">
      <w:pPr>
        <w:tabs>
          <w:tab w:val="left" w:pos="-720"/>
        </w:tabs>
        <w:suppressAutoHyphens/>
        <w:spacing w:line="360" w:lineRule="auto"/>
        <w:rPr>
          <w:rFonts w:ascii="Book Antiqua" w:hAnsi="Book Antiqua"/>
          <w:lang w:val="es-ES"/>
        </w:rPr>
      </w:pPr>
    </w:p>
    <w:p w14:paraId="2444C5B2" w14:textId="06EE66CD" w:rsidR="00552B8A" w:rsidRPr="003E765A" w:rsidRDefault="002C402D" w:rsidP="006C5AC0">
      <w:pPr>
        <w:tabs>
          <w:tab w:val="left" w:pos="-720"/>
        </w:tabs>
        <w:suppressAutoHyphens/>
        <w:spacing w:line="360" w:lineRule="auto"/>
        <w:rPr>
          <w:rFonts w:ascii="Book Antiqua" w:hAnsi="Book Antiqua"/>
          <w:lang w:val="es-ES"/>
        </w:rPr>
      </w:pPr>
      <w:r w:rsidRPr="003E765A">
        <w:rPr>
          <w:rFonts w:ascii="Book Antiqua" w:hAnsi="Book Antiqua"/>
          <w:lang w:val="es-ES"/>
        </w:rPr>
        <w:lastRenderedPageBreak/>
        <w:t xml:space="preserve">Respetuosamente sometido, </w:t>
      </w:r>
    </w:p>
    <w:p w14:paraId="0F282600" w14:textId="77777777" w:rsidR="00242E80" w:rsidRPr="003E765A" w:rsidRDefault="00242E80" w:rsidP="00EE4536">
      <w:pPr>
        <w:tabs>
          <w:tab w:val="left" w:pos="-720"/>
        </w:tabs>
        <w:suppressAutoHyphens/>
        <w:rPr>
          <w:rFonts w:ascii="Book Antiqua" w:hAnsi="Book Antiqua"/>
          <w:b/>
          <w:bCs/>
          <w:lang w:val="es-ES"/>
        </w:rPr>
      </w:pPr>
    </w:p>
    <w:p w14:paraId="6AE93B69" w14:textId="6641F2FE" w:rsidR="00AB2E69" w:rsidRPr="003E765A" w:rsidRDefault="00D8699D" w:rsidP="00EE4536">
      <w:pPr>
        <w:tabs>
          <w:tab w:val="left" w:pos="-720"/>
        </w:tabs>
        <w:suppressAutoHyphens/>
        <w:rPr>
          <w:rFonts w:ascii="Book Antiqua" w:hAnsi="Book Antiqua"/>
          <w:b/>
          <w:bCs/>
          <w:lang w:val="es-ES"/>
        </w:rPr>
      </w:pPr>
      <w:r w:rsidRPr="003E765A">
        <w:rPr>
          <w:rFonts w:ascii="Book Antiqua" w:hAnsi="Book Antiqua"/>
          <w:b/>
          <w:bCs/>
          <w:lang w:val="es-ES"/>
        </w:rPr>
        <w:t xml:space="preserve">Hon. </w:t>
      </w:r>
      <w:r w:rsidR="001D12A7" w:rsidRPr="003E765A">
        <w:rPr>
          <w:rFonts w:ascii="Book Antiqua" w:hAnsi="Book Antiqua"/>
          <w:b/>
          <w:bCs/>
          <w:lang w:val="es-ES"/>
        </w:rPr>
        <w:t>Ángel A. Toledo López</w:t>
      </w:r>
    </w:p>
    <w:p w14:paraId="1665555A" w14:textId="77777777" w:rsidR="004F6E72" w:rsidRPr="003E765A" w:rsidRDefault="00AB2E69" w:rsidP="00EE4536">
      <w:pPr>
        <w:tabs>
          <w:tab w:val="left" w:pos="-720"/>
        </w:tabs>
        <w:suppressAutoHyphens/>
        <w:rPr>
          <w:rFonts w:ascii="Book Antiqua" w:hAnsi="Book Antiqua"/>
          <w:lang w:val="es-ES"/>
        </w:rPr>
      </w:pPr>
      <w:r w:rsidRPr="003E765A">
        <w:rPr>
          <w:rFonts w:ascii="Book Antiqua" w:hAnsi="Book Antiqua"/>
          <w:lang w:val="es-ES"/>
        </w:rPr>
        <w:t>Presidente</w:t>
      </w:r>
    </w:p>
    <w:p w14:paraId="3FF3D27A" w14:textId="77777777" w:rsidR="001D12A7" w:rsidRPr="003E765A" w:rsidRDefault="001D12A7" w:rsidP="001D12A7">
      <w:pPr>
        <w:tabs>
          <w:tab w:val="left" w:pos="-720"/>
        </w:tabs>
        <w:suppressAutoHyphens/>
        <w:rPr>
          <w:rFonts w:ascii="Book Antiqua" w:hAnsi="Book Antiqua"/>
          <w:spacing w:val="-3"/>
          <w:lang w:val="es-ES"/>
        </w:rPr>
      </w:pPr>
      <w:r w:rsidRPr="003E765A">
        <w:rPr>
          <w:rFonts w:ascii="Book Antiqua" w:hAnsi="Book Antiqua"/>
          <w:spacing w:val="-3"/>
          <w:lang w:val="es-ES"/>
        </w:rPr>
        <w:t xml:space="preserve">Comisión de lo Jurídico </w:t>
      </w:r>
    </w:p>
    <w:p w14:paraId="13BD9EC9" w14:textId="4CCFCABF" w:rsidR="000B3411" w:rsidRPr="003E765A" w:rsidRDefault="001D12A7" w:rsidP="00D72149">
      <w:pPr>
        <w:tabs>
          <w:tab w:val="left" w:pos="-720"/>
        </w:tabs>
        <w:suppressAutoHyphens/>
        <w:rPr>
          <w:rFonts w:ascii="Book Antiqua" w:hAnsi="Book Antiqua"/>
          <w:spacing w:val="-3"/>
          <w:lang w:val="es-ES"/>
        </w:rPr>
      </w:pPr>
      <w:r w:rsidRPr="003E765A">
        <w:rPr>
          <w:rFonts w:ascii="Book Antiqua" w:hAnsi="Book Antiqua"/>
          <w:spacing w:val="-3"/>
          <w:lang w:val="es-ES"/>
        </w:rPr>
        <w:t>Senado de Puerto Rico</w:t>
      </w:r>
    </w:p>
    <w:sectPr w:rsidR="000B3411" w:rsidRPr="003E765A"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38ABDB5E" w14:textId="367B9B36" w:rsidR="001F59C6" w:rsidRPr="00C1736B" w:rsidRDefault="001F59C6" w:rsidP="00C1736B">
      <w:pPr>
        <w:pStyle w:val="FootnoteText"/>
        <w:rPr>
          <w:rFonts w:ascii="Book Antiqua" w:hAnsi="Book Antiqua"/>
          <w:lang w:val="es-ES"/>
        </w:rPr>
      </w:pPr>
      <w:r w:rsidRPr="00C1736B">
        <w:rPr>
          <w:rStyle w:val="FootnoteReference"/>
          <w:rFonts w:ascii="Book Antiqua" w:hAnsi="Book Antiqua"/>
        </w:rPr>
        <w:footnoteRef/>
      </w:r>
      <w:r w:rsidRPr="00C1736B">
        <w:rPr>
          <w:rFonts w:ascii="Book Antiqua" w:hAnsi="Book Antiqua"/>
          <w:lang w:val="es-ES"/>
        </w:rPr>
        <w:t xml:space="preserve"> El Código Civil de 1930 disponía: </w:t>
      </w:r>
    </w:p>
    <w:p w14:paraId="47ED31DD" w14:textId="77777777" w:rsidR="001F59C6" w:rsidRPr="00C1736B" w:rsidRDefault="001F59C6" w:rsidP="00C1736B">
      <w:pPr>
        <w:pStyle w:val="FootnoteText"/>
        <w:rPr>
          <w:rFonts w:ascii="Book Antiqua" w:hAnsi="Book Antiqua"/>
          <w:lang w:val="es-ES"/>
        </w:rPr>
      </w:pPr>
    </w:p>
    <w:p w14:paraId="13659615" w14:textId="5DC5911F" w:rsidR="001F59C6" w:rsidRPr="00C1736B" w:rsidRDefault="001F59C6" w:rsidP="00C1736B">
      <w:pPr>
        <w:pStyle w:val="FootnoteText"/>
        <w:ind w:left="720"/>
        <w:rPr>
          <w:rFonts w:ascii="Book Antiqua" w:hAnsi="Book Antiqua"/>
          <w:lang w:val="es-ES"/>
        </w:rPr>
      </w:pPr>
      <w:r w:rsidRPr="00C1736B">
        <w:rPr>
          <w:rFonts w:ascii="Book Antiqua" w:hAnsi="Book Antiqua"/>
          <w:lang w:val="es-ES"/>
        </w:rPr>
        <w:t xml:space="preserve">Artículo 152A. — Derecho de los abuelos y de los tíos </w:t>
      </w:r>
    </w:p>
    <w:p w14:paraId="39E9A2C4" w14:textId="77777777" w:rsidR="001F59C6" w:rsidRPr="00C1736B" w:rsidRDefault="001F59C6" w:rsidP="00C1736B">
      <w:pPr>
        <w:pStyle w:val="FootnoteText"/>
        <w:ind w:left="720"/>
        <w:rPr>
          <w:rFonts w:ascii="Book Antiqua" w:hAnsi="Book Antiqua"/>
          <w:lang w:val="es-ES"/>
        </w:rPr>
      </w:pPr>
    </w:p>
    <w:p w14:paraId="261E9F8F" w14:textId="6009791E" w:rsidR="001F59C6" w:rsidRPr="00C1736B" w:rsidRDefault="001F59C6" w:rsidP="00C1736B">
      <w:pPr>
        <w:pStyle w:val="FootnoteText"/>
        <w:ind w:left="720" w:firstLine="720"/>
        <w:rPr>
          <w:rFonts w:ascii="Book Antiqua" w:hAnsi="Book Antiqua"/>
          <w:lang w:val="es-ES"/>
        </w:rPr>
      </w:pPr>
      <w:r w:rsidRPr="00C1736B">
        <w:rPr>
          <w:rFonts w:ascii="Book Antiqua" w:hAnsi="Book Antiqua"/>
          <w:lang w:val="es-ES"/>
        </w:rPr>
        <w:t>Luego de la disolución del núcleo familiar, ya sea por la muerte de uno de los padres o divorcio, separación o nulidad del matrimonio, no podrán los padres o tutor que ejerza la patria potestad y custodia sobre un menor no emancipado, impedir sin justa causa que éste se relacione con sus abuelos o con sus tíos.</w:t>
      </w:r>
    </w:p>
    <w:p w14:paraId="1DD3E7C7" w14:textId="0DFEA889" w:rsidR="001F59C6" w:rsidRPr="00C1736B" w:rsidRDefault="001F59C6" w:rsidP="00C1736B">
      <w:pPr>
        <w:pStyle w:val="FootnoteText"/>
        <w:ind w:left="720" w:firstLine="720"/>
        <w:rPr>
          <w:rFonts w:ascii="Book Antiqua" w:hAnsi="Book Antiqua"/>
          <w:lang w:val="es-ES"/>
        </w:rPr>
      </w:pPr>
      <w:r w:rsidRPr="00C1736B">
        <w:rPr>
          <w:rFonts w:ascii="Book Antiqua" w:hAnsi="Book Antiqua"/>
          <w:lang w:val="es-ES"/>
        </w:rPr>
        <w:t>Cuando se trate de un menor no emancipado fruto de una relación extramatrimonial tampoco podrá el padre o la madre o tutor que ejerza la patria potestad y custodia sobre dicho menor, impedir sin justa causa que éste se relacione con sus abuelos o con sus tíos.</w:t>
      </w:r>
    </w:p>
    <w:p w14:paraId="74789D39" w14:textId="50F8FFB0" w:rsidR="001F59C6" w:rsidRDefault="001F59C6" w:rsidP="00C1736B">
      <w:pPr>
        <w:pStyle w:val="FootnoteText"/>
        <w:ind w:left="720" w:firstLine="720"/>
        <w:rPr>
          <w:rFonts w:ascii="Book Antiqua" w:hAnsi="Book Antiqua"/>
          <w:lang w:val="es-ES"/>
        </w:rPr>
      </w:pPr>
      <w:r w:rsidRPr="00C1736B">
        <w:rPr>
          <w:rFonts w:ascii="Book Antiqua" w:hAnsi="Book Antiqua"/>
          <w:lang w:val="es-ES"/>
        </w:rPr>
        <w:t>En caso de oposición por parte del padre o madre o tutor que ejerza la patria potestad y custodia sobre dicho menor no emancipado se reconoce legitimación jurídica a los abuelos y a los tíos para ser oído ante el juez quien decidirá lo procedente tomando en consideración las circunstancias particulares de cada caso y los intereses y bienestar del menor.</w:t>
      </w:r>
    </w:p>
    <w:p w14:paraId="2DF3ED97" w14:textId="77777777" w:rsidR="00C1736B" w:rsidRPr="00C1736B" w:rsidRDefault="00C1736B" w:rsidP="00C1736B">
      <w:pPr>
        <w:pStyle w:val="FootnoteText"/>
        <w:ind w:left="720" w:firstLine="720"/>
        <w:rPr>
          <w:rFonts w:ascii="Book Antiqua" w:hAnsi="Book Antiqua"/>
          <w:lang w:val="es-ES"/>
        </w:rPr>
      </w:pPr>
    </w:p>
  </w:footnote>
  <w:footnote w:id="2">
    <w:p w14:paraId="778D7798" w14:textId="579DDF28" w:rsidR="00A45A6A" w:rsidRPr="0096371B" w:rsidRDefault="00A45A6A" w:rsidP="0096371B">
      <w:pPr>
        <w:pStyle w:val="FootnoteText"/>
        <w:jc w:val="both"/>
      </w:pPr>
      <w:r>
        <w:rPr>
          <w:rStyle w:val="FootnoteReference"/>
        </w:rPr>
        <w:footnoteRef/>
      </w:r>
      <w:r w:rsidRPr="00A45A6A">
        <w:rPr>
          <w:lang w:val="es-ES"/>
        </w:rPr>
        <w:t xml:space="preserve"> Un estudio reciente realizado por la Universidad de Carolina del Sur en 2023 analizó la influencia que tiene la relación entre abuelos y nietos en el desarrollo socioemocional de los menores. La investigación, llevada a cabo por Yanfeng Xu y Theresa M. Harrison, recopiló datos de abuelos que ejercen roles de crianza sobre sus nietos y evaluó cómo la cercanía emocional y los conflictos en la relación afectan la estabilidad y el bienestar de los niños. Los hallazgos revelaron que cuando existe un vínculo afectivo sólido, los menores presentan menores probabilidades de desarrollar problemas emocionales, conductuales y de interacción social, a la vez que se potencia su capacidad de aprendizaje y su resiliencia ante situaciones adversas.</w:t>
      </w:r>
      <w:r>
        <w:rPr>
          <w:lang w:val="es-ES"/>
        </w:rPr>
        <w:t xml:space="preserve"> </w:t>
      </w:r>
      <w:r w:rsidR="00D948B0" w:rsidRPr="0096371B">
        <w:rPr>
          <w:i/>
          <w:iCs/>
        </w:rPr>
        <w:t>Véase</w:t>
      </w:r>
      <w:r w:rsidR="00D948B0" w:rsidRPr="0096371B">
        <w:t xml:space="preserve"> </w:t>
      </w:r>
      <w:r w:rsidR="0096371B" w:rsidRPr="0096371B">
        <w:t xml:space="preserve">Yanfeng Xu &amp; Theresa M. Harrison, </w:t>
      </w:r>
      <w:r w:rsidR="0096371B" w:rsidRPr="0096371B">
        <w:rPr>
          <w:i/>
          <w:iCs/>
        </w:rPr>
        <w:t>Socioemotional and Behavioral Problems of Grandchildren Raised by Grandparents: The Role of Grandparent–Grandchild Relational Closeness and Conflict</w:t>
      </w:r>
      <w:r w:rsidR="0096371B">
        <w:t xml:space="preserve"> </w:t>
      </w:r>
      <w:r w:rsidR="0096371B" w:rsidRPr="0096371B">
        <w:t>(2023)</w:t>
      </w:r>
      <w:r w:rsidR="0096371B">
        <w:t xml:space="preserve">, </w:t>
      </w:r>
      <w:hyperlink r:id="rId1" w:history="1">
        <w:r w:rsidR="0096371B" w:rsidRPr="0061243F">
          <w:rPr>
            <w:rStyle w:val="Hyperlink"/>
          </w:rPr>
          <w:t>https://pubmed.ncbi.nlm.nih.gov/37892286/</w:t>
        </w:r>
      </w:hyperlink>
      <w:r w:rsidR="0096371B" w:rsidRPr="0096371B">
        <w:t>.</w:t>
      </w:r>
      <w:r w:rsidR="0096371B">
        <w:t xml:space="preserve"> </w:t>
      </w:r>
    </w:p>
  </w:footnote>
  <w:footnote w:id="3">
    <w:p w14:paraId="6EBC4D0C" w14:textId="7850B12E" w:rsidR="00C1736B" w:rsidRPr="00C1736B" w:rsidRDefault="00C1736B" w:rsidP="00C1736B">
      <w:pPr>
        <w:pStyle w:val="FootnoteText"/>
        <w:jc w:val="both"/>
        <w:rPr>
          <w:rFonts w:ascii="Book Antiqua" w:hAnsi="Book Antiqua"/>
          <w:lang w:val="es-ES"/>
        </w:rPr>
      </w:pPr>
      <w:r w:rsidRPr="00C1736B">
        <w:rPr>
          <w:rStyle w:val="FootnoteReference"/>
          <w:rFonts w:ascii="Book Antiqua" w:hAnsi="Book Antiqua"/>
        </w:rPr>
        <w:footnoteRef/>
      </w:r>
      <w:r w:rsidRPr="00C1736B">
        <w:rPr>
          <w:rFonts w:ascii="Book Antiqua" w:hAnsi="Book Antiqua"/>
          <w:lang w:val="es-ES"/>
        </w:rPr>
        <w:t xml:space="preserve"> En el caso de </w:t>
      </w:r>
      <w:r w:rsidRPr="00C1736B">
        <w:rPr>
          <w:rFonts w:ascii="Book Antiqua" w:hAnsi="Book Antiqua"/>
          <w:i/>
          <w:iCs/>
          <w:lang w:val="es-ES"/>
        </w:rPr>
        <w:t>Troxel v. Granville, 530 U.S. 57 (2000)</w:t>
      </w:r>
      <w:r w:rsidRPr="00C1736B">
        <w:rPr>
          <w:rFonts w:ascii="Book Antiqua" w:hAnsi="Book Antiqua"/>
          <w:lang w:val="es-ES"/>
        </w:rPr>
        <w:t>, el Tribunal Supremo de los</w:t>
      </w:r>
      <w:r>
        <w:rPr>
          <w:rFonts w:ascii="Book Antiqua" w:hAnsi="Book Antiqua"/>
          <w:lang w:val="es-ES"/>
        </w:rPr>
        <w:t xml:space="preserve"> </w:t>
      </w:r>
      <w:r w:rsidRPr="00C1736B">
        <w:rPr>
          <w:rFonts w:ascii="Book Antiqua" w:hAnsi="Book Antiqua"/>
          <w:lang w:val="es-ES"/>
        </w:rPr>
        <w:t>Estados Unidos</w:t>
      </w:r>
      <w:r>
        <w:rPr>
          <w:rFonts w:ascii="Book Antiqua" w:hAnsi="Book Antiqua"/>
          <w:lang w:val="es-ES"/>
        </w:rPr>
        <w:t xml:space="preserve"> </w:t>
      </w:r>
      <w:r w:rsidRPr="00C1736B">
        <w:rPr>
          <w:rFonts w:ascii="Book Antiqua" w:hAnsi="Book Antiqua"/>
          <w:lang w:val="es-ES"/>
        </w:rPr>
        <w:t>decidió que los tribunales deben adjudicar las peticiones de relaciones</w:t>
      </w:r>
      <w:r>
        <w:rPr>
          <w:rFonts w:ascii="Book Antiqua" w:hAnsi="Book Antiqua"/>
          <w:lang w:val="es-ES"/>
        </w:rPr>
        <w:t xml:space="preserve"> </w:t>
      </w:r>
      <w:r w:rsidRPr="00C1736B">
        <w:rPr>
          <w:rFonts w:ascii="Book Antiqua" w:hAnsi="Book Antiqua"/>
          <w:lang w:val="es-ES"/>
        </w:rPr>
        <w:t>abuelo</w:t>
      </w:r>
      <w:r>
        <w:rPr>
          <w:rFonts w:ascii="Book Antiqua" w:hAnsi="Book Antiqua"/>
          <w:lang w:val="es-ES"/>
        </w:rPr>
        <w:t>-</w:t>
      </w:r>
      <w:r w:rsidRPr="00C1736B">
        <w:rPr>
          <w:rFonts w:ascii="Book Antiqua" w:hAnsi="Book Antiqua"/>
          <w:lang w:val="es-ES"/>
        </w:rPr>
        <w:t>filiales dándole una consideración especial al punto de vista de los padres;</w:t>
      </w:r>
      <w:r>
        <w:rPr>
          <w:rFonts w:ascii="Book Antiqua" w:hAnsi="Book Antiqua"/>
          <w:lang w:val="es-ES"/>
        </w:rPr>
        <w:t xml:space="preserve"> </w:t>
      </w:r>
      <w:r w:rsidRPr="00C1736B">
        <w:rPr>
          <w:rFonts w:ascii="Book Antiqua" w:hAnsi="Book Antiqua"/>
          <w:lang w:val="es-ES"/>
        </w:rPr>
        <w:t>corresponde a los abuelos solicitantes el peso de la prueba para demostrar que tienen la</w:t>
      </w:r>
      <w:r>
        <w:rPr>
          <w:rFonts w:ascii="Book Antiqua" w:hAnsi="Book Antiqua"/>
          <w:lang w:val="es-ES"/>
        </w:rPr>
        <w:t xml:space="preserve"> </w:t>
      </w:r>
      <w:r w:rsidRPr="00C1736B">
        <w:rPr>
          <w:rFonts w:ascii="Book Antiqua" w:hAnsi="Book Antiqua"/>
          <w:lang w:val="es-ES"/>
        </w:rPr>
        <w:t>aptitud para relacionarse con sus nietos. El Tribunal también señaló que no iba a</w:t>
      </w:r>
      <w:r>
        <w:rPr>
          <w:rFonts w:ascii="Book Antiqua" w:hAnsi="Book Antiqua"/>
          <w:lang w:val="es-ES"/>
        </w:rPr>
        <w:t xml:space="preserve"> </w:t>
      </w:r>
      <w:r w:rsidRPr="00C1736B">
        <w:rPr>
          <w:rFonts w:ascii="Book Antiqua" w:hAnsi="Book Antiqua"/>
          <w:lang w:val="es-ES"/>
        </w:rPr>
        <w:t>declarar inconstitucionales todas las leyes que les reconocieran derechos de visita a</w:t>
      </w:r>
      <w:r>
        <w:rPr>
          <w:rFonts w:ascii="Book Antiqua" w:hAnsi="Book Antiqua"/>
          <w:lang w:val="es-ES"/>
        </w:rPr>
        <w:t xml:space="preserve"> </w:t>
      </w:r>
      <w:r w:rsidRPr="00C1736B">
        <w:rPr>
          <w:rFonts w:ascii="Book Antiqua" w:hAnsi="Book Antiqua"/>
          <w:lang w:val="es-ES"/>
        </w:rPr>
        <w:t>terceros ya que corresponde a los tribunales estatales adjudicar caso a caso las</w:t>
      </w:r>
      <w:r>
        <w:rPr>
          <w:rFonts w:ascii="Book Antiqua" w:hAnsi="Book Antiqua"/>
          <w:lang w:val="es-ES"/>
        </w:rPr>
        <w:t xml:space="preserve"> </w:t>
      </w:r>
      <w:r w:rsidRPr="00C1736B">
        <w:rPr>
          <w:rFonts w:ascii="Book Antiqua" w:hAnsi="Book Antiqua"/>
          <w:lang w:val="es-ES"/>
        </w:rPr>
        <w:t>controversias que se susciten en este contexto.</w:t>
      </w:r>
    </w:p>
  </w:footnote>
  <w:footnote w:id="4">
    <w:p w14:paraId="6375EF3D" w14:textId="6B663BB9" w:rsidR="00096054" w:rsidRPr="00C1736B" w:rsidRDefault="00096054" w:rsidP="00C1736B">
      <w:pPr>
        <w:pStyle w:val="FootnoteText"/>
        <w:rPr>
          <w:rFonts w:ascii="Book Antiqua" w:hAnsi="Book Antiqua"/>
          <w:lang w:val="es-ES"/>
        </w:rPr>
      </w:pPr>
      <w:r w:rsidRPr="00C1736B">
        <w:rPr>
          <w:rStyle w:val="FootnoteReference"/>
          <w:rFonts w:ascii="Book Antiqua" w:hAnsi="Book Antiqua"/>
        </w:rPr>
        <w:footnoteRef/>
      </w:r>
      <w:r w:rsidRPr="00C1736B">
        <w:rPr>
          <w:rFonts w:ascii="Book Antiqua" w:hAnsi="Book Antiqua"/>
          <w:lang w:val="es-ES"/>
        </w:rPr>
        <w:t xml:space="preserve"> </w:t>
      </w:r>
      <w:r w:rsidRPr="00C1736B">
        <w:rPr>
          <w:rFonts w:ascii="Book Antiqua" w:hAnsi="Book Antiqua"/>
          <w:i/>
          <w:iCs/>
          <w:lang w:val="es-ES"/>
        </w:rPr>
        <w:t>Véase</w:t>
      </w:r>
      <w:r w:rsidRPr="00C1736B">
        <w:rPr>
          <w:rFonts w:ascii="Book Antiqua" w:hAnsi="Book Antiqua"/>
          <w:lang w:val="es-ES"/>
        </w:rPr>
        <w:t xml:space="preserve"> Alonso García v. Ramírez Acosta, 2001 TSPR 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0B62664"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3422B9">
      <w:rPr>
        <w:rFonts w:ascii="Book Antiqua" w:hAnsi="Book Antiqua"/>
        <w:i/>
        <w:iCs/>
        <w:sz w:val="20"/>
        <w:lang w:val="es-PR"/>
      </w:rPr>
      <w:t>P. del S. 507</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C6581B4"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3422B9">
      <w:rPr>
        <w:rFonts w:ascii="Book Antiqua" w:hAnsi="Book Antiqua"/>
        <w:i/>
        <w:iCs/>
        <w:sz w:val="20"/>
        <w:lang w:val="es-PR"/>
      </w:rPr>
      <w:t>P. del S. 507</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3715"/>
    <w:rsid w:val="00006DDC"/>
    <w:rsid w:val="00011E09"/>
    <w:rsid w:val="00016AE0"/>
    <w:rsid w:val="00016D64"/>
    <w:rsid w:val="000230E7"/>
    <w:rsid w:val="00043B59"/>
    <w:rsid w:val="00045442"/>
    <w:rsid w:val="000461A9"/>
    <w:rsid w:val="00046DD2"/>
    <w:rsid w:val="000533CB"/>
    <w:rsid w:val="0005560C"/>
    <w:rsid w:val="00066916"/>
    <w:rsid w:val="000879BC"/>
    <w:rsid w:val="000902F9"/>
    <w:rsid w:val="000945D3"/>
    <w:rsid w:val="00096054"/>
    <w:rsid w:val="000A0CEF"/>
    <w:rsid w:val="000A135C"/>
    <w:rsid w:val="000B071A"/>
    <w:rsid w:val="000B0AC4"/>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94556"/>
    <w:rsid w:val="001A4A02"/>
    <w:rsid w:val="001A7434"/>
    <w:rsid w:val="001B5218"/>
    <w:rsid w:val="001B77D6"/>
    <w:rsid w:val="001C0F9B"/>
    <w:rsid w:val="001C2FA8"/>
    <w:rsid w:val="001C31BA"/>
    <w:rsid w:val="001C5DEB"/>
    <w:rsid w:val="001D12A7"/>
    <w:rsid w:val="001D3C1D"/>
    <w:rsid w:val="001D70F5"/>
    <w:rsid w:val="001D79E5"/>
    <w:rsid w:val="001E78B4"/>
    <w:rsid w:val="001F59C6"/>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22B9"/>
    <w:rsid w:val="003465C8"/>
    <w:rsid w:val="00352C78"/>
    <w:rsid w:val="00381F18"/>
    <w:rsid w:val="0038390D"/>
    <w:rsid w:val="003857EC"/>
    <w:rsid w:val="00386D32"/>
    <w:rsid w:val="0039037B"/>
    <w:rsid w:val="003906D8"/>
    <w:rsid w:val="00392CEA"/>
    <w:rsid w:val="00393CA6"/>
    <w:rsid w:val="003A201A"/>
    <w:rsid w:val="003A3583"/>
    <w:rsid w:val="003B0348"/>
    <w:rsid w:val="003D7045"/>
    <w:rsid w:val="003E765A"/>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B5AC3"/>
    <w:rsid w:val="004C370E"/>
    <w:rsid w:val="004D2BC7"/>
    <w:rsid w:val="004D4E14"/>
    <w:rsid w:val="004E7F65"/>
    <w:rsid w:val="004F3C4D"/>
    <w:rsid w:val="004F6E72"/>
    <w:rsid w:val="004F7173"/>
    <w:rsid w:val="0051050B"/>
    <w:rsid w:val="00530395"/>
    <w:rsid w:val="005354C6"/>
    <w:rsid w:val="00540B6A"/>
    <w:rsid w:val="00540DDE"/>
    <w:rsid w:val="00541FE3"/>
    <w:rsid w:val="005478C9"/>
    <w:rsid w:val="00550023"/>
    <w:rsid w:val="00550412"/>
    <w:rsid w:val="00552B8A"/>
    <w:rsid w:val="00555018"/>
    <w:rsid w:val="005713A1"/>
    <w:rsid w:val="00571789"/>
    <w:rsid w:val="00573858"/>
    <w:rsid w:val="00573B23"/>
    <w:rsid w:val="005741F6"/>
    <w:rsid w:val="00580EC6"/>
    <w:rsid w:val="005817B7"/>
    <w:rsid w:val="00592B05"/>
    <w:rsid w:val="005A24EF"/>
    <w:rsid w:val="005A4787"/>
    <w:rsid w:val="005B2884"/>
    <w:rsid w:val="005C5E81"/>
    <w:rsid w:val="005D0F04"/>
    <w:rsid w:val="005D2E57"/>
    <w:rsid w:val="005D4AA7"/>
    <w:rsid w:val="005E150B"/>
    <w:rsid w:val="005E7E85"/>
    <w:rsid w:val="0061550A"/>
    <w:rsid w:val="00615AB1"/>
    <w:rsid w:val="00615E64"/>
    <w:rsid w:val="00622333"/>
    <w:rsid w:val="006239E8"/>
    <w:rsid w:val="00636C4D"/>
    <w:rsid w:val="00650D8E"/>
    <w:rsid w:val="0066129F"/>
    <w:rsid w:val="00662809"/>
    <w:rsid w:val="006807C0"/>
    <w:rsid w:val="006861CE"/>
    <w:rsid w:val="006A24A9"/>
    <w:rsid w:val="006B3D07"/>
    <w:rsid w:val="006B6346"/>
    <w:rsid w:val="006B7E26"/>
    <w:rsid w:val="006C283C"/>
    <w:rsid w:val="006C5AC0"/>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7F7D09"/>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371B"/>
    <w:rsid w:val="009645CD"/>
    <w:rsid w:val="00970DEB"/>
    <w:rsid w:val="00981A1F"/>
    <w:rsid w:val="00984F56"/>
    <w:rsid w:val="009A0098"/>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45A6A"/>
    <w:rsid w:val="00A52A66"/>
    <w:rsid w:val="00A52CD9"/>
    <w:rsid w:val="00A6445C"/>
    <w:rsid w:val="00A83C12"/>
    <w:rsid w:val="00A870EF"/>
    <w:rsid w:val="00A90DAD"/>
    <w:rsid w:val="00A93C47"/>
    <w:rsid w:val="00AA0006"/>
    <w:rsid w:val="00AB2E69"/>
    <w:rsid w:val="00AC3813"/>
    <w:rsid w:val="00AC5139"/>
    <w:rsid w:val="00AD076F"/>
    <w:rsid w:val="00AD4B71"/>
    <w:rsid w:val="00AE555C"/>
    <w:rsid w:val="00AF12FB"/>
    <w:rsid w:val="00AF56F5"/>
    <w:rsid w:val="00AF5E84"/>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7276A"/>
    <w:rsid w:val="00B75CCF"/>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1736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45B38"/>
    <w:rsid w:val="00D5351E"/>
    <w:rsid w:val="00D61B6F"/>
    <w:rsid w:val="00D72149"/>
    <w:rsid w:val="00D759DB"/>
    <w:rsid w:val="00D8699D"/>
    <w:rsid w:val="00D9263A"/>
    <w:rsid w:val="00D93BA6"/>
    <w:rsid w:val="00D948B0"/>
    <w:rsid w:val="00D95836"/>
    <w:rsid w:val="00D96D40"/>
    <w:rsid w:val="00DA0051"/>
    <w:rsid w:val="00DA1E64"/>
    <w:rsid w:val="00DA3DC3"/>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163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21A56"/>
    <w:rsid w:val="00F3003D"/>
    <w:rsid w:val="00F315D1"/>
    <w:rsid w:val="00F35727"/>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96371B"/>
    <w:rPr>
      <w:color w:val="467886" w:themeColor="hyperlink"/>
      <w:u w:val="single"/>
    </w:rPr>
  </w:style>
  <w:style w:type="character" w:styleId="UnresolvedMention">
    <w:name w:val="Unresolved Mention"/>
    <w:basedOn w:val="DefaultParagraphFont"/>
    <w:uiPriority w:val="47"/>
    <w:rsid w:val="00963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pubmed.ncbi.nlm.nih.gov/378922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4SQX5P7U7WPY-958212181-817352</_dlc_DocId>
    <_dlc_DocIdUrl xmlns="c890fddd-4e87-4e08-8b51-545f2a3f7b06">
      <Url>https://senpr.sharepoint.com/sites/obralegislativa/_layouts/15/DocIdRedir.aspx?ID=4SQX5P7U7WPY-958212181-817352</Url>
      <Description>4SQX5P7U7WPY-958212181-817352</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5ACAC9-0596-479A-A5DD-13179752D81F}"/>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F71F214A-7CD8-4F89-9B25-48E83C39D848}"/>
</file>

<file path=docProps/app.xml><?xml version="1.0" encoding="utf-8"?>
<Properties xmlns="http://schemas.openxmlformats.org/officeDocument/2006/extended-properties" xmlns:vt="http://schemas.openxmlformats.org/officeDocument/2006/docPropsVTypes">
  <Template>Medida-V2009</Template>
  <TotalTime>0</TotalTime>
  <Pages>6</Pages>
  <Words>1530</Words>
  <Characters>8273</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2025-08-14T13:23:00Z</dcterms:created>
  <dcterms:modified xsi:type="dcterms:W3CDTF">2025-08-14T13:23:00Z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626a6c7e-76f4-4f05-bb26-7799996915ce</vt:lpwstr>
  </property>
  <property fmtid="{D5CDD505-2E9C-101B-9397-08002B2CF9AE}" pid="4" name="MediaServiceImageTags">
    <vt:lpwstr/>
  </property>
</Properties>
</file>