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D18644D" w:rsidR="001A4A89" w:rsidRPr="00AC627E" w:rsidRDefault="00C07B92" w:rsidP="00B76F7C">
      <w:pPr>
        <w:ind w:firstLine="720"/>
        <w:jc w:val="center"/>
        <w:rPr>
          <w:rFonts w:ascii="Book Antiqua" w:hAnsi="Book Antiqua"/>
          <w:b/>
          <w:sz w:val="52"/>
          <w:lang w:val="es-ES"/>
        </w:rPr>
      </w:pPr>
      <w:r>
        <w:rPr>
          <w:rFonts w:ascii="Book Antiqua" w:hAnsi="Book Antiqua"/>
          <w:b/>
          <w:sz w:val="52"/>
          <w:lang w:val="es-ES"/>
        </w:rPr>
        <w:t>P. de</w:t>
      </w:r>
      <w:r w:rsidR="00796275">
        <w:rPr>
          <w:rFonts w:ascii="Book Antiqua" w:hAnsi="Book Antiqua"/>
          <w:b/>
          <w:sz w:val="52"/>
          <w:lang w:val="es-ES"/>
        </w:rPr>
        <w:t xml:space="preserve">l S. </w:t>
      </w:r>
      <w:r w:rsidR="00BD2B30">
        <w:rPr>
          <w:rFonts w:ascii="Book Antiqua" w:hAnsi="Book Antiqua"/>
          <w:b/>
          <w:sz w:val="52"/>
          <w:lang w:val="es-ES"/>
        </w:rPr>
        <w:t>509</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766848EC"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INFORME</w:t>
      </w:r>
      <w:r w:rsidR="00EB44FA">
        <w:rPr>
          <w:rFonts w:ascii="Book Antiqua" w:hAnsi="Book Antiqua"/>
          <w:b/>
          <w:sz w:val="28"/>
          <w:lang w:val="es-ES"/>
        </w:rPr>
        <w:t xml:space="preserve"> </w:t>
      </w:r>
      <w:r w:rsidR="00EB44FA" w:rsidRPr="00D75FBB">
        <w:rPr>
          <w:rFonts w:ascii="Book Antiqua" w:hAnsi="Book Antiqua"/>
          <w:b/>
          <w:sz w:val="28"/>
          <w:lang w:val="es-ES"/>
        </w:rPr>
        <w:t>POSITIVO</w:t>
      </w:r>
    </w:p>
    <w:p w14:paraId="7E659FF4" w14:textId="09BA2639" w:rsidR="00D71003" w:rsidRPr="00160853" w:rsidRDefault="000B3B24"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8</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9840F3">
        <w:rPr>
          <w:rFonts w:ascii="Book Antiqua" w:hAnsi="Book Antiqua"/>
          <w:color w:val="000000" w:themeColor="text1"/>
          <w:sz w:val="22"/>
          <w:szCs w:val="18"/>
          <w:lang w:val="es-PR"/>
        </w:rPr>
        <w:t>ABRIL</w:t>
      </w:r>
      <w:r w:rsidR="00F23A3D">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79627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4ABA109" w14:textId="20BAE06E" w:rsidR="007B6197" w:rsidRPr="007B6197" w:rsidRDefault="007B6197" w:rsidP="007B6197">
      <w:pPr>
        <w:spacing w:before="100" w:beforeAutospacing="1" w:after="100" w:afterAutospacing="1"/>
        <w:ind w:firstLine="720"/>
        <w:jc w:val="both"/>
        <w:rPr>
          <w:rFonts w:ascii="Book Antiqua" w:hAnsi="Book Antiqua"/>
          <w:lang w:val="es-PR"/>
        </w:rPr>
      </w:pPr>
      <w:bookmarkStart w:id="0" w:name="_Hlk191047724"/>
      <w:r w:rsidRPr="007B6197">
        <w:rPr>
          <w:rFonts w:ascii="Book Antiqua" w:hAnsi="Book Antiqua"/>
          <w:lang w:val="es-PR"/>
        </w:rPr>
        <w:t>La Comisión de Educación de la Cámara de Representantes, tras un exhaustivo análisis y evaluación, recomienda respetuosamente a este Honorable Cuerpo Legislativo la aprobación del Proyecto del Senado 509 (en adelante, P. del S. 509), mediante el presente Informe Positivo, incorporando las enmiendas sugeridas al</w:t>
      </w:r>
      <w:r w:rsidR="000C5754">
        <w:rPr>
          <w:rFonts w:ascii="Book Antiqua" w:hAnsi="Book Antiqua"/>
          <w:lang w:val="es-PR"/>
        </w:rPr>
        <w:t xml:space="preserve"> título y</w:t>
      </w:r>
      <w:r w:rsidRPr="007B6197">
        <w:rPr>
          <w:rFonts w:ascii="Book Antiqua" w:hAnsi="Book Antiqua"/>
          <w:lang w:val="es-PR"/>
        </w:rPr>
        <w:t xml:space="preserve"> contenido, las cuales se detallan en el entirillado electrónico que se acompaña.</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720EF5D6" w14:textId="45217F68" w:rsidR="00DE5604" w:rsidRPr="00C1650E" w:rsidRDefault="00C07B92" w:rsidP="008944AB">
      <w:pPr>
        <w:ind w:firstLine="720"/>
        <w:jc w:val="both"/>
        <w:rPr>
          <w:rFonts w:ascii="Book Antiqua" w:hAnsi="Book Antiqua"/>
          <w:szCs w:val="24"/>
          <w:lang w:val="es-PR"/>
        </w:rPr>
      </w:pPr>
      <w:r>
        <w:rPr>
          <w:rFonts w:ascii="Book Antiqua" w:hAnsi="Book Antiqua"/>
          <w:szCs w:val="24"/>
          <w:lang w:val="es-ES_tradnl"/>
        </w:rPr>
        <w:t>El P. de</w:t>
      </w:r>
      <w:r w:rsidR="00796275">
        <w:rPr>
          <w:rFonts w:ascii="Book Antiqua" w:hAnsi="Book Antiqua"/>
          <w:szCs w:val="24"/>
          <w:lang w:val="es-ES_tradnl"/>
        </w:rPr>
        <w:t xml:space="preserve">l S. </w:t>
      </w:r>
      <w:r w:rsidR="00BD2B30">
        <w:rPr>
          <w:rFonts w:ascii="Book Antiqua" w:hAnsi="Book Antiqua"/>
          <w:szCs w:val="24"/>
          <w:lang w:val="es-ES_tradnl"/>
        </w:rPr>
        <w:t>509</w:t>
      </w:r>
      <w:r w:rsidR="002A667B">
        <w:rPr>
          <w:rFonts w:ascii="Book Antiqua" w:hAnsi="Book Antiqua"/>
          <w:szCs w:val="24"/>
          <w:lang w:val="es-ES_tradnl"/>
        </w:rPr>
        <w:t xml:space="preserve">, </w:t>
      </w:r>
      <w:r w:rsidR="002C1204" w:rsidRPr="00C1650E">
        <w:rPr>
          <w:rFonts w:ascii="Book Antiqua" w:hAnsi="Book Antiqua"/>
          <w:szCs w:val="24"/>
          <w:lang w:val="es-PR"/>
        </w:rPr>
        <w:t>tiene como propósit</w:t>
      </w:r>
      <w:r w:rsidR="00EC1CEA" w:rsidRPr="00C1650E">
        <w:rPr>
          <w:rFonts w:ascii="Book Antiqua" w:hAnsi="Book Antiqua"/>
          <w:szCs w:val="24"/>
          <w:lang w:val="es-PR"/>
        </w:rPr>
        <w:t>o</w:t>
      </w:r>
      <w:r w:rsidR="00555CA0">
        <w:rPr>
          <w:rFonts w:ascii="Book Antiqua" w:hAnsi="Book Antiqua"/>
          <w:szCs w:val="24"/>
          <w:lang w:val="es-PR"/>
        </w:rPr>
        <w:t xml:space="preserve"> </w:t>
      </w:r>
      <w:r w:rsidR="00BD2B30" w:rsidRPr="00BD2B30">
        <w:rPr>
          <w:rFonts w:ascii="Book Antiqua" w:hAnsi="Book Antiqua"/>
          <w:szCs w:val="24"/>
          <w:lang w:val="es-PR"/>
        </w:rPr>
        <w:t>enmendar el Artículo 1.04 de la Ley 85-2018, según enmendada, conocida como “Ley de Reforma Educativa de Puerto Rico”, a los fines de disponer para que el Secretario del Departamento de Educación implante un denominado “Protocolo de Intervención Interdisciplinario para Estudiantes con Patrones Crónicos de Ausencia”, el cual se activará al surgir anomalías o inconsistencias en la asistencia de los estudiantes de las escuelas públicas; establecer los mecanismos de alarma para la activación del grupo interdisciplinario aquí instituido; crear un programa de apoyo y seguimiento para los menores intervenidos; derogar la Ley 37-2014; y para otros fines relacionados.</w:t>
      </w:r>
    </w:p>
    <w:p w14:paraId="26C62843" w14:textId="00FDB6C7" w:rsidR="00364902" w:rsidRPr="00C1650E" w:rsidRDefault="00364902" w:rsidP="001959E7">
      <w:pPr>
        <w:spacing w:before="100" w:beforeAutospacing="1" w:after="100" w:afterAutospacing="1"/>
        <w:jc w:val="center"/>
        <w:rPr>
          <w:rFonts w:ascii="Book Antiqua" w:hAnsi="Book Antiqua"/>
          <w:szCs w:val="24"/>
          <w:lang w:val="es-PR"/>
        </w:rPr>
      </w:pPr>
      <w:r w:rsidRPr="00C1650E">
        <w:rPr>
          <w:rFonts w:ascii="Book Antiqua" w:hAnsi="Book Antiqua"/>
          <w:b/>
          <w:bCs/>
          <w:lang w:val="es-ES_tradnl"/>
        </w:rPr>
        <w:t>INTRODUCCIÓN</w:t>
      </w:r>
    </w:p>
    <w:p w14:paraId="5F907B42"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 xml:space="preserve">La Exposición de Motivos de la presente pieza legislativa reconoce que la deserción escolar constituye una problemática compleja y multifactorial que impacta profundamente el sistema de educación pública y el desarrollo social y económico del país. Diversos estudios han demostrado que los estudiantes en riesgo de abandonar la </w:t>
      </w:r>
      <w:r w:rsidRPr="00B22332">
        <w:rPr>
          <w:rFonts w:ascii="Book Antiqua" w:hAnsi="Book Antiqua"/>
          <w:szCs w:val="24"/>
          <w:lang w:val="es-PR"/>
        </w:rPr>
        <w:lastRenderedPageBreak/>
        <w:t>escuela suelen presentar bajo rendimiento académico, repitencia de grado y patrones de ausentismo recurrente, factores que contribuyen a su progresiva desvinculación del entorno escolar.</w:t>
      </w:r>
    </w:p>
    <w:p w14:paraId="44D5888A"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Entre las causas principales de esta situación se destacan factores socioeconómicos como la precariedad económica, la disfunción familiar y la falta de apoyo educativo en el hogar; condiciones de salud no atendidas, incluyendo dificultades físicas, sensoriales o cognitivas; y aspectos relacionados con el ambiente escolar, tales como metodologías pedagógicas poco adaptadas, percepción de irrelevancia curricular, expectativas académicas reducidas o prácticas discriminatorias.</w:t>
      </w:r>
    </w:p>
    <w:p w14:paraId="4EE3EFBF"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Las estadísticas del Departamento de Educación correspondientes al Año Escolar 2022</w:t>
      </w:r>
      <w:r w:rsidRPr="00B22332">
        <w:rPr>
          <w:rFonts w:ascii="Book Antiqua" w:hAnsi="Book Antiqua"/>
          <w:szCs w:val="24"/>
          <w:lang w:val="es-PR"/>
        </w:rPr>
        <w:noBreakHyphen/>
        <w:t>2023 reflejan niveles preocupantes de deserción, particularmente en la población de educación especial. Aunque se observan reducciones en comparación con años previos, especialmente respecto al periodo 2020</w:t>
      </w:r>
      <w:r w:rsidRPr="00B22332">
        <w:rPr>
          <w:rFonts w:ascii="Book Antiqua" w:hAnsi="Book Antiqua"/>
          <w:szCs w:val="24"/>
          <w:lang w:val="es-PR"/>
        </w:rPr>
        <w:noBreakHyphen/>
        <w:t>2021, la tendencia evidencia que el ausentismo crónico y la deserción continúan representando un reto estructural que exige intervenciones más efectivas, sistemáticas y coordinadas.</w:t>
      </w:r>
    </w:p>
    <w:p w14:paraId="19715585"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El costo social de este fenómeno trasciende el ámbito escolar: se asocia con mayor probabilidad de desempleo, dependencia de ayudas gubernamentales y exposición a conductas delictivas. Existe una relación directa entre nivel educativo, acceso a oportunidades de empleo y estabilidad económica, lo que subraya la necesidad de una política pública robusta y preventiva.</w:t>
      </w:r>
    </w:p>
    <w:p w14:paraId="2BEA8EB5"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Si bien el Departamento de Educación ha implantado iniciativas como el Proyecto de Centros de Apoyo Sustentable al Alumno (Proyecto CASA) y el Programa de Trabajo Social, dirigidos a la retención y al desarrollo integral del estudiante, estas estrategias no han logrado frenar de manera significativa el incremento del ausentismo crónico.</w:t>
      </w:r>
    </w:p>
    <w:p w14:paraId="607182DA"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En este contexto, la medida legislativa propone enmendar la “Ley de Reforma Educativa de Puerto Rico” con el fin de establecer un “Protocolo de Intervención Interdisciplinario para Estudiantes con Patrones Crónicos de Ausencia”. Este mecanismo permitirá la identificación temprana de estudiantes en riesgo mediante la activación de alertas en el Sistema de Información Estudiantil (SIE), lo que facilitará intervenciones oportunas por parte de un equipo interdisciplinario y la implantación de planes individualizados de apoyo, seguimiento y modificación de conducta.</w:t>
      </w:r>
    </w:p>
    <w:p w14:paraId="7DB5E1DF" w14:textId="77777777" w:rsidR="00B22332" w:rsidRPr="00B22332" w:rsidRDefault="00B22332" w:rsidP="00B22332">
      <w:pPr>
        <w:spacing w:before="100" w:beforeAutospacing="1" w:after="100" w:afterAutospacing="1"/>
        <w:ind w:firstLine="720"/>
        <w:jc w:val="both"/>
        <w:rPr>
          <w:rFonts w:ascii="Book Antiqua" w:hAnsi="Book Antiqua"/>
          <w:szCs w:val="24"/>
          <w:lang w:val="es-PR"/>
        </w:rPr>
      </w:pPr>
      <w:r w:rsidRPr="00B22332">
        <w:rPr>
          <w:rFonts w:ascii="Book Antiqua" w:hAnsi="Book Antiqua"/>
          <w:szCs w:val="24"/>
          <w:lang w:val="es-PR"/>
        </w:rPr>
        <w:t>La medida se fundamenta en el alto interés público de garantizar el derecho constitucional a la educación y en el deber ministerial del Estado de asegurar que toda persona menor de edad reciba instrucción pública adecuada, conforme a lo dispuesto en la Sección 5 del Artículo II de la Constitución de Puerto Rico y en el Artículo 16 de la Ley 289</w:t>
      </w:r>
      <w:r w:rsidRPr="00B22332">
        <w:rPr>
          <w:rFonts w:ascii="Book Antiqua" w:hAnsi="Book Antiqua"/>
          <w:szCs w:val="24"/>
          <w:lang w:val="es-PR"/>
        </w:rPr>
        <w:noBreakHyphen/>
        <w:t>2000, según enmendada. Asimismo, la propuesta resulta operacionalmente viable, en tanto el SIE constituye una plataforma tecnológica consolidada, de uso generalizado y con capacidad comprobada para manejar datos de asistencia, matrícula y progreso académico.</w:t>
      </w:r>
    </w:p>
    <w:p w14:paraId="53A5C00F" w14:textId="77777777" w:rsidR="00DE7817" w:rsidRDefault="00DE7817" w:rsidP="00A412AF">
      <w:pPr>
        <w:spacing w:before="100" w:beforeAutospacing="1" w:after="100" w:afterAutospacing="1"/>
        <w:jc w:val="center"/>
        <w:rPr>
          <w:rFonts w:ascii="Book Antiqua" w:hAnsi="Book Antiqua"/>
          <w:szCs w:val="24"/>
          <w:lang w:val="es-PR"/>
        </w:rPr>
      </w:pPr>
    </w:p>
    <w:p w14:paraId="6D6403C5" w14:textId="2C730579" w:rsidR="004E4E62" w:rsidRPr="00C1650E" w:rsidRDefault="00B7320F" w:rsidP="00A412AF">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32E4E062" w14:textId="77777777" w:rsidR="00290725" w:rsidRPr="00290725" w:rsidRDefault="004E4E62" w:rsidP="00290725">
      <w:pPr>
        <w:spacing w:before="100" w:beforeAutospacing="1" w:after="100" w:afterAutospacing="1"/>
        <w:jc w:val="both"/>
        <w:rPr>
          <w:rFonts w:ascii="Book Antiqua" w:hAnsi="Book Antiqua"/>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290725" w:rsidRPr="00290725">
        <w:rPr>
          <w:rFonts w:ascii="Book Antiqua" w:hAnsi="Book Antiqua"/>
          <w:lang w:val="es-PR"/>
        </w:rPr>
        <w:t>El P. del S. 509 fue radicado el 9 de abril de 2025 y referido a la Comisión de Educación el 3 de noviembre de 2025. Para su evaluación, fueron solicitados memoriales explicativos al Departamento de Educación de Puerto Rico, Educadores Puertorriqueños en Acción, Inc. y la Asociación de Psicología de Puerto Rico.</w:t>
      </w:r>
    </w:p>
    <w:p w14:paraId="76B48F51" w14:textId="190E8A5C" w:rsidR="00E51A84" w:rsidRPr="001959E7" w:rsidRDefault="00290725" w:rsidP="00290725">
      <w:pPr>
        <w:spacing w:before="100" w:beforeAutospacing="1" w:after="100" w:afterAutospacing="1"/>
        <w:jc w:val="both"/>
        <w:rPr>
          <w:rFonts w:ascii="Book Antiqua" w:hAnsi="Book Antiqua"/>
          <w:color w:val="000000" w:themeColor="text1"/>
          <w:szCs w:val="24"/>
          <w:lang w:val="es-PR"/>
        </w:rPr>
      </w:pPr>
      <w:r w:rsidRPr="00290725">
        <w:rPr>
          <w:rFonts w:ascii="Book Antiqua" w:hAnsi="Book Antiqua"/>
          <w:szCs w:val="24"/>
          <w:lang w:val="es-PR"/>
        </w:rPr>
        <w:t>A continuación, se presenta un resumen de los comentarios provistos</w:t>
      </w:r>
      <w:r>
        <w:rPr>
          <w:rFonts w:ascii="Book Antiqua" w:hAnsi="Book Antiqua"/>
          <w:szCs w:val="24"/>
          <w:lang w:val="es-PR"/>
        </w:rPr>
        <w:t xml:space="preserve"> </w:t>
      </w:r>
      <w:r w:rsidR="006F31DC" w:rsidRPr="006F31DC">
        <w:rPr>
          <w:rFonts w:ascii="Book Antiqua" w:hAnsi="Book Antiqua"/>
          <w:color w:val="000000" w:themeColor="text1"/>
          <w:szCs w:val="24"/>
          <w:lang w:val="es-PR"/>
        </w:rPr>
        <w:t>por las entidades gubernamentales antes mencionadas:</w:t>
      </w:r>
    </w:p>
    <w:p w14:paraId="2EA11240" w14:textId="3F609157" w:rsidR="000D2A12" w:rsidRPr="000D2A12" w:rsidRDefault="000D2A12" w:rsidP="00E51A84">
      <w:pPr>
        <w:spacing w:before="100" w:beforeAutospacing="1" w:after="100" w:afterAutospacing="1"/>
        <w:ind w:firstLine="720"/>
        <w:jc w:val="center"/>
        <w:rPr>
          <w:rFonts w:ascii="Book Antiqua" w:hAnsi="Book Antiqua"/>
          <w:b/>
          <w:bCs/>
          <w:color w:val="000000" w:themeColor="text1"/>
          <w:szCs w:val="24"/>
          <w:lang w:val="es-PR"/>
        </w:rPr>
      </w:pPr>
      <w:r w:rsidRPr="000D2A12">
        <w:rPr>
          <w:rFonts w:ascii="Book Antiqua" w:hAnsi="Book Antiqua"/>
          <w:b/>
          <w:bCs/>
          <w:color w:val="000000" w:themeColor="text1"/>
          <w:szCs w:val="24"/>
          <w:lang w:val="es-PR"/>
        </w:rPr>
        <w:t>DEPARTAMENTO DE EDUCACION DE PUERTO RICO</w:t>
      </w:r>
    </w:p>
    <w:p w14:paraId="5AFA778B" w14:textId="77777777" w:rsidR="00E643E7" w:rsidRDefault="000D2A12" w:rsidP="00E643E7">
      <w:pPr>
        <w:spacing w:before="100" w:beforeAutospacing="1" w:after="100" w:afterAutospacing="1"/>
        <w:ind w:firstLine="720"/>
        <w:jc w:val="both"/>
        <w:rPr>
          <w:rFonts w:ascii="Book Antiqua" w:hAnsi="Book Antiqua"/>
          <w:color w:val="000000" w:themeColor="text1"/>
          <w:szCs w:val="24"/>
          <w:lang w:val="es-PR"/>
        </w:rPr>
      </w:pPr>
      <w:r w:rsidRPr="000D2A12">
        <w:rPr>
          <w:rFonts w:ascii="Book Antiqua" w:hAnsi="Book Antiqua"/>
          <w:color w:val="000000" w:themeColor="text1"/>
          <w:szCs w:val="24"/>
          <w:lang w:val="es-PR"/>
        </w:rPr>
        <w:t>El Departamento de Educación de Puerto Rico. (en adelante, DEPR), representad</w:t>
      </w:r>
      <w:r>
        <w:rPr>
          <w:rFonts w:ascii="Book Antiqua" w:hAnsi="Book Antiqua"/>
          <w:color w:val="000000" w:themeColor="text1"/>
          <w:szCs w:val="24"/>
          <w:lang w:val="es-PR"/>
        </w:rPr>
        <w:t>o</w:t>
      </w:r>
      <w:r w:rsidRPr="000D2A12">
        <w:rPr>
          <w:rFonts w:ascii="Book Antiqua" w:hAnsi="Book Antiqua"/>
          <w:color w:val="000000" w:themeColor="text1"/>
          <w:szCs w:val="24"/>
          <w:lang w:val="es-PR"/>
        </w:rPr>
        <w:t xml:space="preserve"> por su </w:t>
      </w:r>
      <w:r>
        <w:rPr>
          <w:rFonts w:ascii="Book Antiqua" w:hAnsi="Book Antiqua"/>
          <w:color w:val="000000" w:themeColor="text1"/>
          <w:szCs w:val="24"/>
          <w:lang w:val="es-PR"/>
        </w:rPr>
        <w:t>S</w:t>
      </w:r>
      <w:r w:rsidRPr="000D2A12">
        <w:rPr>
          <w:rFonts w:ascii="Book Antiqua" w:hAnsi="Book Antiqua"/>
          <w:color w:val="000000" w:themeColor="text1"/>
          <w:szCs w:val="24"/>
          <w:lang w:val="es-PR"/>
        </w:rPr>
        <w:t xml:space="preserve">ecretario, Lcdo. Eliezer Ramos Pares, </w:t>
      </w:r>
      <w:r w:rsidR="00C261EF">
        <w:rPr>
          <w:rFonts w:ascii="Book Antiqua" w:hAnsi="Book Antiqua"/>
          <w:color w:val="000000" w:themeColor="text1"/>
          <w:szCs w:val="24"/>
          <w:lang w:val="es-PR"/>
        </w:rPr>
        <w:t>emitió</w:t>
      </w:r>
      <w:r>
        <w:rPr>
          <w:rFonts w:ascii="Book Antiqua" w:hAnsi="Book Antiqua"/>
          <w:color w:val="000000" w:themeColor="text1"/>
          <w:szCs w:val="24"/>
          <w:lang w:val="es-PR"/>
        </w:rPr>
        <w:t xml:space="preserve"> </w:t>
      </w:r>
      <w:r w:rsidRPr="000D2A12">
        <w:rPr>
          <w:rFonts w:ascii="Book Antiqua" w:hAnsi="Book Antiqua"/>
          <w:color w:val="000000" w:themeColor="text1"/>
          <w:szCs w:val="24"/>
          <w:lang w:val="es-PR"/>
        </w:rPr>
        <w:t>comentarios y recomendaciones sobre el P. de</w:t>
      </w:r>
      <w:r w:rsidR="00EB302B">
        <w:rPr>
          <w:rFonts w:ascii="Book Antiqua" w:hAnsi="Book Antiqua"/>
          <w:color w:val="000000" w:themeColor="text1"/>
          <w:szCs w:val="24"/>
          <w:lang w:val="es-PR"/>
        </w:rPr>
        <w:t xml:space="preserve">l S. </w:t>
      </w:r>
      <w:r w:rsidR="001959E7">
        <w:rPr>
          <w:rFonts w:ascii="Book Antiqua" w:hAnsi="Book Antiqua"/>
          <w:color w:val="000000" w:themeColor="text1"/>
          <w:szCs w:val="24"/>
          <w:lang w:val="es-PR"/>
        </w:rPr>
        <w:t>509.</w:t>
      </w:r>
      <w:r w:rsidR="00E643E7">
        <w:rPr>
          <w:rFonts w:ascii="Book Antiqua" w:hAnsi="Book Antiqua"/>
          <w:color w:val="000000" w:themeColor="text1"/>
          <w:szCs w:val="24"/>
          <w:lang w:val="es-PR"/>
        </w:rPr>
        <w:t xml:space="preserve"> Expresó </w:t>
      </w:r>
      <w:r w:rsidR="00E643E7" w:rsidRPr="00E643E7">
        <w:rPr>
          <w:rFonts w:ascii="Book Antiqua" w:hAnsi="Book Antiqua"/>
          <w:color w:val="000000" w:themeColor="text1"/>
          <w:szCs w:val="24"/>
          <w:lang w:val="es-PR"/>
        </w:rPr>
        <w:t>su respaldo al P. del S. 509 y reconoció la pertinencia de establecer un “Protocolo de Intervención Interdisciplinaria para Estudiantes con Patrones Crónicos de Ausencia” como herramienta para fortalecer la política pública dirigida a atender el ausentismo escolar y reducir el riesgo de deserción.</w:t>
      </w:r>
    </w:p>
    <w:p w14:paraId="74D9D296" w14:textId="77777777" w:rsidR="00E64E3A"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t>El DEPR señaló que, aunque a lo largo de los años se han implantado diversas iniciativas para atender el ausentismo, los resultados no han sido suficientes para contrarrestar de manera efectiva el problema. En ese sentido, la medida legislativa propuesta se enmarca en la misión institucional de garantizar acceso equitativo y continuo a la educación pública, al reconocer que el ausentismo crónico constituye una amenaza significativa para la permanencia escolar y el desarrollo integral del estudiantado.</w:t>
      </w:r>
    </w:p>
    <w:p w14:paraId="13D345FA" w14:textId="77777777" w:rsidR="00E64E3A"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t>El memorial resaltó la coherencia entre el protocolo propuesto y el modelo establecido por la Unidad Especializada en Atención Escolar (UEAE), creada durante el año escolar 2024</w:t>
      </w:r>
      <w:r w:rsidRPr="00E643E7">
        <w:rPr>
          <w:rFonts w:ascii="Book Antiqua" w:hAnsi="Book Antiqua"/>
          <w:color w:val="000000" w:themeColor="text1"/>
          <w:szCs w:val="24"/>
          <w:lang w:val="es-PR"/>
        </w:rPr>
        <w:noBreakHyphen/>
        <w:t>2025. Esta unidad tiene como función evaluar, investigar y dar seguimiento a casos de posible negligencia escolar canalizados por las Oficinas Regionales Educativas, así como proveer capacitación y consultoría al personal de trabajo social del Departamento de Educación y del Departamento de la Familia. El DEPR enfatizó que la UEAE ha demostrado que la intervención temprana y la colaboración interagencial</w:t>
      </w:r>
      <w:r w:rsidR="00E64E3A">
        <w:rPr>
          <w:rFonts w:ascii="Book Antiqua" w:hAnsi="Book Antiqua"/>
          <w:color w:val="000000" w:themeColor="text1"/>
          <w:szCs w:val="24"/>
          <w:lang w:val="es-PR"/>
        </w:rPr>
        <w:t xml:space="preserve">, </w:t>
      </w:r>
      <w:r w:rsidRPr="00E643E7">
        <w:rPr>
          <w:rFonts w:ascii="Book Antiqua" w:hAnsi="Book Antiqua"/>
          <w:color w:val="000000" w:themeColor="text1"/>
          <w:szCs w:val="24"/>
          <w:lang w:val="es-PR"/>
        </w:rPr>
        <w:t>particularmente con la Administración de Familias y Niños (ADFAN)</w:t>
      </w:r>
      <w:r w:rsidR="00E64E3A">
        <w:rPr>
          <w:rFonts w:ascii="Book Antiqua" w:hAnsi="Book Antiqua"/>
          <w:color w:val="000000" w:themeColor="text1"/>
          <w:szCs w:val="24"/>
          <w:lang w:val="es-PR"/>
        </w:rPr>
        <w:t>,</w:t>
      </w:r>
      <w:r w:rsidRPr="00E643E7">
        <w:rPr>
          <w:rFonts w:ascii="Book Antiqua" w:hAnsi="Book Antiqua"/>
          <w:color w:val="000000" w:themeColor="text1"/>
          <w:szCs w:val="24"/>
          <w:lang w:val="es-PR"/>
        </w:rPr>
        <w:t xml:space="preserve"> resultan efectivas para atender riesgos de negligencia escolar y reducir referidos que requieren acción externa.</w:t>
      </w:r>
    </w:p>
    <w:p w14:paraId="437017F2" w14:textId="77777777" w:rsidR="00E64E3A"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t>El DEPR informó que la experiencia de esta unidad ha permitido identificar y atender causas remediables dentro del propio sistema educativo, logrando una disminución significativa en los casos referidos con fundamento al Departamento de la Familia. Entre otros aspectos, destacó que la iniciativa se implementa en las siete Oficinas Regionales Educativas y cuenta con recursos operacionales que facilitan las investigaciones y visitas requeridas.</w:t>
      </w:r>
    </w:p>
    <w:p w14:paraId="798C05E5" w14:textId="77777777" w:rsidR="00E64E3A"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lastRenderedPageBreak/>
        <w:t>A juicio del DEPR, el Protocolo de Intervención Interdisciplinaria propuesto complementaría y robustecería las funciones de la UEAE al proveer un marco normativo uniforme para la identificación de casos, la coordinación entre profesionales y la activación oportuna de apoyo interagencial. Asimismo, señalaron que la medida fortalecería los esfuerzos del Equipo Interdisciplinario Socioemocional asignado a las escuelas, ampliando la capacidad institucional para intervenir de forma eficaz y sensible ante el ausentismo crónico.</w:t>
      </w:r>
    </w:p>
    <w:p w14:paraId="5D535E30" w14:textId="3CAAA516" w:rsidR="00E643E7" w:rsidRPr="00E643E7" w:rsidRDefault="00E643E7" w:rsidP="00E64E3A">
      <w:pPr>
        <w:spacing w:before="100" w:beforeAutospacing="1" w:after="100" w:afterAutospacing="1"/>
        <w:ind w:firstLine="720"/>
        <w:jc w:val="both"/>
        <w:rPr>
          <w:rFonts w:ascii="Book Antiqua" w:hAnsi="Book Antiqua"/>
          <w:color w:val="000000" w:themeColor="text1"/>
          <w:szCs w:val="24"/>
          <w:lang w:val="es-PR"/>
        </w:rPr>
      </w:pPr>
      <w:r w:rsidRPr="00E643E7">
        <w:rPr>
          <w:rFonts w:ascii="Book Antiqua" w:hAnsi="Book Antiqua"/>
          <w:color w:val="000000" w:themeColor="text1"/>
          <w:szCs w:val="24"/>
          <w:lang w:val="es-PR"/>
        </w:rPr>
        <w:t>En conclusión, el Departamento reiteró su apoyo al proyecto, expresó su disposición a colaborar con la Asamblea Legislativa en la implantación de la política pública que se adopte, y afirmó que la medida representa una oportunidad para fortalecer las acciones preventivas y correctivas en beneficio del bienestar y la permanencia escolar de los estudiantes.</w:t>
      </w:r>
    </w:p>
    <w:p w14:paraId="517B54F0" w14:textId="314D9207" w:rsidR="001959E7" w:rsidRDefault="001959E7" w:rsidP="00916AEC">
      <w:pPr>
        <w:spacing w:before="100" w:beforeAutospacing="1" w:after="100" w:afterAutospacing="1"/>
        <w:jc w:val="center"/>
        <w:rPr>
          <w:rFonts w:ascii="Book Antiqua" w:hAnsi="Book Antiqua"/>
          <w:b/>
          <w:bCs/>
          <w:color w:val="000000" w:themeColor="text1"/>
          <w:szCs w:val="24"/>
          <w:lang w:val="es-PR"/>
        </w:rPr>
      </w:pPr>
      <w:r w:rsidRPr="001959E7">
        <w:rPr>
          <w:rFonts w:ascii="Book Antiqua" w:hAnsi="Book Antiqua"/>
          <w:b/>
          <w:bCs/>
          <w:color w:val="000000" w:themeColor="text1"/>
          <w:szCs w:val="24"/>
          <w:lang w:val="es-PR"/>
        </w:rPr>
        <w:t>EDUCADORES PUERTORRIQUEÑOS EN ACCIÓN, INC.</w:t>
      </w:r>
    </w:p>
    <w:p w14:paraId="5A5B62D6" w14:textId="045B3DE4" w:rsidR="00922C7A" w:rsidRDefault="0015554F" w:rsidP="00922C7A">
      <w:pPr>
        <w:spacing w:before="100" w:beforeAutospacing="1" w:after="100" w:afterAutospacing="1"/>
        <w:ind w:firstLine="720"/>
        <w:jc w:val="both"/>
        <w:rPr>
          <w:rFonts w:ascii="Book Antiqua" w:hAnsi="Book Antiqua"/>
          <w:color w:val="000000" w:themeColor="text1"/>
          <w:szCs w:val="24"/>
          <w:lang w:val="es-PR"/>
        </w:rPr>
      </w:pPr>
      <w:r w:rsidRPr="0015554F">
        <w:rPr>
          <w:rFonts w:ascii="Book Antiqua" w:hAnsi="Book Antiqua"/>
          <w:color w:val="000000" w:themeColor="text1"/>
          <w:szCs w:val="24"/>
          <w:lang w:val="es-PR"/>
        </w:rPr>
        <w:t>La organización magisterial Educadores Puertorriqueños en Acción, Inc. (</w:t>
      </w:r>
      <w:r w:rsidR="00FF6CB4">
        <w:rPr>
          <w:rFonts w:ascii="Book Antiqua" w:hAnsi="Book Antiqua"/>
          <w:color w:val="000000" w:themeColor="text1"/>
          <w:szCs w:val="24"/>
          <w:lang w:val="es-PR"/>
        </w:rPr>
        <w:t xml:space="preserve">en adelante, </w:t>
      </w:r>
      <w:r w:rsidRPr="0015554F">
        <w:rPr>
          <w:rFonts w:ascii="Book Antiqua" w:hAnsi="Book Antiqua"/>
          <w:color w:val="000000" w:themeColor="text1"/>
          <w:szCs w:val="24"/>
          <w:lang w:val="es-PR"/>
        </w:rPr>
        <w:t>EPA), mediante memorial presentado por su Director Ejecutivo, Profesor Domingo Madera Ruiz, compareció con el propósito de expresar su posición respecto al P. del S. 509. EPA destacó que la deserción escolar constituye uno de los problemas sociales más apremiantes del País y señaló que las estadísticas demuestran una correlación significativa entre bajos niveles de escolaridad y mayor incidencia de conductas delictivas y limitadas oportunidades de desarrollo socioeconómico.</w:t>
      </w:r>
    </w:p>
    <w:p w14:paraId="55ACE888" w14:textId="77777777" w:rsidR="00922C7A" w:rsidRDefault="0015554F" w:rsidP="00922C7A">
      <w:pPr>
        <w:spacing w:before="100" w:beforeAutospacing="1" w:after="100" w:afterAutospacing="1"/>
        <w:ind w:firstLine="720"/>
        <w:jc w:val="both"/>
        <w:rPr>
          <w:rFonts w:ascii="Book Antiqua" w:hAnsi="Book Antiqua"/>
          <w:color w:val="000000" w:themeColor="text1"/>
          <w:szCs w:val="24"/>
          <w:lang w:val="es-PR"/>
        </w:rPr>
      </w:pPr>
      <w:r w:rsidRPr="0015554F">
        <w:rPr>
          <w:rFonts w:ascii="Book Antiqua" w:hAnsi="Book Antiqua"/>
          <w:color w:val="000000" w:themeColor="text1"/>
          <w:szCs w:val="24"/>
          <w:lang w:val="es-PR"/>
        </w:rPr>
        <w:t>La organización sostuvo que la prevención del abandono escolar requiere intervenciones tempranas y mecanismos institucionales que permitan identificar de forma oportuna a estudiantes en riesgo. A tales efectos, EPA compartió experiencias observadas en planteles donde la vigilancia efectiva de la asistencia y la comunicación inmediata con los padres han evitado que ausencias iniciales se conviertan en patrones crónicos que culminen en deserción escolar. Subrayaron que la atención temprana, mediante personal escolar capacitado, puede evitar que estudiantes salgan de sus hogares sin llegar al plantel.</w:t>
      </w:r>
    </w:p>
    <w:p w14:paraId="2A6ABEEB" w14:textId="62B505D0" w:rsidR="0015554F" w:rsidRPr="0015554F" w:rsidRDefault="0015554F" w:rsidP="00922C7A">
      <w:pPr>
        <w:spacing w:before="100" w:beforeAutospacing="1" w:after="100" w:afterAutospacing="1"/>
        <w:ind w:firstLine="720"/>
        <w:jc w:val="both"/>
        <w:rPr>
          <w:rFonts w:ascii="Book Antiqua" w:hAnsi="Book Antiqua"/>
          <w:color w:val="000000" w:themeColor="text1"/>
          <w:szCs w:val="24"/>
          <w:lang w:val="es-PR"/>
        </w:rPr>
      </w:pPr>
      <w:r w:rsidRPr="0015554F">
        <w:rPr>
          <w:rFonts w:ascii="Book Antiqua" w:hAnsi="Book Antiqua"/>
          <w:color w:val="000000" w:themeColor="text1"/>
          <w:szCs w:val="24"/>
          <w:lang w:val="es-PR"/>
        </w:rPr>
        <w:t>En este marco, EPA expresó su respaldo al proyecto, al considerar que la implantación de un “Protocolo de Intervención Interdisciplinaria para Estudiantes con Patrones Crónicos de Ausencia” ofrece una herramienta estructurada para atender con premura señales de riesgo. Indicaron que, en su opinión, el proyecto no requiere enmiendas y constituye una medida necesaria para fortalecer las estrategias de prevención y respuesta frente al ausentismo y la deserción escolar.</w:t>
      </w:r>
    </w:p>
    <w:p w14:paraId="67FDB145" w14:textId="11623F31" w:rsidR="001959E7" w:rsidRDefault="001959E7" w:rsidP="00916AEC">
      <w:pPr>
        <w:spacing w:before="100" w:beforeAutospacing="1" w:after="100" w:afterAutospacing="1"/>
        <w:jc w:val="center"/>
        <w:rPr>
          <w:rFonts w:ascii="Book Antiqua" w:hAnsi="Book Antiqua"/>
          <w:b/>
          <w:bCs/>
          <w:color w:val="000000" w:themeColor="text1"/>
          <w:szCs w:val="24"/>
          <w:lang w:val="es-PR"/>
        </w:rPr>
      </w:pPr>
      <w:r>
        <w:rPr>
          <w:rFonts w:ascii="Book Antiqua" w:hAnsi="Book Antiqua"/>
          <w:b/>
          <w:bCs/>
          <w:color w:val="000000" w:themeColor="text1"/>
          <w:szCs w:val="24"/>
          <w:lang w:val="es-PR"/>
        </w:rPr>
        <w:t>ASOCIACION DE PSICOLOGOS DE PUERTO RICO</w:t>
      </w:r>
    </w:p>
    <w:p w14:paraId="15A672BC" w14:textId="77777777" w:rsidR="00D9625F" w:rsidRDefault="00C261EF" w:rsidP="00D9625F">
      <w:pPr>
        <w:spacing w:before="100" w:beforeAutospacing="1" w:after="100" w:afterAutospacing="1"/>
        <w:ind w:firstLine="720"/>
        <w:jc w:val="both"/>
        <w:rPr>
          <w:rFonts w:ascii="Book Antiqua" w:hAnsi="Book Antiqua"/>
          <w:color w:val="000000" w:themeColor="text1"/>
          <w:szCs w:val="24"/>
          <w:lang w:val="es-PR"/>
        </w:rPr>
      </w:pPr>
      <w:r>
        <w:rPr>
          <w:rFonts w:ascii="Book Antiqua" w:hAnsi="Book Antiqua"/>
          <w:color w:val="000000" w:themeColor="text1"/>
          <w:szCs w:val="24"/>
          <w:lang w:val="es-PR"/>
        </w:rPr>
        <w:t>La Asociación de Psicólogos de Puerto Rico (en adelante, APPR), representada por su Presidenta, Dra. Yesenia Delgado Castillo, y la Dra. Cristina Pérez, emitió comentarios acerca del P. del S. 509.</w:t>
      </w:r>
    </w:p>
    <w:p w14:paraId="0635180E" w14:textId="77777777" w:rsidR="00D9625F" w:rsidRDefault="00FC1763" w:rsidP="00D9625F">
      <w:pPr>
        <w:spacing w:before="100" w:beforeAutospacing="1" w:after="100" w:afterAutospacing="1"/>
        <w:ind w:firstLine="720"/>
        <w:jc w:val="both"/>
        <w:rPr>
          <w:rFonts w:ascii="Book Antiqua" w:hAnsi="Book Antiqua"/>
          <w:color w:val="000000" w:themeColor="text1"/>
          <w:szCs w:val="24"/>
          <w:lang w:val="es-PR"/>
        </w:rPr>
      </w:pPr>
      <w:r w:rsidRPr="00FC1763">
        <w:rPr>
          <w:rFonts w:ascii="Book Antiqua" w:hAnsi="Book Antiqua"/>
          <w:color w:val="000000" w:themeColor="text1"/>
          <w:szCs w:val="24"/>
          <w:lang w:val="es-PR"/>
        </w:rPr>
        <w:lastRenderedPageBreak/>
        <w:t>La Asociación de Psicología Escolar de Puerto Rico (APEP) y la Asociación de Psicólogos de Puerto Rico (APPR) comparecieron para expresar oposición parcial al P. del S. 509. Ambas organizaciones reconocieron los elementos positivos de la medida, particularmente la utilización del Sistema de Información Estudiantil (SIE) para la detección temprana del ausentismo, el enfoque interdisciplinario propuesto y la elaboración de planes individualizados de apoyo, todos estos aspectos alineados con modelos basados en evidencia tales como los sistemas de alerta temprana, la Respuesta a la Intervención (RTI) y los Sistemas de Apoyo Multinivel (MTSS).</w:t>
      </w:r>
    </w:p>
    <w:p w14:paraId="6B2A3772" w14:textId="77777777" w:rsidR="00D9625F" w:rsidRDefault="00FC1763" w:rsidP="00D9625F">
      <w:pPr>
        <w:spacing w:before="100" w:beforeAutospacing="1" w:after="100" w:afterAutospacing="1"/>
        <w:ind w:firstLine="720"/>
        <w:jc w:val="both"/>
        <w:rPr>
          <w:rFonts w:ascii="Book Antiqua" w:hAnsi="Book Antiqua"/>
          <w:color w:val="000000" w:themeColor="text1"/>
          <w:szCs w:val="24"/>
          <w:lang w:val="es-PR"/>
        </w:rPr>
      </w:pPr>
      <w:r w:rsidRPr="00FC1763">
        <w:rPr>
          <w:rFonts w:ascii="Book Antiqua" w:hAnsi="Book Antiqua"/>
          <w:color w:val="000000" w:themeColor="text1"/>
          <w:szCs w:val="24"/>
          <w:lang w:val="es-PR"/>
        </w:rPr>
        <w:t>No obstante, señalaron varias preocupaciones respecto al contenido del proyecto en su redacción actual. En primer lugar, destacaron que el establecimiento de sanciones de naturaleza punitiva</w:t>
      </w:r>
      <w:r>
        <w:rPr>
          <w:rFonts w:ascii="Book Antiqua" w:hAnsi="Book Antiqua"/>
          <w:color w:val="000000" w:themeColor="text1"/>
          <w:szCs w:val="24"/>
          <w:lang w:val="es-PR"/>
        </w:rPr>
        <w:t xml:space="preserve">, </w:t>
      </w:r>
      <w:r w:rsidRPr="00FC1763">
        <w:rPr>
          <w:rFonts w:ascii="Book Antiqua" w:hAnsi="Book Antiqua"/>
          <w:color w:val="000000" w:themeColor="text1"/>
          <w:szCs w:val="24"/>
          <w:lang w:val="es-PR"/>
        </w:rPr>
        <w:t>como multas, servicios comunitarios obligatorios o la posible pérdida de beneficios</w:t>
      </w:r>
      <w:r>
        <w:rPr>
          <w:rFonts w:ascii="Book Antiqua" w:hAnsi="Book Antiqua"/>
          <w:color w:val="000000" w:themeColor="text1"/>
          <w:szCs w:val="24"/>
          <w:lang w:val="es-PR"/>
        </w:rPr>
        <w:t>,</w:t>
      </w:r>
      <w:r w:rsidRPr="00FC1763">
        <w:rPr>
          <w:rFonts w:ascii="Book Antiqua" w:hAnsi="Book Antiqua"/>
          <w:color w:val="000000" w:themeColor="text1"/>
          <w:szCs w:val="24"/>
          <w:lang w:val="es-PR"/>
        </w:rPr>
        <w:t xml:space="preserve"> podría tener el efecto de criminalizar la pobreza y afectar desproporcionadamente a estudiantes y familias en condiciones de vulnerabilidad. En segundo lugar, indicaron que la medida carece de un enfoque explícito de equidad e interseccionalidad que considere factores estructurales como la pobreza, la discapacidad, la discriminación o la violencia, los cuales inciden directamente en el ausentismo escolar.</w:t>
      </w:r>
    </w:p>
    <w:p w14:paraId="74CAB81D" w14:textId="77777777" w:rsidR="00D9625F" w:rsidRDefault="00FC1763" w:rsidP="00D9625F">
      <w:pPr>
        <w:spacing w:before="100" w:beforeAutospacing="1" w:after="100" w:afterAutospacing="1"/>
        <w:ind w:firstLine="720"/>
        <w:jc w:val="both"/>
        <w:rPr>
          <w:rFonts w:ascii="Book Antiqua" w:hAnsi="Book Antiqua"/>
          <w:color w:val="000000" w:themeColor="text1"/>
          <w:szCs w:val="24"/>
          <w:lang w:val="es-PR"/>
        </w:rPr>
      </w:pPr>
      <w:r w:rsidRPr="00FC1763">
        <w:rPr>
          <w:rFonts w:ascii="Book Antiqua" w:hAnsi="Book Antiqua"/>
          <w:color w:val="000000" w:themeColor="text1"/>
          <w:szCs w:val="24"/>
          <w:lang w:val="es-PR"/>
        </w:rPr>
        <w:t>Asimismo, expresaron preocupación por la ausencia de salvaguardas procesales esenciales para la protección de los derechos de los menores, tales como el consentimiento informado, la participación del estudiantado en los procesos de intervención, mecanismos de apelación y garantías adecuadas de confidencialidad. Destacaron, además, la necesidad de requerir capacitación especializada al personal encargado de las intervenciones en áreas como trauma, diversidad cultural, justicia restaurativa, derechos humanos y prácticas basadas en evidencia científica.</w:t>
      </w:r>
    </w:p>
    <w:p w14:paraId="2E7A37D1" w14:textId="629B2441" w:rsidR="00FC1763" w:rsidRPr="00FC1763" w:rsidRDefault="00FC1763" w:rsidP="00D9625F">
      <w:pPr>
        <w:spacing w:before="100" w:beforeAutospacing="1" w:after="100" w:afterAutospacing="1"/>
        <w:ind w:firstLine="720"/>
        <w:jc w:val="both"/>
        <w:rPr>
          <w:rFonts w:ascii="Book Antiqua" w:hAnsi="Book Antiqua"/>
          <w:color w:val="000000" w:themeColor="text1"/>
          <w:szCs w:val="24"/>
          <w:lang w:val="es-PR"/>
        </w:rPr>
      </w:pPr>
      <w:r w:rsidRPr="00FC1763">
        <w:rPr>
          <w:rFonts w:ascii="Book Antiqua" w:hAnsi="Book Antiqua"/>
          <w:color w:val="000000" w:themeColor="text1"/>
          <w:szCs w:val="24"/>
          <w:lang w:val="es-PR"/>
        </w:rPr>
        <w:t>En atención a lo anterior, la APPR recomendó sustituir las medidas punitivas por estrategias de apoyo familiar y coordinación con servicios sociales; incorporar una perspectiva de equidad en el diseño y ejecución del protocolo de intervención; fortalecer las protecciones procesales para los estudiantes; y establecer requisitos de adiestramiento especializado para asegurar intervenciones éticas, pertinentes y culturalmente sensibles. Finalmente, expresaron su disposición a colaborar con la Asamblea Legislativa en la redacción e implantación de políticas públicas que atiendan el ausentismo escolar desde un enfoque de justicia social, equidad y bienestar integral.</w:t>
      </w:r>
    </w:p>
    <w:p w14:paraId="08C63446" w14:textId="5A643613" w:rsidR="000871B0" w:rsidRPr="00C1650E" w:rsidRDefault="000871B0" w:rsidP="00916AEC">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DETERMINACIÓN DE IMPACTO ECONÓMICO</w:t>
      </w:r>
    </w:p>
    <w:p w14:paraId="1E3D4EA8" w14:textId="4A5D406F" w:rsidR="00F8412A" w:rsidRDefault="000871B0" w:rsidP="00F70E67">
      <w:pPr>
        <w:spacing w:before="100" w:beforeAutospacing="1" w:after="100" w:afterAutospacing="1"/>
        <w:jc w:val="both"/>
        <w:rPr>
          <w:rFonts w:ascii="Book Antiqua" w:hAnsi="Book Antiqua"/>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Pr="00C1650E">
        <w:rPr>
          <w:rFonts w:ascii="Book Antiqua" w:hAnsi="Book Antiqua"/>
          <w:szCs w:val="24"/>
          <w:lang w:val="es-PR"/>
        </w:rPr>
        <w:t xml:space="preserve">Conforme al análisis y los hallazgos de la medida, la Comisión de Educación considera que su aprobación </w:t>
      </w:r>
      <w:r w:rsidR="00A85AFF">
        <w:rPr>
          <w:rFonts w:ascii="Book Antiqua" w:hAnsi="Book Antiqua"/>
          <w:szCs w:val="24"/>
          <w:lang w:val="es-PR"/>
        </w:rPr>
        <w:t xml:space="preserve">no </w:t>
      </w:r>
      <w:r w:rsidRPr="00C1650E">
        <w:rPr>
          <w:rFonts w:ascii="Book Antiqua" w:hAnsi="Book Antiqua"/>
          <w:szCs w:val="24"/>
          <w:lang w:val="es-PR"/>
        </w:rPr>
        <w:t xml:space="preserve">tendrá un impacto fiscal significativo en los presupuestos de las agencias, departamentos, organismos, instrumentalidades o corporaciones públicas </w:t>
      </w:r>
      <w:r w:rsidR="00A85AFF">
        <w:rPr>
          <w:rFonts w:ascii="Book Antiqua" w:hAnsi="Book Antiqua"/>
          <w:szCs w:val="24"/>
          <w:lang w:val="es-PR"/>
        </w:rPr>
        <w:t xml:space="preserve">que requiera </w:t>
      </w:r>
      <w:r w:rsidRPr="00C1650E">
        <w:rPr>
          <w:rFonts w:ascii="Book Antiqua" w:hAnsi="Book Antiqua"/>
          <w:szCs w:val="24"/>
          <w:lang w:val="es-PR"/>
        </w:rPr>
        <w:t>certificación de la Oficina de Gerencia y Presupuesto</w:t>
      </w:r>
      <w:r w:rsidR="00771B79">
        <w:rPr>
          <w:rFonts w:ascii="Book Antiqua" w:hAnsi="Book Antiqua"/>
          <w:szCs w:val="24"/>
          <w:lang w:val="es-PR"/>
        </w:rPr>
        <w:t xml:space="preserve"> (OGP)</w:t>
      </w:r>
      <w:r w:rsidRPr="00C1650E">
        <w:rPr>
          <w:rFonts w:ascii="Book Antiqua" w:hAnsi="Book Antiqua"/>
          <w:szCs w:val="24"/>
          <w:lang w:val="es-PR"/>
        </w:rPr>
        <w:t>.</w:t>
      </w:r>
      <w:r w:rsidR="00A43E00" w:rsidRPr="00C1650E">
        <w:rPr>
          <w:rFonts w:ascii="Book Antiqua" w:hAnsi="Book Antiqua"/>
          <w:szCs w:val="24"/>
          <w:lang w:val="es-PR"/>
        </w:rPr>
        <w:t xml:space="preserve"> </w:t>
      </w:r>
    </w:p>
    <w:p w14:paraId="667CA512" w14:textId="77777777" w:rsidR="00A85AFF" w:rsidRDefault="00A85AFF" w:rsidP="00F70E67">
      <w:pPr>
        <w:spacing w:before="100" w:beforeAutospacing="1" w:after="100" w:afterAutospacing="1"/>
        <w:jc w:val="both"/>
        <w:rPr>
          <w:rFonts w:ascii="Book Antiqua" w:hAnsi="Book Antiqua"/>
          <w:szCs w:val="24"/>
          <w:lang w:val="es-PR"/>
        </w:rPr>
      </w:pPr>
    </w:p>
    <w:p w14:paraId="5B4E14D6" w14:textId="77777777" w:rsidR="00A85AFF" w:rsidRPr="00C1650E" w:rsidRDefault="00A85AFF" w:rsidP="00F70E67">
      <w:pPr>
        <w:spacing w:before="100" w:beforeAutospacing="1" w:after="100" w:afterAutospacing="1"/>
        <w:jc w:val="both"/>
        <w:rPr>
          <w:rFonts w:ascii="Book Antiqua" w:hAnsi="Book Antiqua"/>
          <w:szCs w:val="24"/>
          <w:lang w:val="es-PR"/>
        </w:rPr>
      </w:pPr>
    </w:p>
    <w:p w14:paraId="369CAC28" w14:textId="77777777" w:rsidR="00AC627E" w:rsidRPr="00C1650E" w:rsidRDefault="0076334C" w:rsidP="00AC627E">
      <w:pPr>
        <w:spacing w:before="100" w:beforeAutospacing="1" w:after="100" w:afterAutospacing="1"/>
        <w:jc w:val="center"/>
        <w:rPr>
          <w:rFonts w:ascii="Book Antiqua" w:hAnsi="Book Antiqua"/>
          <w:b/>
          <w:bCs/>
          <w:lang w:val="es-PR"/>
        </w:rPr>
      </w:pPr>
      <w:r w:rsidRPr="00C1650E">
        <w:rPr>
          <w:rFonts w:ascii="Book Antiqua" w:hAnsi="Book Antiqua"/>
          <w:b/>
          <w:bCs/>
          <w:lang w:val="es-PR"/>
        </w:rPr>
        <w:lastRenderedPageBreak/>
        <w:t>CONCLUSIÓN Y RECOMENDACIÓN</w:t>
      </w:r>
    </w:p>
    <w:p w14:paraId="18F2231B" w14:textId="77777777" w:rsidR="00D1185F" w:rsidRDefault="0082054D" w:rsidP="00D1185F">
      <w:pPr>
        <w:spacing w:before="100" w:beforeAutospacing="1"/>
        <w:ind w:firstLine="720"/>
        <w:jc w:val="both"/>
        <w:rPr>
          <w:rFonts w:ascii="Book Antiqua" w:hAnsi="Book Antiqua"/>
          <w:color w:val="000000" w:themeColor="text1"/>
          <w:lang w:val="es-PR"/>
        </w:rPr>
      </w:pPr>
      <w:r w:rsidRPr="0082054D">
        <w:rPr>
          <w:rFonts w:ascii="Book Antiqua" w:hAnsi="Book Antiqua"/>
          <w:color w:val="000000" w:themeColor="text1"/>
          <w:lang w:val="es-PR"/>
        </w:rPr>
        <w:t>La Comisión de Educación</w:t>
      </w:r>
      <w:r>
        <w:rPr>
          <w:rFonts w:ascii="Book Antiqua" w:hAnsi="Book Antiqua"/>
          <w:color w:val="000000" w:themeColor="text1"/>
          <w:lang w:val="es-PR"/>
        </w:rPr>
        <w:t xml:space="preserve"> de la Cámara de Representantes</w:t>
      </w:r>
      <w:r w:rsidRPr="0082054D">
        <w:rPr>
          <w:rFonts w:ascii="Book Antiqua" w:hAnsi="Book Antiqua"/>
          <w:color w:val="000000" w:themeColor="text1"/>
          <w:lang w:val="es-PR"/>
        </w:rPr>
        <w:t>, tras evaluar el contenido del P. del S. 509 y considerar los memoriales sometidos por el Departamento de Educación de Puerto Rico (DEPR), la organización magisterial Educadores Puertorriqueños en Acción, Inc. (EPA), y la Asociación de Psicólogos de Puerto Rico (APPR), concluye que la medida constituye un instrumento valioso para fortalecer la política pública dirigida a atender el ausentismo escolar crónico y prevenir la deserción en el sistema de educación pública.</w:t>
      </w:r>
    </w:p>
    <w:p w14:paraId="418A5F75" w14:textId="77777777" w:rsidR="00D1185F" w:rsidRDefault="0082054D" w:rsidP="00D1185F">
      <w:pPr>
        <w:spacing w:before="100" w:beforeAutospacing="1"/>
        <w:ind w:firstLine="720"/>
        <w:jc w:val="both"/>
        <w:rPr>
          <w:rFonts w:ascii="Book Antiqua" w:hAnsi="Book Antiqua"/>
          <w:color w:val="000000" w:themeColor="text1"/>
          <w:lang w:val="es-PR"/>
        </w:rPr>
      </w:pPr>
      <w:r w:rsidRPr="0082054D">
        <w:rPr>
          <w:rFonts w:ascii="Book Antiqua" w:hAnsi="Book Antiqua"/>
          <w:color w:val="000000" w:themeColor="text1"/>
          <w:lang w:val="es-PR"/>
        </w:rPr>
        <w:t>Del análisis de los memoriales surge consenso en torno a la necesidad de establecer mecanismos uniformes de identificación temprana y atención oportuna a estudiantes con patrones de inasistencia que los colocan en riesgo de abandono escolar. Tanto el DEPR como EPA endosaron la medida y resaltaron la pertinencia de institucionalizar un protocolo de intervención interdisciplinaria que permita canalizar recursos, estructurar respuestas más ágiles y complementar iniciativas existentes, tales como la Unidad Especializada en Atención Escolar (UEAE) y las estrategias de seguimiento implementadas en los planteles escolares.</w:t>
      </w:r>
    </w:p>
    <w:p w14:paraId="32071A0C" w14:textId="77777777" w:rsidR="00DA2D0E" w:rsidRDefault="0082054D" w:rsidP="00D1185F">
      <w:pPr>
        <w:spacing w:before="100" w:beforeAutospacing="1"/>
        <w:ind w:firstLine="720"/>
        <w:jc w:val="both"/>
        <w:rPr>
          <w:rFonts w:ascii="Book Antiqua" w:hAnsi="Book Antiqua"/>
          <w:color w:val="000000" w:themeColor="text1"/>
          <w:lang w:val="es-PR"/>
        </w:rPr>
      </w:pPr>
      <w:r w:rsidRPr="0082054D">
        <w:rPr>
          <w:rFonts w:ascii="Book Antiqua" w:hAnsi="Book Antiqua"/>
          <w:color w:val="000000" w:themeColor="text1"/>
          <w:lang w:val="es-PR"/>
        </w:rPr>
        <w:t>Por su parte, la APPR reconoció aspectos positivos de la propuesta, incluyendo la utilización del Sistema de Información Estudiantil (SIE) como mecanismo de detección temprana y el enfoque interdisciplinario, pero señaló ciertas preocupaciones relacionadas con la necesidad de fortalecer salvaguardas procesales y evitar disposiciones que puedan tener un efecto punitivo desproporcionado. Estas observaciones fueron debidamente ponderadas por esta Comisión y se atendieron mediante las enmiendas sugeridas al proyecto.</w:t>
      </w:r>
    </w:p>
    <w:p w14:paraId="013ED15E" w14:textId="77777777" w:rsidR="00E608C6" w:rsidRDefault="0082054D" w:rsidP="00E608C6">
      <w:pPr>
        <w:spacing w:before="100" w:beforeAutospacing="1"/>
        <w:ind w:firstLine="720"/>
        <w:jc w:val="both"/>
        <w:rPr>
          <w:rFonts w:ascii="Book Antiqua" w:hAnsi="Book Antiqua"/>
          <w:color w:val="000000" w:themeColor="text1"/>
          <w:lang w:val="es-PR"/>
        </w:rPr>
      </w:pPr>
      <w:r w:rsidRPr="0082054D">
        <w:rPr>
          <w:rFonts w:ascii="Book Antiqua" w:hAnsi="Book Antiqua"/>
          <w:color w:val="000000" w:themeColor="text1"/>
          <w:lang w:val="es-PR"/>
        </w:rPr>
        <w:t xml:space="preserve">A juicio de esta Comisión, la creación del “Protocolo de Intervención Interdisciplinario para Estudiantes con Patrones Crónicos de Ausencia” es cónsona con el deber constitucional del Estado de garantizar una educación pública accesible y eficaz, conforme a la Sección 5 del Artículo II de la Constitución del </w:t>
      </w:r>
      <w:r w:rsidR="00572B07">
        <w:rPr>
          <w:rFonts w:ascii="Book Antiqua" w:hAnsi="Book Antiqua"/>
          <w:color w:val="000000" w:themeColor="text1"/>
          <w:lang w:val="es-PR"/>
        </w:rPr>
        <w:t>Gobierno</w:t>
      </w:r>
      <w:r w:rsidRPr="0082054D">
        <w:rPr>
          <w:rFonts w:ascii="Book Antiqua" w:hAnsi="Book Antiqua"/>
          <w:color w:val="000000" w:themeColor="text1"/>
          <w:lang w:val="es-PR"/>
        </w:rPr>
        <w:t xml:space="preserve"> de Puerto Rico, y con el mandato establecido en la Ley 289</w:t>
      </w:r>
      <w:r w:rsidRPr="0082054D">
        <w:rPr>
          <w:rFonts w:ascii="Book Antiqua" w:hAnsi="Book Antiqua"/>
          <w:color w:val="000000" w:themeColor="text1"/>
          <w:lang w:val="es-PR"/>
        </w:rPr>
        <w:noBreakHyphen/>
        <w:t>2000 respecto al derecho de las personas menores de edad a recibir educación adecuada. La medida, además, es operacionalmente viable en la medida en que se integra a sistemas y estructuras existentes, como el SIE y los equipos de apoyo socioemocional, sin representar un impacto fiscal significativo para las agencias concernidas.</w:t>
      </w:r>
    </w:p>
    <w:p w14:paraId="2AFF2DD7" w14:textId="77777777" w:rsidR="00487811" w:rsidRDefault="00487811" w:rsidP="00E608C6">
      <w:pPr>
        <w:spacing w:before="100" w:beforeAutospacing="1"/>
        <w:ind w:firstLine="720"/>
        <w:jc w:val="both"/>
        <w:rPr>
          <w:rFonts w:ascii="Book Antiqua" w:hAnsi="Book Antiqua"/>
          <w:b/>
          <w:bCs/>
          <w:color w:val="000000" w:themeColor="text1"/>
          <w:lang w:val="es-PR"/>
        </w:rPr>
      </w:pPr>
    </w:p>
    <w:p w14:paraId="63B8D8B6" w14:textId="77777777" w:rsidR="00487811" w:rsidRDefault="00487811" w:rsidP="00E608C6">
      <w:pPr>
        <w:spacing w:before="100" w:beforeAutospacing="1"/>
        <w:ind w:firstLine="720"/>
        <w:jc w:val="both"/>
        <w:rPr>
          <w:rFonts w:ascii="Book Antiqua" w:hAnsi="Book Antiqua"/>
          <w:b/>
          <w:bCs/>
          <w:color w:val="000000" w:themeColor="text1"/>
          <w:lang w:val="es-PR"/>
        </w:rPr>
      </w:pPr>
    </w:p>
    <w:p w14:paraId="5B820672" w14:textId="77777777" w:rsidR="00487811" w:rsidRDefault="00487811" w:rsidP="00E608C6">
      <w:pPr>
        <w:spacing w:before="100" w:beforeAutospacing="1"/>
        <w:ind w:firstLine="720"/>
        <w:jc w:val="both"/>
        <w:rPr>
          <w:rFonts w:ascii="Book Antiqua" w:hAnsi="Book Antiqua"/>
          <w:b/>
          <w:bCs/>
          <w:color w:val="000000" w:themeColor="text1"/>
          <w:lang w:val="es-PR"/>
        </w:rPr>
      </w:pPr>
    </w:p>
    <w:p w14:paraId="3C0B6936" w14:textId="77777777" w:rsidR="00487811" w:rsidRDefault="00487811" w:rsidP="00E608C6">
      <w:pPr>
        <w:spacing w:before="100" w:beforeAutospacing="1"/>
        <w:ind w:firstLine="720"/>
        <w:jc w:val="both"/>
        <w:rPr>
          <w:rFonts w:ascii="Book Antiqua" w:hAnsi="Book Antiqua"/>
          <w:b/>
          <w:bCs/>
          <w:color w:val="000000" w:themeColor="text1"/>
          <w:lang w:val="es-PR"/>
        </w:rPr>
      </w:pPr>
    </w:p>
    <w:p w14:paraId="75539FAC" w14:textId="77777777" w:rsidR="00487811" w:rsidRDefault="00487811" w:rsidP="00E608C6">
      <w:pPr>
        <w:spacing w:before="100" w:beforeAutospacing="1"/>
        <w:ind w:firstLine="720"/>
        <w:jc w:val="both"/>
        <w:rPr>
          <w:rFonts w:ascii="Book Antiqua" w:hAnsi="Book Antiqua"/>
          <w:b/>
          <w:bCs/>
          <w:color w:val="000000" w:themeColor="text1"/>
          <w:lang w:val="es-PR"/>
        </w:rPr>
      </w:pPr>
    </w:p>
    <w:p w14:paraId="36EDE833" w14:textId="77777777" w:rsidR="00487811" w:rsidRDefault="00487811" w:rsidP="00E608C6">
      <w:pPr>
        <w:spacing w:before="100" w:beforeAutospacing="1"/>
        <w:ind w:firstLine="720"/>
        <w:jc w:val="both"/>
        <w:rPr>
          <w:rFonts w:ascii="Book Antiqua" w:hAnsi="Book Antiqua"/>
          <w:b/>
          <w:bCs/>
          <w:color w:val="000000" w:themeColor="text1"/>
          <w:lang w:val="es-PR"/>
        </w:rPr>
      </w:pPr>
    </w:p>
    <w:p w14:paraId="5A1FECA3" w14:textId="77777777" w:rsidR="00487811" w:rsidRDefault="00487811" w:rsidP="00E608C6">
      <w:pPr>
        <w:spacing w:before="100" w:beforeAutospacing="1"/>
        <w:ind w:firstLine="720"/>
        <w:jc w:val="both"/>
        <w:rPr>
          <w:rFonts w:ascii="Book Antiqua" w:hAnsi="Book Antiqua"/>
          <w:b/>
          <w:bCs/>
          <w:color w:val="000000" w:themeColor="text1"/>
          <w:lang w:val="es-PR"/>
        </w:rPr>
      </w:pPr>
    </w:p>
    <w:p w14:paraId="579B1AA8" w14:textId="23AC6179" w:rsidR="0082054D" w:rsidRPr="0082054D" w:rsidRDefault="0082054D" w:rsidP="00E608C6">
      <w:pPr>
        <w:spacing w:before="100" w:beforeAutospacing="1"/>
        <w:ind w:firstLine="720"/>
        <w:jc w:val="both"/>
        <w:rPr>
          <w:rFonts w:ascii="Book Antiqua" w:hAnsi="Book Antiqua"/>
          <w:color w:val="000000" w:themeColor="text1"/>
          <w:lang w:val="es-PR"/>
        </w:rPr>
      </w:pPr>
      <w:r w:rsidRPr="0082054D">
        <w:rPr>
          <w:rFonts w:ascii="Book Antiqua" w:hAnsi="Book Antiqua"/>
          <w:b/>
          <w:bCs/>
          <w:color w:val="000000" w:themeColor="text1"/>
          <w:lang w:val="es-PR"/>
        </w:rPr>
        <w:lastRenderedPageBreak/>
        <w:t>POR TODO LO ANTES EXPUESTO</w:t>
      </w:r>
      <w:r w:rsidRPr="0082054D">
        <w:rPr>
          <w:rFonts w:ascii="Book Antiqua" w:hAnsi="Book Antiqua"/>
          <w:color w:val="000000" w:themeColor="text1"/>
          <w:lang w:val="es-PR"/>
        </w:rPr>
        <w:t>, esta Comisión de Educación</w:t>
      </w:r>
      <w:r w:rsidR="00A91587">
        <w:rPr>
          <w:rFonts w:ascii="Book Antiqua" w:hAnsi="Book Antiqua"/>
          <w:color w:val="000000" w:themeColor="text1"/>
          <w:lang w:val="es-PR"/>
        </w:rPr>
        <w:t xml:space="preserve"> de la Cámara de Representantes</w:t>
      </w:r>
      <w:r w:rsidRPr="0082054D">
        <w:rPr>
          <w:rFonts w:ascii="Book Antiqua" w:hAnsi="Book Antiqua"/>
          <w:color w:val="000000" w:themeColor="text1"/>
          <w:lang w:val="es-PR"/>
        </w:rPr>
        <w:t xml:space="preserve"> recomienda la aprobación del P. del S. 509, mediante el presente Informe Positivo, incorporando las enmiendas sugeridas al </w:t>
      </w:r>
      <w:r w:rsidR="000C5754">
        <w:rPr>
          <w:rFonts w:ascii="Book Antiqua" w:hAnsi="Book Antiqua"/>
          <w:color w:val="000000" w:themeColor="text1"/>
          <w:lang w:val="es-PR"/>
        </w:rPr>
        <w:t xml:space="preserve">título y </w:t>
      </w:r>
      <w:r w:rsidRPr="0082054D">
        <w:rPr>
          <w:rFonts w:ascii="Book Antiqua" w:hAnsi="Book Antiqua"/>
          <w:color w:val="000000" w:themeColor="text1"/>
          <w:lang w:val="es-PR"/>
        </w:rPr>
        <w:t>contenido, según se detalla en el entirillado electrónico que acompaña este informe.</w:t>
      </w:r>
    </w:p>
    <w:p w14:paraId="08CFECCF" w14:textId="77777777" w:rsidR="00885BA6" w:rsidRPr="00C1650E" w:rsidRDefault="00885BA6" w:rsidP="00F877BB">
      <w:pPr>
        <w:spacing w:before="100" w:beforeAutospacing="1"/>
        <w:jc w:val="both"/>
        <w:rPr>
          <w:rFonts w:ascii="Book Antiqua" w:hAnsi="Book Antiqua"/>
          <w:color w:val="000000" w:themeColor="text1"/>
          <w:lang w:val="es-PR"/>
        </w:rPr>
      </w:pPr>
    </w:p>
    <w:p w14:paraId="66B3C0C0" w14:textId="1AE569CA" w:rsidR="003D6317" w:rsidRPr="00C1650E" w:rsidRDefault="003D6317" w:rsidP="003D6317">
      <w:pPr>
        <w:spacing w:before="100" w:beforeAutospacing="1"/>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44F682D4" w14:textId="77777777" w:rsidR="003D6317" w:rsidRPr="00C1650E" w:rsidRDefault="003D6317" w:rsidP="003D6317">
      <w:pPr>
        <w:spacing w:before="100" w:beforeAutospacing="1"/>
        <w:rPr>
          <w:rFonts w:ascii="Book Antiqua" w:hAnsi="Book Antiqua"/>
          <w:color w:val="000000" w:themeColor="text1"/>
          <w:lang w:val="es-PR"/>
        </w:rPr>
      </w:pPr>
    </w:p>
    <w:p w14:paraId="7AAA0837" w14:textId="77777777" w:rsidR="003D6317" w:rsidRPr="00C1650E" w:rsidRDefault="003D6317" w:rsidP="003D6317">
      <w:pPr>
        <w:spacing w:before="100" w:beforeAutospacing="1"/>
        <w:rPr>
          <w:rFonts w:ascii="Book Antiqua" w:hAnsi="Book Antiqua"/>
          <w:lang w:val="es-PR"/>
        </w:rPr>
      </w:pPr>
    </w:p>
    <w:p w14:paraId="32961CC3" w14:textId="77777777" w:rsidR="00F70E67" w:rsidRPr="00C1650E" w:rsidRDefault="00F70E67" w:rsidP="003D6317">
      <w:pPr>
        <w:spacing w:before="100" w:beforeAutospacing="1"/>
        <w:rPr>
          <w:rFonts w:ascii="Book Antiqua" w:hAnsi="Book Antiqua"/>
          <w:lang w:val="es-PR"/>
        </w:rPr>
      </w:pPr>
    </w:p>
    <w:p w14:paraId="176528C1" w14:textId="77777777" w:rsidR="001F5064" w:rsidRPr="00C1650E" w:rsidRDefault="001F5064"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B9B7F" w14:textId="77777777" w:rsidR="00F657B1" w:rsidRDefault="00F657B1">
      <w:r>
        <w:separator/>
      </w:r>
    </w:p>
  </w:endnote>
  <w:endnote w:type="continuationSeparator" w:id="0">
    <w:p w14:paraId="7EAC210A" w14:textId="77777777" w:rsidR="00F657B1" w:rsidRDefault="00F65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B8DA6" w14:textId="77777777" w:rsidR="00F657B1" w:rsidRDefault="00F657B1">
      <w:r>
        <w:separator/>
      </w:r>
    </w:p>
  </w:footnote>
  <w:footnote w:type="continuationSeparator" w:id="0">
    <w:p w14:paraId="76B041C4" w14:textId="77777777" w:rsidR="00F657B1" w:rsidRDefault="00F65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371DBEDB" w:rsidR="00F042CB" w:rsidRPr="00487A4D" w:rsidRDefault="00487A4D" w:rsidP="00487A4D">
    <w:pPr>
      <w:pStyle w:val="Header"/>
      <w:rPr>
        <w:lang w:val="es-PR"/>
      </w:rPr>
    </w:pPr>
    <w:r w:rsidRPr="00C1650E">
      <w:rPr>
        <w:rStyle w:val="PageNumber"/>
        <w:lang w:val="es-PR"/>
      </w:rPr>
      <w:t xml:space="preserve">Informe Positivo sobre </w:t>
    </w:r>
    <w:r w:rsidR="006F31DC">
      <w:rPr>
        <w:rStyle w:val="PageNumber"/>
        <w:lang w:val="es-PR"/>
      </w:rPr>
      <w:t>el P. de</w:t>
    </w:r>
    <w:r w:rsidR="00EB302B">
      <w:rPr>
        <w:rStyle w:val="PageNumber"/>
        <w:lang w:val="es-PR"/>
      </w:rPr>
      <w:t xml:space="preserve">l S. </w:t>
    </w:r>
    <w:r w:rsidR="001959E7">
      <w:rPr>
        <w:rStyle w:val="PageNumber"/>
        <w:lang w:val="es-PR"/>
      </w:rPr>
      <w:t>509</w:t>
    </w:r>
    <w:r w:rsidR="00D75FBB">
      <w:rPr>
        <w:rStyle w:val="PageNumber"/>
        <w:lang w:val="es-PR"/>
      </w:rPr>
      <w:t xml:space="preserve"> </w:t>
    </w:r>
    <w:r w:rsidR="000758A0">
      <w:rPr>
        <w:rStyle w:val="PageNumber"/>
        <w:lang w:val="es-PR"/>
      </w:rPr>
      <w:tab/>
    </w:r>
    <w:r w:rsidR="000758A0">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5"/>
  </w:num>
  <w:num w:numId="2" w16cid:durableId="1647583042">
    <w:abstractNumId w:val="8"/>
  </w:num>
  <w:num w:numId="3" w16cid:durableId="31856016">
    <w:abstractNumId w:val="9"/>
  </w:num>
  <w:num w:numId="4" w16cid:durableId="1489134421">
    <w:abstractNumId w:val="1"/>
  </w:num>
  <w:num w:numId="5" w16cid:durableId="639266677">
    <w:abstractNumId w:val="3"/>
  </w:num>
  <w:num w:numId="6" w16cid:durableId="844244211">
    <w:abstractNumId w:val="4"/>
  </w:num>
  <w:num w:numId="7" w16cid:durableId="816726171">
    <w:abstractNumId w:val="6"/>
  </w:num>
  <w:num w:numId="8" w16cid:durableId="811870527">
    <w:abstractNumId w:val="0"/>
  </w:num>
  <w:num w:numId="9" w16cid:durableId="923299098">
    <w:abstractNumId w:val="7"/>
  </w:num>
  <w:num w:numId="10" w16cid:durableId="2028288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P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773E"/>
    <w:rsid w:val="00011E1C"/>
    <w:rsid w:val="000133D7"/>
    <w:rsid w:val="0001561B"/>
    <w:rsid w:val="00015DFB"/>
    <w:rsid w:val="00020BBB"/>
    <w:rsid w:val="000255DE"/>
    <w:rsid w:val="00027C86"/>
    <w:rsid w:val="00032078"/>
    <w:rsid w:val="00043DD0"/>
    <w:rsid w:val="000518F3"/>
    <w:rsid w:val="00056024"/>
    <w:rsid w:val="00063D87"/>
    <w:rsid w:val="00073275"/>
    <w:rsid w:val="00074D2C"/>
    <w:rsid w:val="000758A0"/>
    <w:rsid w:val="00075BAB"/>
    <w:rsid w:val="00080836"/>
    <w:rsid w:val="000871B0"/>
    <w:rsid w:val="00091A87"/>
    <w:rsid w:val="00091F2F"/>
    <w:rsid w:val="00095AE1"/>
    <w:rsid w:val="000A6B6C"/>
    <w:rsid w:val="000B0DBB"/>
    <w:rsid w:val="000B3B24"/>
    <w:rsid w:val="000B4C54"/>
    <w:rsid w:val="000B5300"/>
    <w:rsid w:val="000C2850"/>
    <w:rsid w:val="000C2CBF"/>
    <w:rsid w:val="000C5754"/>
    <w:rsid w:val="000D2A12"/>
    <w:rsid w:val="000D60DB"/>
    <w:rsid w:val="000E2586"/>
    <w:rsid w:val="000E2DCB"/>
    <w:rsid w:val="000E3D6D"/>
    <w:rsid w:val="000E7F87"/>
    <w:rsid w:val="000F76E6"/>
    <w:rsid w:val="00105AB1"/>
    <w:rsid w:val="00111E71"/>
    <w:rsid w:val="001127B0"/>
    <w:rsid w:val="00114602"/>
    <w:rsid w:val="00124D9A"/>
    <w:rsid w:val="00126435"/>
    <w:rsid w:val="00127C6A"/>
    <w:rsid w:val="001363FE"/>
    <w:rsid w:val="00141E2E"/>
    <w:rsid w:val="00144E2D"/>
    <w:rsid w:val="0015554F"/>
    <w:rsid w:val="001606CA"/>
    <w:rsid w:val="001654C3"/>
    <w:rsid w:val="00166098"/>
    <w:rsid w:val="0017132B"/>
    <w:rsid w:val="00173F45"/>
    <w:rsid w:val="00174574"/>
    <w:rsid w:val="00187B2B"/>
    <w:rsid w:val="001911C9"/>
    <w:rsid w:val="001959E7"/>
    <w:rsid w:val="001969D0"/>
    <w:rsid w:val="001A062F"/>
    <w:rsid w:val="001A2E09"/>
    <w:rsid w:val="001A3367"/>
    <w:rsid w:val="001A36DC"/>
    <w:rsid w:val="001A4A89"/>
    <w:rsid w:val="001A4DCF"/>
    <w:rsid w:val="001C4050"/>
    <w:rsid w:val="001D15CB"/>
    <w:rsid w:val="001D1A53"/>
    <w:rsid w:val="001D6FC5"/>
    <w:rsid w:val="001E15C2"/>
    <w:rsid w:val="001E211C"/>
    <w:rsid w:val="001F1883"/>
    <w:rsid w:val="001F4CA3"/>
    <w:rsid w:val="001F5064"/>
    <w:rsid w:val="001F612A"/>
    <w:rsid w:val="00205FE7"/>
    <w:rsid w:val="00211396"/>
    <w:rsid w:val="002124E0"/>
    <w:rsid w:val="00220B05"/>
    <w:rsid w:val="00222320"/>
    <w:rsid w:val="00226AE6"/>
    <w:rsid w:val="00237FD4"/>
    <w:rsid w:val="00245B34"/>
    <w:rsid w:val="00250156"/>
    <w:rsid w:val="00253C48"/>
    <w:rsid w:val="0026318A"/>
    <w:rsid w:val="00263355"/>
    <w:rsid w:val="002648C4"/>
    <w:rsid w:val="002673C8"/>
    <w:rsid w:val="00273792"/>
    <w:rsid w:val="00284E77"/>
    <w:rsid w:val="002878CD"/>
    <w:rsid w:val="00287B17"/>
    <w:rsid w:val="00290725"/>
    <w:rsid w:val="00291963"/>
    <w:rsid w:val="0029726D"/>
    <w:rsid w:val="002A1054"/>
    <w:rsid w:val="002A518D"/>
    <w:rsid w:val="002A667B"/>
    <w:rsid w:val="002A73D5"/>
    <w:rsid w:val="002B4F94"/>
    <w:rsid w:val="002C1204"/>
    <w:rsid w:val="002C6295"/>
    <w:rsid w:val="002C65F6"/>
    <w:rsid w:val="002D4AC8"/>
    <w:rsid w:val="002E161E"/>
    <w:rsid w:val="002E36C3"/>
    <w:rsid w:val="00307183"/>
    <w:rsid w:val="00316789"/>
    <w:rsid w:val="00320BDF"/>
    <w:rsid w:val="00320D78"/>
    <w:rsid w:val="00322998"/>
    <w:rsid w:val="0032383B"/>
    <w:rsid w:val="0034124E"/>
    <w:rsid w:val="003433DA"/>
    <w:rsid w:val="00363E11"/>
    <w:rsid w:val="00364902"/>
    <w:rsid w:val="00380FE5"/>
    <w:rsid w:val="00384455"/>
    <w:rsid w:val="003851A7"/>
    <w:rsid w:val="003924DD"/>
    <w:rsid w:val="00394108"/>
    <w:rsid w:val="00394FCB"/>
    <w:rsid w:val="003963BE"/>
    <w:rsid w:val="003963F4"/>
    <w:rsid w:val="003A0950"/>
    <w:rsid w:val="003B5254"/>
    <w:rsid w:val="003B6568"/>
    <w:rsid w:val="003B75A6"/>
    <w:rsid w:val="003C7E14"/>
    <w:rsid w:val="003D2C21"/>
    <w:rsid w:val="003D46C3"/>
    <w:rsid w:val="003D6317"/>
    <w:rsid w:val="003F05CE"/>
    <w:rsid w:val="003F0BE6"/>
    <w:rsid w:val="003F5044"/>
    <w:rsid w:val="003F76A8"/>
    <w:rsid w:val="004061CA"/>
    <w:rsid w:val="00412BA1"/>
    <w:rsid w:val="00413299"/>
    <w:rsid w:val="00415689"/>
    <w:rsid w:val="00424D08"/>
    <w:rsid w:val="0044004B"/>
    <w:rsid w:val="004440CB"/>
    <w:rsid w:val="00446A5C"/>
    <w:rsid w:val="00446B29"/>
    <w:rsid w:val="00446E40"/>
    <w:rsid w:val="004713D2"/>
    <w:rsid w:val="004731D3"/>
    <w:rsid w:val="00477EF6"/>
    <w:rsid w:val="00480F2B"/>
    <w:rsid w:val="00487811"/>
    <w:rsid w:val="00487A4D"/>
    <w:rsid w:val="00491D4B"/>
    <w:rsid w:val="0049600B"/>
    <w:rsid w:val="004B6E28"/>
    <w:rsid w:val="004B7486"/>
    <w:rsid w:val="004D1D90"/>
    <w:rsid w:val="004D350F"/>
    <w:rsid w:val="004D7000"/>
    <w:rsid w:val="004E4E62"/>
    <w:rsid w:val="004F5525"/>
    <w:rsid w:val="00502819"/>
    <w:rsid w:val="00521639"/>
    <w:rsid w:val="0052310B"/>
    <w:rsid w:val="005253DD"/>
    <w:rsid w:val="0053167D"/>
    <w:rsid w:val="00532BB7"/>
    <w:rsid w:val="005332E4"/>
    <w:rsid w:val="0053550C"/>
    <w:rsid w:val="00536D92"/>
    <w:rsid w:val="00537AB4"/>
    <w:rsid w:val="005475F2"/>
    <w:rsid w:val="00551919"/>
    <w:rsid w:val="00553C3F"/>
    <w:rsid w:val="00555018"/>
    <w:rsid w:val="00555CA0"/>
    <w:rsid w:val="0055748A"/>
    <w:rsid w:val="00561060"/>
    <w:rsid w:val="00566198"/>
    <w:rsid w:val="005723DC"/>
    <w:rsid w:val="00572B07"/>
    <w:rsid w:val="00574A8A"/>
    <w:rsid w:val="00580214"/>
    <w:rsid w:val="00584305"/>
    <w:rsid w:val="00586324"/>
    <w:rsid w:val="005A43B5"/>
    <w:rsid w:val="005B00A9"/>
    <w:rsid w:val="005B0AE5"/>
    <w:rsid w:val="005C1565"/>
    <w:rsid w:val="005D64AD"/>
    <w:rsid w:val="005F0272"/>
    <w:rsid w:val="005F0B0E"/>
    <w:rsid w:val="005F3881"/>
    <w:rsid w:val="005F4A27"/>
    <w:rsid w:val="005F79AB"/>
    <w:rsid w:val="00603CDA"/>
    <w:rsid w:val="006149B6"/>
    <w:rsid w:val="006207C1"/>
    <w:rsid w:val="006210DC"/>
    <w:rsid w:val="006263AB"/>
    <w:rsid w:val="006271D1"/>
    <w:rsid w:val="0063112E"/>
    <w:rsid w:val="00631D0C"/>
    <w:rsid w:val="006353C5"/>
    <w:rsid w:val="0064349D"/>
    <w:rsid w:val="0064355F"/>
    <w:rsid w:val="00645825"/>
    <w:rsid w:val="00646973"/>
    <w:rsid w:val="00651CBA"/>
    <w:rsid w:val="00653EED"/>
    <w:rsid w:val="006655F7"/>
    <w:rsid w:val="00672DCF"/>
    <w:rsid w:val="00677B4B"/>
    <w:rsid w:val="006832CB"/>
    <w:rsid w:val="00685549"/>
    <w:rsid w:val="00693449"/>
    <w:rsid w:val="006A1FD5"/>
    <w:rsid w:val="006A397E"/>
    <w:rsid w:val="006B0196"/>
    <w:rsid w:val="006B183E"/>
    <w:rsid w:val="006B2451"/>
    <w:rsid w:val="006B3254"/>
    <w:rsid w:val="006B7365"/>
    <w:rsid w:val="006C1C9E"/>
    <w:rsid w:val="006C2D81"/>
    <w:rsid w:val="006C6029"/>
    <w:rsid w:val="006C7DF8"/>
    <w:rsid w:val="006D0164"/>
    <w:rsid w:val="006D63D7"/>
    <w:rsid w:val="006D6856"/>
    <w:rsid w:val="006E67CA"/>
    <w:rsid w:val="006F31DC"/>
    <w:rsid w:val="006F3E81"/>
    <w:rsid w:val="006F40B9"/>
    <w:rsid w:val="006F48C0"/>
    <w:rsid w:val="0070273C"/>
    <w:rsid w:val="007143B6"/>
    <w:rsid w:val="0071440D"/>
    <w:rsid w:val="00715335"/>
    <w:rsid w:val="007154DC"/>
    <w:rsid w:val="00716972"/>
    <w:rsid w:val="00736244"/>
    <w:rsid w:val="00741828"/>
    <w:rsid w:val="00741E9D"/>
    <w:rsid w:val="00742BED"/>
    <w:rsid w:val="00750FC8"/>
    <w:rsid w:val="007533D0"/>
    <w:rsid w:val="00753911"/>
    <w:rsid w:val="00755069"/>
    <w:rsid w:val="00762554"/>
    <w:rsid w:val="0076334C"/>
    <w:rsid w:val="0076543D"/>
    <w:rsid w:val="0076727A"/>
    <w:rsid w:val="00771B79"/>
    <w:rsid w:val="00773E1D"/>
    <w:rsid w:val="00776955"/>
    <w:rsid w:val="007773E8"/>
    <w:rsid w:val="0079176E"/>
    <w:rsid w:val="0079311A"/>
    <w:rsid w:val="00796275"/>
    <w:rsid w:val="007B0660"/>
    <w:rsid w:val="007B6197"/>
    <w:rsid w:val="007C2BB1"/>
    <w:rsid w:val="007C4411"/>
    <w:rsid w:val="007C5056"/>
    <w:rsid w:val="007D4194"/>
    <w:rsid w:val="007E3868"/>
    <w:rsid w:val="007E7A61"/>
    <w:rsid w:val="007F19CB"/>
    <w:rsid w:val="007F7E2E"/>
    <w:rsid w:val="00800181"/>
    <w:rsid w:val="00800609"/>
    <w:rsid w:val="00802146"/>
    <w:rsid w:val="00815082"/>
    <w:rsid w:val="00817DB9"/>
    <w:rsid w:val="00817EEB"/>
    <w:rsid w:val="0082054D"/>
    <w:rsid w:val="00820C41"/>
    <w:rsid w:val="0082209E"/>
    <w:rsid w:val="00833427"/>
    <w:rsid w:val="00837443"/>
    <w:rsid w:val="00846BDD"/>
    <w:rsid w:val="00850256"/>
    <w:rsid w:val="00852994"/>
    <w:rsid w:val="00855CE1"/>
    <w:rsid w:val="00860B5A"/>
    <w:rsid w:val="00862095"/>
    <w:rsid w:val="00867C71"/>
    <w:rsid w:val="00875D08"/>
    <w:rsid w:val="00883E61"/>
    <w:rsid w:val="00885BA6"/>
    <w:rsid w:val="00891733"/>
    <w:rsid w:val="008944AB"/>
    <w:rsid w:val="0089630F"/>
    <w:rsid w:val="008A27E1"/>
    <w:rsid w:val="008A54FD"/>
    <w:rsid w:val="008A6474"/>
    <w:rsid w:val="008A6C96"/>
    <w:rsid w:val="008B19FE"/>
    <w:rsid w:val="008B2804"/>
    <w:rsid w:val="008C0763"/>
    <w:rsid w:val="008C59FC"/>
    <w:rsid w:val="008D2C0D"/>
    <w:rsid w:val="008E186E"/>
    <w:rsid w:val="008E4411"/>
    <w:rsid w:val="008E509E"/>
    <w:rsid w:val="008E783C"/>
    <w:rsid w:val="008F5A3F"/>
    <w:rsid w:val="00902E09"/>
    <w:rsid w:val="00904F0A"/>
    <w:rsid w:val="00907B6B"/>
    <w:rsid w:val="0091088A"/>
    <w:rsid w:val="00915C3C"/>
    <w:rsid w:val="00916AEC"/>
    <w:rsid w:val="00922C7A"/>
    <w:rsid w:val="00922DEA"/>
    <w:rsid w:val="00923156"/>
    <w:rsid w:val="00923928"/>
    <w:rsid w:val="0093246F"/>
    <w:rsid w:val="0093686F"/>
    <w:rsid w:val="00942FD4"/>
    <w:rsid w:val="00943C2C"/>
    <w:rsid w:val="00945790"/>
    <w:rsid w:val="00951997"/>
    <w:rsid w:val="00953A32"/>
    <w:rsid w:val="009573AB"/>
    <w:rsid w:val="009750D1"/>
    <w:rsid w:val="00980106"/>
    <w:rsid w:val="009840F3"/>
    <w:rsid w:val="0098499F"/>
    <w:rsid w:val="00990352"/>
    <w:rsid w:val="00997337"/>
    <w:rsid w:val="009B5F1F"/>
    <w:rsid w:val="009C5DAB"/>
    <w:rsid w:val="009D09D7"/>
    <w:rsid w:val="009D12CD"/>
    <w:rsid w:val="009D2DB5"/>
    <w:rsid w:val="009D50F2"/>
    <w:rsid w:val="009E798F"/>
    <w:rsid w:val="009F07A0"/>
    <w:rsid w:val="009F49A6"/>
    <w:rsid w:val="00A03405"/>
    <w:rsid w:val="00A03BDA"/>
    <w:rsid w:val="00A05430"/>
    <w:rsid w:val="00A057CA"/>
    <w:rsid w:val="00A10113"/>
    <w:rsid w:val="00A12741"/>
    <w:rsid w:val="00A1528A"/>
    <w:rsid w:val="00A1595B"/>
    <w:rsid w:val="00A16CF7"/>
    <w:rsid w:val="00A300F7"/>
    <w:rsid w:val="00A33918"/>
    <w:rsid w:val="00A33A63"/>
    <w:rsid w:val="00A367D6"/>
    <w:rsid w:val="00A37E34"/>
    <w:rsid w:val="00A40714"/>
    <w:rsid w:val="00A412AF"/>
    <w:rsid w:val="00A43E00"/>
    <w:rsid w:val="00A61046"/>
    <w:rsid w:val="00A620B4"/>
    <w:rsid w:val="00A62E93"/>
    <w:rsid w:val="00A673DD"/>
    <w:rsid w:val="00A7014B"/>
    <w:rsid w:val="00A7629F"/>
    <w:rsid w:val="00A76D92"/>
    <w:rsid w:val="00A80926"/>
    <w:rsid w:val="00A82D98"/>
    <w:rsid w:val="00A84C56"/>
    <w:rsid w:val="00A85AFF"/>
    <w:rsid w:val="00A91587"/>
    <w:rsid w:val="00A91B11"/>
    <w:rsid w:val="00A94DF5"/>
    <w:rsid w:val="00A97113"/>
    <w:rsid w:val="00AA2C8E"/>
    <w:rsid w:val="00AA73E7"/>
    <w:rsid w:val="00AA74D9"/>
    <w:rsid w:val="00AB2538"/>
    <w:rsid w:val="00AB3BB4"/>
    <w:rsid w:val="00AB58B0"/>
    <w:rsid w:val="00AC171B"/>
    <w:rsid w:val="00AC627E"/>
    <w:rsid w:val="00AD2FD8"/>
    <w:rsid w:val="00AE193F"/>
    <w:rsid w:val="00AE26CF"/>
    <w:rsid w:val="00AE3159"/>
    <w:rsid w:val="00AF0CEE"/>
    <w:rsid w:val="00AF6E13"/>
    <w:rsid w:val="00B0092F"/>
    <w:rsid w:val="00B02DB9"/>
    <w:rsid w:val="00B116E9"/>
    <w:rsid w:val="00B15D49"/>
    <w:rsid w:val="00B161A5"/>
    <w:rsid w:val="00B22332"/>
    <w:rsid w:val="00B23E2A"/>
    <w:rsid w:val="00B26E58"/>
    <w:rsid w:val="00B2729A"/>
    <w:rsid w:val="00B31B02"/>
    <w:rsid w:val="00B3252A"/>
    <w:rsid w:val="00B42545"/>
    <w:rsid w:val="00B42703"/>
    <w:rsid w:val="00B54A47"/>
    <w:rsid w:val="00B64321"/>
    <w:rsid w:val="00B667AD"/>
    <w:rsid w:val="00B7320F"/>
    <w:rsid w:val="00B76F7C"/>
    <w:rsid w:val="00B82B02"/>
    <w:rsid w:val="00B84C38"/>
    <w:rsid w:val="00B858B5"/>
    <w:rsid w:val="00B86C00"/>
    <w:rsid w:val="00B91B73"/>
    <w:rsid w:val="00B91D6A"/>
    <w:rsid w:val="00B947F6"/>
    <w:rsid w:val="00BA2D29"/>
    <w:rsid w:val="00BB2870"/>
    <w:rsid w:val="00BB71A6"/>
    <w:rsid w:val="00BC15CD"/>
    <w:rsid w:val="00BC1C4E"/>
    <w:rsid w:val="00BD2B30"/>
    <w:rsid w:val="00BD4378"/>
    <w:rsid w:val="00BE124B"/>
    <w:rsid w:val="00BE60D8"/>
    <w:rsid w:val="00BF16AA"/>
    <w:rsid w:val="00BF5111"/>
    <w:rsid w:val="00BF526C"/>
    <w:rsid w:val="00C03062"/>
    <w:rsid w:val="00C03B67"/>
    <w:rsid w:val="00C0414C"/>
    <w:rsid w:val="00C07B92"/>
    <w:rsid w:val="00C1179C"/>
    <w:rsid w:val="00C11F93"/>
    <w:rsid w:val="00C120CE"/>
    <w:rsid w:val="00C15F04"/>
    <w:rsid w:val="00C1650E"/>
    <w:rsid w:val="00C17559"/>
    <w:rsid w:val="00C261EF"/>
    <w:rsid w:val="00C26F5D"/>
    <w:rsid w:val="00C354B8"/>
    <w:rsid w:val="00C42A04"/>
    <w:rsid w:val="00C46101"/>
    <w:rsid w:val="00C52517"/>
    <w:rsid w:val="00C5595F"/>
    <w:rsid w:val="00C60921"/>
    <w:rsid w:val="00C60F6E"/>
    <w:rsid w:val="00C62936"/>
    <w:rsid w:val="00C653F2"/>
    <w:rsid w:val="00C65D58"/>
    <w:rsid w:val="00C679E6"/>
    <w:rsid w:val="00C76C17"/>
    <w:rsid w:val="00C82C0E"/>
    <w:rsid w:val="00C83CF6"/>
    <w:rsid w:val="00C842D4"/>
    <w:rsid w:val="00C908F9"/>
    <w:rsid w:val="00C97ADB"/>
    <w:rsid w:val="00CA0917"/>
    <w:rsid w:val="00CA1099"/>
    <w:rsid w:val="00CA70B3"/>
    <w:rsid w:val="00CB434E"/>
    <w:rsid w:val="00CB4FC8"/>
    <w:rsid w:val="00CC04E1"/>
    <w:rsid w:val="00CD338B"/>
    <w:rsid w:val="00CD61C0"/>
    <w:rsid w:val="00CE4788"/>
    <w:rsid w:val="00CE6930"/>
    <w:rsid w:val="00CF3EBC"/>
    <w:rsid w:val="00CF797F"/>
    <w:rsid w:val="00D00D30"/>
    <w:rsid w:val="00D1185F"/>
    <w:rsid w:val="00D1259C"/>
    <w:rsid w:val="00D133AC"/>
    <w:rsid w:val="00D16374"/>
    <w:rsid w:val="00D34C7C"/>
    <w:rsid w:val="00D417C2"/>
    <w:rsid w:val="00D422EF"/>
    <w:rsid w:val="00D47760"/>
    <w:rsid w:val="00D533A2"/>
    <w:rsid w:val="00D54562"/>
    <w:rsid w:val="00D55185"/>
    <w:rsid w:val="00D579CB"/>
    <w:rsid w:val="00D60936"/>
    <w:rsid w:val="00D709EB"/>
    <w:rsid w:val="00D71003"/>
    <w:rsid w:val="00D74714"/>
    <w:rsid w:val="00D75FBB"/>
    <w:rsid w:val="00D82F3F"/>
    <w:rsid w:val="00D921C6"/>
    <w:rsid w:val="00D92384"/>
    <w:rsid w:val="00D958C2"/>
    <w:rsid w:val="00D95C3F"/>
    <w:rsid w:val="00D9625F"/>
    <w:rsid w:val="00D977A2"/>
    <w:rsid w:val="00DA11EC"/>
    <w:rsid w:val="00DA2D0E"/>
    <w:rsid w:val="00DD2FD5"/>
    <w:rsid w:val="00DD3F5E"/>
    <w:rsid w:val="00DE53BD"/>
    <w:rsid w:val="00DE5604"/>
    <w:rsid w:val="00DE7817"/>
    <w:rsid w:val="00E04AB5"/>
    <w:rsid w:val="00E11E75"/>
    <w:rsid w:val="00E23ABC"/>
    <w:rsid w:val="00E41749"/>
    <w:rsid w:val="00E5011E"/>
    <w:rsid w:val="00E50EEA"/>
    <w:rsid w:val="00E51A84"/>
    <w:rsid w:val="00E52181"/>
    <w:rsid w:val="00E52F58"/>
    <w:rsid w:val="00E53469"/>
    <w:rsid w:val="00E54233"/>
    <w:rsid w:val="00E608C6"/>
    <w:rsid w:val="00E61403"/>
    <w:rsid w:val="00E6274D"/>
    <w:rsid w:val="00E643E7"/>
    <w:rsid w:val="00E64E3A"/>
    <w:rsid w:val="00E65805"/>
    <w:rsid w:val="00E7187D"/>
    <w:rsid w:val="00E77E19"/>
    <w:rsid w:val="00E8764A"/>
    <w:rsid w:val="00E94927"/>
    <w:rsid w:val="00E96F2C"/>
    <w:rsid w:val="00EA21D5"/>
    <w:rsid w:val="00EB302B"/>
    <w:rsid w:val="00EB44FA"/>
    <w:rsid w:val="00EC1CEA"/>
    <w:rsid w:val="00EC26AA"/>
    <w:rsid w:val="00EC473E"/>
    <w:rsid w:val="00EC6018"/>
    <w:rsid w:val="00ED49B7"/>
    <w:rsid w:val="00ED7A53"/>
    <w:rsid w:val="00EE4273"/>
    <w:rsid w:val="00EE7533"/>
    <w:rsid w:val="00F01013"/>
    <w:rsid w:val="00F02004"/>
    <w:rsid w:val="00F042CB"/>
    <w:rsid w:val="00F04987"/>
    <w:rsid w:val="00F10436"/>
    <w:rsid w:val="00F10B74"/>
    <w:rsid w:val="00F14A41"/>
    <w:rsid w:val="00F166E2"/>
    <w:rsid w:val="00F21BB4"/>
    <w:rsid w:val="00F23A3D"/>
    <w:rsid w:val="00F26041"/>
    <w:rsid w:val="00F357D8"/>
    <w:rsid w:val="00F370B2"/>
    <w:rsid w:val="00F371BF"/>
    <w:rsid w:val="00F423DA"/>
    <w:rsid w:val="00F42DC5"/>
    <w:rsid w:val="00F47286"/>
    <w:rsid w:val="00F54CCF"/>
    <w:rsid w:val="00F60941"/>
    <w:rsid w:val="00F60A20"/>
    <w:rsid w:val="00F65075"/>
    <w:rsid w:val="00F657B1"/>
    <w:rsid w:val="00F6633A"/>
    <w:rsid w:val="00F70E67"/>
    <w:rsid w:val="00F74502"/>
    <w:rsid w:val="00F82E7E"/>
    <w:rsid w:val="00F8412A"/>
    <w:rsid w:val="00F877BB"/>
    <w:rsid w:val="00F938A1"/>
    <w:rsid w:val="00F943F4"/>
    <w:rsid w:val="00F96885"/>
    <w:rsid w:val="00FA6951"/>
    <w:rsid w:val="00FB6903"/>
    <w:rsid w:val="00FC0A95"/>
    <w:rsid w:val="00FC1763"/>
    <w:rsid w:val="00FC2AE0"/>
    <w:rsid w:val="00FC319B"/>
    <w:rsid w:val="00FC3D9C"/>
    <w:rsid w:val="00FC5664"/>
    <w:rsid w:val="00FC579D"/>
    <w:rsid w:val="00FD3130"/>
    <w:rsid w:val="00FD3D12"/>
    <w:rsid w:val="00FD68A3"/>
    <w:rsid w:val="00FD6CB7"/>
    <w:rsid w:val="00FE14B5"/>
    <w:rsid w:val="00FE2F05"/>
    <w:rsid w:val="00FE5D1A"/>
    <w:rsid w:val="00FF0153"/>
    <w:rsid w:val="00FF4386"/>
    <w:rsid w:val="00FF4DD7"/>
    <w:rsid w:val="00FF5999"/>
    <w:rsid w:val="00FF6BD2"/>
    <w:rsid w:val="00FF6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1CA19206-72D3-4C91-B35E-6BD95A3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2287</Words>
  <Characters>13724</Characters>
  <Application>Microsoft Office Word</Application>
  <DocSecurity>0</DocSecurity>
  <Lines>240</Lines>
  <Paragraphs>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Victor E. Vélez Cucuta</cp:lastModifiedBy>
  <cp:revision>3</cp:revision>
  <cp:lastPrinted>2026-02-10T03:04:00Z</cp:lastPrinted>
  <dcterms:created xsi:type="dcterms:W3CDTF">2026-04-08T16:02:00Z</dcterms:created>
  <dcterms:modified xsi:type="dcterms:W3CDTF">2026-04-08T16:03:00Z</dcterms:modified>
</cp:coreProperties>
</file>