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35C4EEBC"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2366A448" w:rsidRPr="3C3F330B">
        <w:rPr>
          <w:rFonts w:ascii="Book Antiqua" w:eastAsia="Book Antiqua" w:hAnsi="Book Antiqua" w:cs="Book Antiqua"/>
          <w:b/>
          <w:bCs/>
          <w:color w:val="000000" w:themeColor="text1"/>
          <w:sz w:val="52"/>
          <w:szCs w:val="52"/>
          <w:lang w:val="es-US"/>
        </w:rPr>
        <w:t xml:space="preserve">l S. </w:t>
      </w:r>
      <w:r w:rsidR="00AF5B09">
        <w:rPr>
          <w:rFonts w:ascii="Book Antiqua" w:eastAsia="Book Antiqua" w:hAnsi="Book Antiqua" w:cs="Book Antiqua"/>
          <w:b/>
          <w:bCs/>
          <w:color w:val="000000" w:themeColor="text1"/>
          <w:sz w:val="52"/>
          <w:szCs w:val="52"/>
          <w:lang w:val="es-US"/>
        </w:rPr>
        <w:t>516</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746C08AB" w:rsidR="00D21F6F" w:rsidRPr="00945C08" w:rsidRDefault="002F5FDB"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26</w:t>
      </w:r>
      <w:r w:rsidR="0E4637C4" w:rsidRPr="6FF13472">
        <w:rPr>
          <w:rFonts w:ascii="Book Antiqua" w:eastAsia="Book Antiqua" w:hAnsi="Book Antiqua" w:cs="Book Antiqua"/>
          <w:color w:val="000000" w:themeColor="text1"/>
          <w:sz w:val="24"/>
          <w:szCs w:val="24"/>
          <w:lang w:val="es-US"/>
        </w:rPr>
        <w:t xml:space="preserve"> de </w:t>
      </w:r>
      <w:r w:rsidR="00AF5B09">
        <w:rPr>
          <w:rFonts w:ascii="Book Antiqua" w:eastAsia="Book Antiqua" w:hAnsi="Book Antiqua" w:cs="Book Antiqua"/>
          <w:color w:val="000000" w:themeColor="text1"/>
          <w:sz w:val="24"/>
          <w:szCs w:val="24"/>
          <w:lang w:val="es-US"/>
        </w:rPr>
        <w:t>enero</w:t>
      </w:r>
      <w:r w:rsidR="0E4637C4" w:rsidRPr="6FF13472">
        <w:rPr>
          <w:rFonts w:ascii="Book Antiqua" w:eastAsia="Book Antiqua" w:hAnsi="Book Antiqua" w:cs="Book Antiqua"/>
          <w:color w:val="000000" w:themeColor="text1"/>
          <w:sz w:val="24"/>
          <w:szCs w:val="24"/>
          <w:lang w:val="es-US"/>
        </w:rPr>
        <w:t xml:space="preserve"> de 20</w:t>
      </w:r>
      <w:r w:rsidR="00AF5B09">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2D5C7F2C"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47B2C723">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47B2C723">
        <w:rPr>
          <w:rFonts w:ascii="Book Antiqua" w:eastAsia="Book Antiqua" w:hAnsi="Book Antiqua" w:cs="Book Antiqua"/>
          <w:color w:val="000000" w:themeColor="text1"/>
          <w:sz w:val="24"/>
          <w:szCs w:val="24"/>
          <w:lang w:val="es-PR"/>
        </w:rPr>
        <w:t xml:space="preserve">el S. </w:t>
      </w:r>
      <w:r w:rsidR="00AF5B09">
        <w:rPr>
          <w:rFonts w:ascii="Book Antiqua" w:eastAsia="Book Antiqua" w:hAnsi="Book Antiqua" w:cs="Book Antiqua"/>
          <w:color w:val="000000" w:themeColor="text1"/>
          <w:sz w:val="24"/>
          <w:szCs w:val="24"/>
          <w:lang w:val="es-PR"/>
        </w:rPr>
        <w:t xml:space="preserve">516, </w:t>
      </w:r>
      <w:r w:rsidRPr="47B2C723">
        <w:rPr>
          <w:rFonts w:ascii="Book Antiqua" w:eastAsia="Book Antiqua" w:hAnsi="Book Antiqua" w:cs="Book Antiqua"/>
          <w:color w:val="000000" w:themeColor="text1"/>
          <w:sz w:val="24"/>
          <w:szCs w:val="24"/>
          <w:lang w:val="es-PR"/>
        </w:rPr>
        <w:t xml:space="preserve"> </w:t>
      </w:r>
      <w:r w:rsidR="733E28D8" w:rsidRPr="47B2C723">
        <w:rPr>
          <w:rFonts w:ascii="Book Antiqua" w:eastAsia="Book Antiqua" w:hAnsi="Book Antiqua" w:cs="Book Antiqua"/>
          <w:sz w:val="24"/>
          <w:szCs w:val="24"/>
          <w:lang w:val="es-PR"/>
        </w:rPr>
        <w:t>sin</w:t>
      </w:r>
      <w:r w:rsidR="5349914D" w:rsidRPr="47B2C723">
        <w:rPr>
          <w:rFonts w:ascii="Book Antiqua" w:eastAsia="Book Antiqua" w:hAnsi="Book Antiqua" w:cs="Book Antiqua"/>
          <w:sz w:val="24"/>
          <w:szCs w:val="24"/>
          <w:lang w:val="es-PR"/>
        </w:rPr>
        <w:t xml:space="preserve"> enmiendas</w:t>
      </w:r>
      <w:r w:rsidR="2C5AE9CE" w:rsidRPr="47B2C723">
        <w:rPr>
          <w:rFonts w:ascii="Book Antiqua" w:eastAsia="Book Antiqua" w:hAnsi="Book Antiqua" w:cs="Book Antiqua"/>
          <w:sz w:val="24"/>
          <w:szCs w:val="24"/>
          <w:lang w:val="es-PR"/>
        </w:rPr>
        <w:t xml:space="preserve">. </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47B2C723">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39575BE8"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color w:val="000000" w:themeColor="text1"/>
          <w:sz w:val="24"/>
          <w:szCs w:val="24"/>
          <w:lang w:val="es-ES"/>
        </w:rPr>
        <w:t>El Proyecto de</w:t>
      </w:r>
      <w:r w:rsidR="69D66CB4" w:rsidRPr="47B2C723">
        <w:rPr>
          <w:rFonts w:ascii="Book Antiqua" w:eastAsia="Book Antiqua" w:hAnsi="Book Antiqua" w:cs="Book Antiqua"/>
          <w:color w:val="000000" w:themeColor="text1"/>
          <w:sz w:val="24"/>
          <w:szCs w:val="24"/>
          <w:lang w:val="es-ES"/>
        </w:rPr>
        <w:t xml:space="preserve">l Senado </w:t>
      </w:r>
      <w:r w:rsidR="00AF5B09">
        <w:rPr>
          <w:rFonts w:ascii="Book Antiqua" w:eastAsia="Book Antiqua" w:hAnsi="Book Antiqua" w:cs="Book Antiqua"/>
          <w:color w:val="000000" w:themeColor="text1"/>
          <w:sz w:val="24"/>
          <w:szCs w:val="24"/>
          <w:lang w:val="es-ES"/>
        </w:rPr>
        <w:t>516</w:t>
      </w:r>
      <w:r w:rsidRPr="47B2C723">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09F6AE9A" w14:textId="08B41674" w:rsidR="00AF5B09" w:rsidRPr="003F17BF" w:rsidRDefault="00032997" w:rsidP="00AF5B09">
      <w:pPr>
        <w:spacing w:after="0" w:line="240" w:lineRule="auto"/>
        <w:ind w:left="540" w:hanging="540"/>
        <w:jc w:val="both"/>
        <w:rPr>
          <w:rFonts w:ascii="Book Antiqua" w:eastAsia="Times New Roman" w:hAnsi="Book Antiqua"/>
          <w:sz w:val="24"/>
          <w:szCs w:val="24"/>
          <w:lang w:val="es-PR"/>
        </w:rPr>
      </w:pPr>
      <w:bookmarkStart w:id="2" w:name="_Hlk149927717"/>
      <w:r w:rsidRPr="47B2C723">
        <w:rPr>
          <w:rFonts w:ascii="Book Antiqua" w:eastAsia="Book Antiqua" w:hAnsi="Book Antiqua" w:cs="Book Antiqua"/>
          <w:sz w:val="24"/>
          <w:szCs w:val="24"/>
          <w:lang w:val="es-PR"/>
        </w:rPr>
        <w:t>…</w:t>
      </w:r>
      <w:bookmarkEnd w:id="2"/>
      <w:r w:rsidR="00AF5B09" w:rsidRPr="00AF5B09">
        <w:rPr>
          <w:rFonts w:ascii="Book Antiqua" w:eastAsia="Times New Roman" w:hAnsi="Book Antiqua"/>
          <w:sz w:val="24"/>
          <w:szCs w:val="24"/>
          <w:lang w:val="es-PR"/>
        </w:rPr>
        <w:t xml:space="preserve"> </w:t>
      </w:r>
      <w:r w:rsidR="00AF5B09" w:rsidRPr="003F17BF">
        <w:rPr>
          <w:rFonts w:ascii="Book Antiqua" w:eastAsia="Times New Roman" w:hAnsi="Book Antiqua"/>
          <w:sz w:val="24"/>
          <w:szCs w:val="24"/>
          <w:lang w:val="es-PR"/>
        </w:rPr>
        <w:t>Para</w:t>
      </w:r>
      <w:bookmarkStart w:id="3" w:name="_Hlk169195102"/>
      <w:r w:rsidR="00AF5B09" w:rsidRPr="003F17BF">
        <w:rPr>
          <w:rFonts w:ascii="Book Antiqua" w:eastAsia="Times New Roman" w:hAnsi="Book Antiqua"/>
          <w:sz w:val="24"/>
          <w:szCs w:val="24"/>
          <w:lang w:val="es-PR"/>
        </w:rPr>
        <w:t xml:space="preserve"> enmendar el inciso (n) del Artículo 3.4 de la Ley 10-2017, según enmendada, conocida como “Ley Orgánica de la Oficina para el Desarrollo Socioeconómico y Comunitario de Puerto Rico”, a los fines de establecer, actualizar y publicar digitalmente en la página cibernética oficial de la Oficina los programas, beneficios, servicios, actividades e instalaciones disponibles para  los adultos mayores, tanto en las agencias gubernamentales, así como en entidades privadas; además, incluir un listado actualizado de las comunidades especiales por distrito para facilitar y acceder a canales de comunicación efectivos; y para otros fines relacionados.</w:t>
      </w:r>
    </w:p>
    <w:bookmarkEnd w:id="3"/>
    <w:p w14:paraId="3F20932C" w14:textId="5794F627" w:rsidR="00F8041B" w:rsidRPr="009D1A54" w:rsidRDefault="00F8041B" w:rsidP="00F8041B">
      <w:pPr>
        <w:suppressLineNumbers/>
        <w:ind w:left="720" w:firstLine="720"/>
        <w:jc w:val="both"/>
        <w:rPr>
          <w:rFonts w:ascii="Book Antiqua" w:hAnsi="Book Antiqua"/>
          <w:lang w:val="es-PR"/>
        </w:rPr>
      </w:pPr>
    </w:p>
    <w:p w14:paraId="5131ABCE" w14:textId="5FBAD380" w:rsidR="00DD0955" w:rsidRPr="00032997" w:rsidRDefault="00DD0955" w:rsidP="00F8041B">
      <w:pPr>
        <w:suppressLineNumbers/>
        <w:spacing w:after="0" w:line="240" w:lineRule="auto"/>
        <w:ind w:left="720" w:firstLine="720"/>
        <w:jc w:val="both"/>
        <w:rPr>
          <w:rFonts w:ascii="Book Antiqua" w:eastAsia="Book Antiqua" w:hAnsi="Book Antiqua" w:cs="Book Antiqua"/>
          <w:b/>
          <w:bCs/>
          <w:sz w:val="24"/>
          <w:szCs w:val="24"/>
          <w:lang w:val="es-PR"/>
        </w:rPr>
      </w:pPr>
    </w:p>
    <w:p w14:paraId="1D63CE56" w14:textId="24B3846E" w:rsidR="3C3F330B" w:rsidRDefault="2744AB3B" w:rsidP="0007484E">
      <w:pPr>
        <w:spacing w:after="0" w:line="240" w:lineRule="auto"/>
        <w:contextualSpacing/>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INTRODUCCIÓN</w:t>
      </w:r>
    </w:p>
    <w:p w14:paraId="79975F8F" w14:textId="77777777" w:rsidR="00AF5B09" w:rsidRPr="00AF5B09" w:rsidRDefault="00AF5B09" w:rsidP="00AF5B09">
      <w:pPr>
        <w:spacing w:before="240" w:after="24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 xml:space="preserve">La Comisión de Adultos Mayores y Bienestar Social de la Cámara de Representantes de Puerto Rico, en cumplimiento con su deber constitucional y </w:t>
      </w:r>
      <w:r w:rsidRPr="00AF5B09">
        <w:rPr>
          <w:rFonts w:ascii="Book Antiqua" w:eastAsia="Book Antiqua" w:hAnsi="Book Antiqua" w:cs="Book Antiqua"/>
          <w:sz w:val="24"/>
          <w:szCs w:val="24"/>
          <w:lang w:val="es-US"/>
        </w:rPr>
        <w:lastRenderedPageBreak/>
        <w:t>reglamentario de evaluar toda medida legislativa relacionada con la política pública dirigida a la protección, bienestar y calidad de vida de la población adulta mayor, sometió a su consideración el Proyecto del Senado 516.</w:t>
      </w:r>
    </w:p>
    <w:p w14:paraId="68F93C58" w14:textId="605A75C3" w:rsidR="00AF5B09" w:rsidRPr="00AF5B09" w:rsidRDefault="00AF5B09" w:rsidP="00AF5B09">
      <w:pPr>
        <w:spacing w:before="240" w:after="24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 xml:space="preserve">Esta medida propone enmendar el inciso (n) del Artículo 3.4 de la Ley 10-2017, según enmendada, conocida como la </w:t>
      </w:r>
      <w:r w:rsidRPr="00AF5B09">
        <w:rPr>
          <w:rFonts w:ascii="Book Antiqua" w:eastAsia="Book Antiqua" w:hAnsi="Book Antiqua" w:cs="Book Antiqua"/>
          <w:i/>
          <w:iCs/>
          <w:sz w:val="24"/>
          <w:szCs w:val="24"/>
          <w:lang w:val="es-US"/>
        </w:rPr>
        <w:t>“Ley Orgánica de la Oficina para el Desarrollo Socioeconómico y Comunitario de Puerto Rico”</w:t>
      </w:r>
      <w:r w:rsidRPr="00AF5B09">
        <w:rPr>
          <w:rFonts w:ascii="Book Antiqua" w:eastAsia="Book Antiqua" w:hAnsi="Book Antiqua" w:cs="Book Antiqua"/>
          <w:sz w:val="24"/>
          <w:szCs w:val="24"/>
          <w:lang w:val="es-US"/>
        </w:rPr>
        <w:t>, con el propósito de establecer, actualizar y publicar digitalmente en la página cibernética oficial de dicha Oficina los programas, beneficios, servicios, actividades e instalaciones disponibles para los adultos mayores, tanto en las agencias gubernamentales como en entidades privadas, así como incluir información relevante que facilite canales de comunicación efectivos y accesibles para esta población.</w:t>
      </w:r>
    </w:p>
    <w:p w14:paraId="271E3AAA" w14:textId="0EF65FD4" w:rsidR="00AF5B09" w:rsidRPr="00AF5B09" w:rsidRDefault="00AF5B09" w:rsidP="00AF5B09">
      <w:pPr>
        <w:spacing w:before="240" w:after="24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Para la evaluación de esta pieza legislativa, esta Comisión examinó el texto aprobado por el Senado de Puerto Rico y tomó en consideración el Informe Positivo rendido por la Comisión de Vivienda y Bienestar Social del Senado, el cual contiene un análisis detallado sobre el alcance, la necesidad y la viabilidad de la medida, así como consideraciones relacionadas con su impacto fiscal y administrativo</w:t>
      </w:r>
      <w:r>
        <w:rPr>
          <w:rFonts w:ascii="Book Antiqua" w:eastAsia="Book Antiqua" w:hAnsi="Book Antiqua" w:cs="Book Antiqua"/>
          <w:sz w:val="24"/>
          <w:szCs w:val="24"/>
          <w:lang w:val="es-US"/>
        </w:rPr>
        <w:t>.</w:t>
      </w:r>
    </w:p>
    <w:p w14:paraId="4DBD64C6" w14:textId="77777777" w:rsidR="00AF5B09" w:rsidRPr="00AF5B09" w:rsidRDefault="00AF5B09" w:rsidP="00AF5B09">
      <w:pPr>
        <w:spacing w:before="240" w:after="24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A tenor con lo anterior, y no surgiendo controversia adicional que amerite la celebración de vistas públicas ni la solicitud de informes adicionales, esta Comisión estimó innecesario duplicar los trámites ya realizados por el Senado de Puerto Rico, acogiendo como parte de su evaluación el análisis efectuado por dicho Cuerpo Legislativo.</w:t>
      </w:r>
    </w:p>
    <w:p w14:paraId="2FEDACC1" w14:textId="42D531A0" w:rsidR="007728D9" w:rsidRPr="00C06313" w:rsidRDefault="4A2B8946"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47B2C723">
        <w:rPr>
          <w:rFonts w:ascii="Book Antiqua" w:eastAsia="Book Antiqua" w:hAnsi="Book Antiqua" w:cs="Book Antiqua"/>
          <w:sz w:val="24"/>
          <w:szCs w:val="24"/>
          <w:lang w:val="es-PR"/>
        </w:rPr>
        <w:t xml:space="preserve"> </w:t>
      </w:r>
      <w:r w:rsidR="4B8327FA" w:rsidRPr="47B2C723">
        <w:rPr>
          <w:rFonts w:ascii="Book Antiqua" w:eastAsia="Book Antiqua" w:hAnsi="Book Antiqua" w:cs="Book Antiqua"/>
          <w:b/>
          <w:bCs/>
          <w:color w:val="000000" w:themeColor="text1"/>
          <w:sz w:val="24"/>
          <w:szCs w:val="24"/>
          <w:lang w:val="es-ES"/>
        </w:rPr>
        <w:t>ANÁLISIS DE LA MEDIDA</w:t>
      </w:r>
      <w:r w:rsidR="4EFC05C2" w:rsidRPr="47B2C723">
        <w:rPr>
          <w:rFonts w:ascii="Book Antiqua" w:eastAsia="Book Antiqua" w:hAnsi="Book Antiqua" w:cs="Book Antiqua"/>
          <w:b/>
          <w:bCs/>
          <w:color w:val="000000" w:themeColor="text1"/>
          <w:sz w:val="24"/>
          <w:szCs w:val="24"/>
          <w:lang w:val="es-ES"/>
        </w:rPr>
        <w:t xml:space="preserve"> </w:t>
      </w:r>
    </w:p>
    <w:p w14:paraId="7512B290" w14:textId="4C286374" w:rsidR="00AF5B09" w:rsidRDefault="00AF5B09" w:rsidP="00AF5B09">
      <w:pPr>
        <w:pStyle w:val="ListParagraph"/>
        <w:spacing w:after="0"/>
        <w:ind w:left="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ab/>
      </w:r>
      <w:r w:rsidRPr="00AF5B09">
        <w:rPr>
          <w:rFonts w:ascii="Book Antiqua" w:eastAsia="Book Antiqua" w:hAnsi="Book Antiqua" w:cs="Book Antiqua"/>
          <w:sz w:val="24"/>
          <w:szCs w:val="24"/>
          <w:lang w:val="es-US"/>
        </w:rPr>
        <w:t>El Proyecto del Senado 516 persigue fortalecer los mecanismos de acceso a la información y visibilidad de los programas, beneficios y servicios disponibles para la población adulta mayor, mediante el uso de herramientas digitales que promuevan la transparencia gubernamental y faciliten la identificación de recursos existentes tanto en el sector público como en el privado.</w:t>
      </w:r>
    </w:p>
    <w:p w14:paraId="6C914F48" w14:textId="77777777" w:rsidR="00AF5B09" w:rsidRPr="00AF5B09" w:rsidRDefault="00AF5B09" w:rsidP="00AF5B09">
      <w:pPr>
        <w:pStyle w:val="ListParagraph"/>
        <w:spacing w:after="0"/>
        <w:ind w:left="0"/>
        <w:jc w:val="both"/>
        <w:rPr>
          <w:rFonts w:ascii="Book Antiqua" w:eastAsia="Book Antiqua" w:hAnsi="Book Antiqua" w:cs="Book Antiqua"/>
          <w:sz w:val="24"/>
          <w:szCs w:val="24"/>
          <w:lang w:val="es-US"/>
        </w:rPr>
      </w:pPr>
    </w:p>
    <w:p w14:paraId="69593645" w14:textId="1D9B7EDC" w:rsidR="00AF5B09" w:rsidRPr="00AF5B09" w:rsidRDefault="00AF5B09" w:rsidP="00AF5B09">
      <w:pPr>
        <w:pStyle w:val="ListParagraph"/>
        <w:spacing w:after="0"/>
        <w:ind w:left="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ab/>
      </w:r>
      <w:r w:rsidRPr="00AF5B09">
        <w:rPr>
          <w:rFonts w:ascii="Book Antiqua" w:eastAsia="Book Antiqua" w:hAnsi="Book Antiqua" w:cs="Book Antiqua"/>
          <w:sz w:val="24"/>
          <w:szCs w:val="24"/>
          <w:lang w:val="es-US"/>
        </w:rPr>
        <w:t>La Comisión de Adultos Mayores y Bienestar Social reconoce que el sector de adultos mayores constituye el grupo poblacional de mayor crecimiento en Puerto Rico, por lo que resulta imperativo que el Gobierno adopte estrategias efectivas y accesibles que permitan a esta población conocer oportunamente los servicios y beneficios disponibles para atender sus necesidades particulares. En ese contexto, la medida armoniza con la política pública vigente de promover la inclusión, la accesibilidad y la modernización de los servicios dirigidos a las personas de edad avanzada, conforme a lo dispuesto en la Ley 121-2019, según enmendada.</w:t>
      </w:r>
    </w:p>
    <w:p w14:paraId="519E0BCB" w14:textId="77777777" w:rsidR="00AF5B09" w:rsidRDefault="00AF5B09" w:rsidP="00AF5B09">
      <w:pPr>
        <w:pStyle w:val="ListParagraph"/>
        <w:tabs>
          <w:tab w:val="left" w:pos="4320"/>
        </w:tabs>
        <w:spacing w:after="0"/>
        <w:ind w:left="0"/>
        <w:jc w:val="both"/>
        <w:rPr>
          <w:rFonts w:ascii="Book Antiqua" w:eastAsia="Book Antiqua" w:hAnsi="Book Antiqua" w:cs="Book Antiqua"/>
          <w:sz w:val="24"/>
          <w:szCs w:val="24"/>
          <w:lang w:val="es-US"/>
        </w:rPr>
      </w:pPr>
    </w:p>
    <w:p w14:paraId="464B766A" w14:textId="05AF1C93" w:rsidR="00AF5B09" w:rsidRPr="00AF5B09" w:rsidRDefault="00AF5B09" w:rsidP="00AF5B09">
      <w:pPr>
        <w:pStyle w:val="ListParagraph"/>
        <w:spacing w:after="0"/>
        <w:ind w:left="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lastRenderedPageBreak/>
        <w:tab/>
      </w:r>
      <w:r w:rsidRPr="00AF5B09">
        <w:rPr>
          <w:rFonts w:ascii="Book Antiqua" w:eastAsia="Book Antiqua" w:hAnsi="Book Antiqua" w:cs="Book Antiqua"/>
          <w:sz w:val="24"/>
          <w:szCs w:val="24"/>
          <w:lang w:val="es-US"/>
        </w:rPr>
        <w:t>Para efectos de su evaluación, esta Comisión examinó el análisis realizado por la Comisión de Vivienda y Bienestar Social del Senado de Puerto Rico, el cual incluyó la consideración de aspectos fiscales, administrativos y operacionales relacionados con la implementación de la medida, así como los comentarios de las entidades concernidas. Dicho análisis concluyó que la propuesta legislativa no conlleva un impacto fiscal significativo para el Fondo General ni impone cargas económicas adicionales a las agencias o a los municipios, toda vez que las disposiciones contenidas en la medida se enmarcan dentro de las funciones inherentes de la Oficina para el Desarrollo Socioeconómico y Comunitario de Puerto Rico (ODSEC) y se apoyan en el uso de plataformas digitales ya existente</w:t>
      </w:r>
      <w:r>
        <w:rPr>
          <w:rFonts w:ascii="Book Antiqua" w:eastAsia="Book Antiqua" w:hAnsi="Book Antiqua" w:cs="Book Antiqua"/>
          <w:sz w:val="24"/>
          <w:szCs w:val="24"/>
          <w:lang w:val="es-US"/>
        </w:rPr>
        <w:t>s.</w:t>
      </w:r>
    </w:p>
    <w:p w14:paraId="580A87C3" w14:textId="29E7DC2A" w:rsidR="00AF5B09" w:rsidRPr="00AF5B09" w:rsidRDefault="00AF5B09" w:rsidP="00AF5B09">
      <w:pPr>
        <w:pStyle w:val="ListParagraph"/>
        <w:tabs>
          <w:tab w:val="left" w:pos="4320"/>
        </w:tabs>
        <w:ind w:left="0"/>
        <w:jc w:val="both"/>
        <w:rPr>
          <w:rFonts w:ascii="Book Antiqua" w:eastAsia="Book Antiqua" w:hAnsi="Book Antiqua" w:cs="Book Antiqua"/>
          <w:sz w:val="24"/>
          <w:szCs w:val="24"/>
          <w:lang w:val="es-US"/>
        </w:rPr>
      </w:pPr>
    </w:p>
    <w:p w14:paraId="27073A14" w14:textId="53E6B900" w:rsidR="00AF5B09" w:rsidRDefault="00AF5B09" w:rsidP="00AF5B09">
      <w:pPr>
        <w:pStyle w:val="ListParagraph"/>
        <w:tabs>
          <w:tab w:val="left" w:pos="720"/>
        </w:tabs>
        <w:spacing w:after="0"/>
        <w:ind w:left="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ab/>
      </w:r>
      <w:r w:rsidRPr="00AF5B09">
        <w:rPr>
          <w:rFonts w:ascii="Book Antiqua" w:eastAsia="Book Antiqua" w:hAnsi="Book Antiqua" w:cs="Book Antiqua"/>
          <w:sz w:val="24"/>
          <w:szCs w:val="24"/>
          <w:lang w:val="es-US"/>
        </w:rPr>
        <w:t xml:space="preserve">Asimismo, esta Comisión coincide con la determinación del Senado de que la medida no crea nuevos programas ni estructuras administrativas, sino que formaliza y clarifica en ley la responsabilidad de mantener información actualizada, accesible y visible sobre los servicios dirigidos a los adultos mayores. Tal disposición redunda en un uso más eficiente de los recursos públicos y en una mejor coordinación </w:t>
      </w:r>
      <w:proofErr w:type="spellStart"/>
      <w:r w:rsidRPr="00AF5B09">
        <w:rPr>
          <w:rFonts w:ascii="Book Antiqua" w:eastAsia="Book Antiqua" w:hAnsi="Book Antiqua" w:cs="Book Antiqua"/>
          <w:sz w:val="24"/>
          <w:szCs w:val="24"/>
          <w:lang w:val="es-US"/>
        </w:rPr>
        <w:t>interagencial</w:t>
      </w:r>
      <w:proofErr w:type="spellEnd"/>
      <w:r w:rsidRPr="00AF5B09">
        <w:rPr>
          <w:rFonts w:ascii="Book Antiqua" w:eastAsia="Book Antiqua" w:hAnsi="Book Antiqua" w:cs="Book Antiqua"/>
          <w:sz w:val="24"/>
          <w:szCs w:val="24"/>
          <w:lang w:val="es-US"/>
        </w:rPr>
        <w:t>, sin generar obligaciones adicionales onerosas para el Estado.</w:t>
      </w:r>
    </w:p>
    <w:p w14:paraId="7FE6CA2A" w14:textId="77777777" w:rsidR="00AF5B09" w:rsidRPr="00AF5B09" w:rsidRDefault="00AF5B09" w:rsidP="00AF5B09">
      <w:pPr>
        <w:pStyle w:val="ListParagraph"/>
        <w:tabs>
          <w:tab w:val="left" w:pos="4320"/>
        </w:tabs>
        <w:spacing w:after="0"/>
        <w:ind w:left="0"/>
        <w:jc w:val="both"/>
        <w:rPr>
          <w:rFonts w:ascii="Book Antiqua" w:eastAsia="Book Antiqua" w:hAnsi="Book Antiqua" w:cs="Book Antiqua"/>
          <w:sz w:val="24"/>
          <w:szCs w:val="24"/>
          <w:lang w:val="es-US"/>
        </w:rPr>
      </w:pPr>
    </w:p>
    <w:p w14:paraId="5B4BDCDE" w14:textId="555405B2" w:rsidR="00AF5B09" w:rsidRPr="00AF5B09" w:rsidRDefault="00AF5B09" w:rsidP="00AF5B09">
      <w:pPr>
        <w:pStyle w:val="ListParagraph"/>
        <w:tabs>
          <w:tab w:val="left" w:pos="720"/>
        </w:tabs>
        <w:spacing w:after="0"/>
        <w:ind w:left="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ab/>
      </w:r>
      <w:r w:rsidRPr="00AF5B09">
        <w:rPr>
          <w:rFonts w:ascii="Book Antiqua" w:eastAsia="Book Antiqua" w:hAnsi="Book Antiqua" w:cs="Book Antiqua"/>
          <w:sz w:val="24"/>
          <w:szCs w:val="24"/>
          <w:lang w:val="es-US"/>
        </w:rPr>
        <w:t>En virtud de lo anterior, y no surgiendo objeciones sustantivas al texto aprobado por el Senado de Puerto Rico, la Comisión de Adultos Mayores y Bienestar Social acoge el análisis realizado por dicho Cuerpo Legislativo y concluye que el Proyecto del Senado 516 es cónsono con la política pública del Gobierno de Puerto Rico dirigida a promover el bienestar, la dignidad y la calidad de vida de la población adulta mayor.</w:t>
      </w:r>
    </w:p>
    <w:p w14:paraId="3E2A2944" w14:textId="77777777" w:rsidR="00CD1DE7" w:rsidRPr="00AF5B09" w:rsidRDefault="00CD1DE7" w:rsidP="47B2C723">
      <w:pPr>
        <w:pStyle w:val="ListParagraph"/>
        <w:spacing w:after="0" w:line="240" w:lineRule="auto"/>
        <w:jc w:val="center"/>
        <w:rPr>
          <w:rFonts w:ascii="Book Antiqua" w:eastAsia="Book Antiqua" w:hAnsi="Book Antiqua" w:cs="Book Antiqua"/>
          <w:b/>
          <w:bCs/>
          <w:sz w:val="24"/>
          <w:szCs w:val="24"/>
          <w:lang w:val="es-US"/>
        </w:rPr>
      </w:pPr>
    </w:p>
    <w:p w14:paraId="0B088C87" w14:textId="6203D65B" w:rsidR="00AF5B09" w:rsidRDefault="00AF5B09" w:rsidP="00AF5B09">
      <w:pPr>
        <w:spacing w:after="0" w:line="240" w:lineRule="auto"/>
        <w:jc w:val="center"/>
        <w:rPr>
          <w:rFonts w:ascii="Book Antiqua" w:eastAsia="Book Antiqua" w:hAnsi="Book Antiqua" w:cs="Book Antiqua"/>
          <w:b/>
          <w:bCs/>
          <w:sz w:val="24"/>
          <w:szCs w:val="24"/>
          <w:lang w:val="es-US"/>
        </w:rPr>
      </w:pPr>
      <w:r w:rsidRPr="00AF5B09">
        <w:rPr>
          <w:rFonts w:ascii="Book Antiqua" w:eastAsia="Book Antiqua" w:hAnsi="Book Antiqua" w:cs="Book Antiqua"/>
          <w:b/>
          <w:bCs/>
          <w:sz w:val="24"/>
          <w:szCs w:val="24"/>
          <w:lang w:val="es-US"/>
        </w:rPr>
        <w:t>Oficina para el Desarrollo Socioeconómico y Comunitario de Puerto Rico (ODSEC)</w:t>
      </w:r>
    </w:p>
    <w:p w14:paraId="0D351379" w14:textId="77777777" w:rsidR="00AF5B09" w:rsidRPr="00AF5B09" w:rsidRDefault="00AF5B09" w:rsidP="00AF5B09">
      <w:pPr>
        <w:spacing w:after="0" w:line="240" w:lineRule="auto"/>
        <w:jc w:val="center"/>
        <w:rPr>
          <w:rFonts w:ascii="Book Antiqua" w:eastAsia="Book Antiqua" w:hAnsi="Book Antiqua" w:cs="Book Antiqua"/>
          <w:b/>
          <w:bCs/>
          <w:sz w:val="24"/>
          <w:szCs w:val="24"/>
          <w:lang w:val="es-US"/>
        </w:rPr>
      </w:pPr>
    </w:p>
    <w:p w14:paraId="03FD2C3E" w14:textId="6AB05DBA" w:rsidR="00AF5B09" w:rsidRDefault="00AF5B09" w:rsidP="00AF5B09">
      <w:pPr>
        <w:spacing w:after="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De conformidad con el análisis contenido en el Informe Positivo rendido por la Comisión de Vivienda y Bienestar Social del Senado de Puerto Rico, la Oficina para el Desarrollo Socioeconómico y Comunitario de Puerto Rico (ODSEC), en su evaluación inicial del Proyecto del Senado 516, expresó preocupaciones relacionadas principalmente con los aspectos presupuestarios y operacionales que podría conllevar la implementación de la medida. En particular, la ODSEC señaló que no cuenta con una partida presupuestaria específica asignada para sufragar costos adicionales asociados a la creación o mantenimiento de nuevas plataformas digitales, lo que, a su juicio, podría representar una limitación administrativa si la medida implicara la creación de estructuras tecnológicas adicionales.</w:t>
      </w:r>
    </w:p>
    <w:p w14:paraId="41969789" w14:textId="77777777" w:rsidR="00AF5B09" w:rsidRPr="00AF5B09" w:rsidRDefault="00AF5B09" w:rsidP="00AF5B09">
      <w:pPr>
        <w:spacing w:after="0" w:line="240" w:lineRule="auto"/>
        <w:ind w:firstLine="720"/>
        <w:jc w:val="both"/>
        <w:rPr>
          <w:rFonts w:ascii="Book Antiqua" w:eastAsia="Book Antiqua" w:hAnsi="Book Antiqua" w:cs="Book Antiqua"/>
          <w:sz w:val="24"/>
          <w:szCs w:val="24"/>
          <w:lang w:val="es-US"/>
        </w:rPr>
      </w:pPr>
    </w:p>
    <w:p w14:paraId="2296F907"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 xml:space="preserve">No obstante, la ODSEC dejó claramente establecido que su preocupación no estaba dirigida a la intención legislativa ni al propósito sustantivo del Proyecto del Senado 516, el cual reconoció como meritorio y alineado con la política pública dirigida a beneficiar a la población adulta mayor. En ese sentido, la Oficina manifestó que la divulgación y </w:t>
      </w:r>
      <w:proofErr w:type="spellStart"/>
      <w:r w:rsidRPr="00AF5B09">
        <w:rPr>
          <w:rFonts w:ascii="Book Antiqua" w:eastAsia="Book Antiqua" w:hAnsi="Book Antiqua" w:cs="Book Antiqua"/>
          <w:sz w:val="24"/>
          <w:szCs w:val="24"/>
          <w:lang w:val="es-US"/>
        </w:rPr>
        <w:t>visibilización</w:t>
      </w:r>
      <w:proofErr w:type="spellEnd"/>
      <w:r w:rsidRPr="00AF5B09">
        <w:rPr>
          <w:rFonts w:ascii="Book Antiqua" w:eastAsia="Book Antiqua" w:hAnsi="Book Antiqua" w:cs="Book Antiqua"/>
          <w:sz w:val="24"/>
          <w:szCs w:val="24"/>
          <w:lang w:val="es-US"/>
        </w:rPr>
        <w:t xml:space="preserve"> de los servicios disponibles para los adultos mayores resulta una </w:t>
      </w:r>
      <w:r w:rsidRPr="00AF5B09">
        <w:rPr>
          <w:rFonts w:ascii="Book Antiqua" w:eastAsia="Book Antiqua" w:hAnsi="Book Antiqua" w:cs="Book Antiqua"/>
          <w:sz w:val="24"/>
          <w:szCs w:val="24"/>
          <w:lang w:val="es-US"/>
        </w:rPr>
        <w:lastRenderedPageBreak/>
        <w:t>herramienta necesaria para promover el acceso efectivo a los recursos existentes y mejorar la coordinación de servicios a nivel comunitario.</w:t>
      </w:r>
    </w:p>
    <w:p w14:paraId="3DBB9CDD" w14:textId="77777777" w:rsidR="00AF5B09" w:rsidRPr="00AF5B09" w:rsidRDefault="00AF5B09" w:rsidP="00AF5B09">
      <w:pPr>
        <w:spacing w:after="0" w:line="240" w:lineRule="auto"/>
        <w:ind w:firstLine="720"/>
        <w:jc w:val="both"/>
        <w:rPr>
          <w:rFonts w:ascii="Book Antiqua" w:eastAsia="Book Antiqua" w:hAnsi="Book Antiqua" w:cs="Book Antiqua"/>
          <w:sz w:val="24"/>
          <w:szCs w:val="24"/>
          <w:lang w:val="es-US"/>
        </w:rPr>
      </w:pPr>
    </w:p>
    <w:p w14:paraId="4675E05A"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Como parte de su comparecencia, la ODSEC propuso ajustes en el lenguaje de la medida para aclarar que el deber impuesto al Director Ejecutivo se limitaría a la divulgación digital de la información a través de su portal oficial existente, sin requerir la creación de un nuevo catálogo o plataforma digital independiente. Asimismo, recomendó que la información divulgada incluyera, además de los servicios dirigidos a los adultos mayores, aquellos disponibles en comunidades especiales, a fin de maximizar el alcance y la utilidad de la información publicada. Dichas recomendaciones fueron acogidas por la Comisión del Senado, resultando en enmiendas de carácter técnico y aclaratorio que no alteraron la intención legislativa original, pero sí atendieron las preocupaciones operacionales planteadas por la agencia</w:t>
      </w:r>
      <w:r>
        <w:rPr>
          <w:rFonts w:ascii="Book Antiqua" w:eastAsia="Book Antiqua" w:hAnsi="Book Antiqua" w:cs="Book Antiqua"/>
          <w:sz w:val="24"/>
          <w:szCs w:val="24"/>
          <w:lang w:val="es-US"/>
        </w:rPr>
        <w:t xml:space="preserve">. </w:t>
      </w:r>
    </w:p>
    <w:p w14:paraId="538C0CA6"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p>
    <w:p w14:paraId="060178E8" w14:textId="332CAA3F" w:rsidR="00AF5B09" w:rsidRDefault="00AF5B09" w:rsidP="00AF5B09">
      <w:pPr>
        <w:spacing w:after="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A la luz de lo anterior, la Comisión de Adultos Mayores y Bienestar Social de la Cámara de Representantes coincide con la determinación del Senado en cuanto a que el Proyecto del Senado 516, según aprobado, logra un balance adecuado entre la necesidad de fortalecer el acceso a la información para la población adulta mayor y la realidad fiscal y administrativa de la ODSEC. Esta Comisión entiende que la medida no impone obligaciones adicionales onerosas ni crea nuevos programas, sino que formaliza en ley funciones que resultan inherentes al rol de coordinación y divulgación que ya ejerce la ODSEC.</w:t>
      </w:r>
    </w:p>
    <w:p w14:paraId="06AF7307" w14:textId="77777777" w:rsidR="00AF5B09" w:rsidRPr="00AF5B09" w:rsidRDefault="00AF5B09" w:rsidP="00AF5B09">
      <w:pPr>
        <w:spacing w:after="0" w:line="240" w:lineRule="auto"/>
        <w:ind w:firstLine="720"/>
        <w:jc w:val="both"/>
        <w:rPr>
          <w:rFonts w:ascii="Book Antiqua" w:eastAsia="Book Antiqua" w:hAnsi="Book Antiqua" w:cs="Book Antiqua"/>
          <w:sz w:val="24"/>
          <w:szCs w:val="24"/>
          <w:lang w:val="es-US"/>
        </w:rPr>
      </w:pPr>
    </w:p>
    <w:p w14:paraId="0188013A"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Además, la Comisión reconoce que la publicación digital y actualizada de los programas, beneficios y servicios disponibles constituye una herramienta esencial para empoderar a los adultos mayores, facilitar la orientación comunitaria y promover la transparencia gubernamental, particularmente en un contexto en el que el acceso oportuno a la información puede incidir directamente en la calidad de vida y el ejercicio pleno de derechos de esta población.</w:t>
      </w:r>
    </w:p>
    <w:p w14:paraId="0C68B12F" w14:textId="77777777" w:rsidR="00AF5B09" w:rsidRPr="00AF5B09" w:rsidRDefault="00AF5B09" w:rsidP="00AF5B09">
      <w:pPr>
        <w:spacing w:after="0" w:line="240" w:lineRule="auto"/>
        <w:ind w:firstLine="720"/>
        <w:jc w:val="both"/>
        <w:rPr>
          <w:rFonts w:ascii="Book Antiqua" w:eastAsia="Book Antiqua" w:hAnsi="Book Antiqua" w:cs="Book Antiqua"/>
          <w:sz w:val="24"/>
          <w:szCs w:val="24"/>
          <w:lang w:val="es-US"/>
        </w:rPr>
      </w:pPr>
    </w:p>
    <w:p w14:paraId="59A3B03D" w14:textId="77777777" w:rsidR="00AF5B09" w:rsidRDefault="00AF5B09" w:rsidP="00AF5B09">
      <w:pPr>
        <w:spacing w:after="0" w:line="240" w:lineRule="auto"/>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Por todo lo anterior, la Comisión de Adultos Mayores y Bienestar Social concluye que el Proyecto del Senado 516 es cónsono con la política pública del Gobierno de Puerto Rico dirigida a promover el bienestar integral, la dignidad y la inclusión de las personas adultas mayores, por lo que acoge favorablemente la medida y concurre con el análisis realizado por el Senado de Puerto Rico.</w:t>
      </w:r>
    </w:p>
    <w:p w14:paraId="7864A641" w14:textId="77777777" w:rsidR="00AF5B09" w:rsidRPr="00AF5B09" w:rsidRDefault="00AF5B09" w:rsidP="00AF5B09">
      <w:pPr>
        <w:spacing w:after="0" w:line="240" w:lineRule="auto"/>
        <w:ind w:firstLine="720"/>
        <w:jc w:val="both"/>
        <w:rPr>
          <w:rFonts w:ascii="Book Antiqua" w:eastAsia="Book Antiqua" w:hAnsi="Book Antiqua" w:cs="Book Antiqua"/>
          <w:sz w:val="24"/>
          <w:szCs w:val="24"/>
          <w:lang w:val="es-US"/>
        </w:rPr>
      </w:pPr>
    </w:p>
    <w:p w14:paraId="090A2112" w14:textId="3D28ABCF" w:rsidR="00C57C4A" w:rsidRDefault="00C57C4A" w:rsidP="47B2C723">
      <w:pPr>
        <w:spacing w:after="0" w:line="240" w:lineRule="auto"/>
        <w:jc w:val="both"/>
        <w:rPr>
          <w:rFonts w:ascii="Book Antiqua" w:eastAsia="Book Antiqua" w:hAnsi="Book Antiqua" w:cs="Book Antiqua"/>
          <w:b/>
          <w:bCs/>
          <w:sz w:val="24"/>
          <w:szCs w:val="24"/>
          <w:lang w:val="es-PR"/>
        </w:rPr>
      </w:pPr>
      <w:r w:rsidRPr="47B2C723">
        <w:rPr>
          <w:rFonts w:ascii="Book Antiqua" w:eastAsia="Book Antiqua" w:hAnsi="Book Antiqua" w:cs="Book Antiqua"/>
          <w:b/>
          <w:bCs/>
          <w:sz w:val="24"/>
          <w:szCs w:val="24"/>
          <w:lang w:val="es-PR"/>
        </w:rPr>
        <w:t>RECOMENDACIONES</w:t>
      </w:r>
      <w:r w:rsidR="003E7904" w:rsidRPr="47B2C723">
        <w:rPr>
          <w:rFonts w:ascii="Book Antiqua" w:eastAsia="Book Antiqua" w:hAnsi="Book Antiqua" w:cs="Book Antiqua"/>
          <w:b/>
          <w:bCs/>
          <w:sz w:val="24"/>
          <w:szCs w:val="24"/>
          <w:lang w:val="es-PR"/>
        </w:rPr>
        <w:t xml:space="preserve"> Y CONCLUSIONES</w:t>
      </w:r>
    </w:p>
    <w:p w14:paraId="63D2FEC5" w14:textId="032C2159" w:rsidR="47B2C723" w:rsidRDefault="47B2C723" w:rsidP="47B2C723">
      <w:pPr>
        <w:spacing w:after="0" w:line="240" w:lineRule="auto"/>
        <w:ind w:firstLine="720"/>
        <w:jc w:val="both"/>
        <w:rPr>
          <w:rFonts w:ascii="Book Antiqua" w:eastAsia="Book Antiqua" w:hAnsi="Book Antiqua" w:cs="Book Antiqua"/>
          <w:sz w:val="24"/>
          <w:szCs w:val="24"/>
          <w:lang w:val="es-ES"/>
        </w:rPr>
      </w:pPr>
    </w:p>
    <w:p w14:paraId="090CA306" w14:textId="77777777" w:rsidR="00AF5B09" w:rsidRPr="00AF5B09" w:rsidRDefault="00AF5B09" w:rsidP="00AF5B09">
      <w:pPr>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 xml:space="preserve">Luego de examinar el texto aprobado del Proyecto del Senado 516 y de evaluar el análisis contenido en el Informe Positivo rendido por la Comisión de Vivienda y Bienestar Social del Senado de Puerto Rico, la Comisión de Adultos Mayores y Bienestar Social de la Cámara de Representantes concluye que la medida atiende de manera </w:t>
      </w:r>
      <w:r w:rsidRPr="00AF5B09">
        <w:rPr>
          <w:rFonts w:ascii="Book Antiqua" w:eastAsia="Book Antiqua" w:hAnsi="Book Antiqua" w:cs="Book Antiqua"/>
          <w:sz w:val="24"/>
          <w:szCs w:val="24"/>
          <w:lang w:val="es-US"/>
        </w:rPr>
        <w:lastRenderedPageBreak/>
        <w:t>adecuada y responsable una necesidad apremiante relacionada con el acceso a la información y la visibilidad de los servicios dirigidos a la población adulta mayor.</w:t>
      </w:r>
    </w:p>
    <w:p w14:paraId="44D6E2B7" w14:textId="77777777" w:rsidR="00AF5B09" w:rsidRPr="00AF5B09" w:rsidRDefault="00AF5B09" w:rsidP="00AF5B09">
      <w:pPr>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 xml:space="preserve">Esta Comisión reconoce que la divulgación clara, accesible y actualizada de los programas, beneficios y servicios disponibles constituye un componente esencial para garantizar el bienestar, la dignidad y la autonomía de las personas de edad avanzada. El uso de herramientas digitales para centralizar dicha información representa una alternativa eficiente y moderna que promueve la transparencia gubernamental, fortalece la coordinación </w:t>
      </w:r>
      <w:proofErr w:type="spellStart"/>
      <w:r w:rsidRPr="00AF5B09">
        <w:rPr>
          <w:rFonts w:ascii="Book Antiqua" w:eastAsia="Book Antiqua" w:hAnsi="Book Antiqua" w:cs="Book Antiqua"/>
          <w:sz w:val="24"/>
          <w:szCs w:val="24"/>
          <w:lang w:val="es-US"/>
        </w:rPr>
        <w:t>interagencial</w:t>
      </w:r>
      <w:proofErr w:type="spellEnd"/>
      <w:r w:rsidRPr="00AF5B09">
        <w:rPr>
          <w:rFonts w:ascii="Book Antiqua" w:eastAsia="Book Antiqua" w:hAnsi="Book Antiqua" w:cs="Book Antiqua"/>
          <w:sz w:val="24"/>
          <w:szCs w:val="24"/>
          <w:lang w:val="es-US"/>
        </w:rPr>
        <w:t xml:space="preserve"> y facilita la orientación a nivel comunitario.</w:t>
      </w:r>
    </w:p>
    <w:p w14:paraId="02C44F8A" w14:textId="77777777" w:rsidR="00AF5B09" w:rsidRPr="00AF5B09" w:rsidRDefault="00AF5B09" w:rsidP="00AF5B09">
      <w:pPr>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Asimismo, esta Comisión concluye que el Proyecto del Senado 516, según aprobado, no impone cargas fiscales adicionales significativas ni crea nuevas estructuras administrativas, sino que formaliza en ley funciones que resultan cónsonas con el rol y las responsabilidades inherentes de la Oficina para el Desarrollo Socioeconómico y Comunitario de Puerto Rico. De igual forma, la medida armoniza con la política pública vigente del Gobierno de Puerto Rico dirigida a promover la inclusión, el acceso equitativo a los servicios y el uso responsable de los recursos públicos.</w:t>
      </w:r>
    </w:p>
    <w:p w14:paraId="402C186E" w14:textId="77777777" w:rsidR="00AF5B09" w:rsidRPr="00AF5B09" w:rsidRDefault="00AF5B09" w:rsidP="00AF5B09">
      <w:pPr>
        <w:ind w:firstLine="720"/>
        <w:jc w:val="both"/>
        <w:rPr>
          <w:rFonts w:ascii="Book Antiqua" w:eastAsia="Book Antiqua" w:hAnsi="Book Antiqua" w:cs="Book Antiqua"/>
          <w:sz w:val="24"/>
          <w:szCs w:val="24"/>
          <w:lang w:val="es-US"/>
        </w:rPr>
      </w:pPr>
      <w:r w:rsidRPr="00AF5B09">
        <w:rPr>
          <w:rFonts w:ascii="Book Antiqua" w:eastAsia="Book Antiqua" w:hAnsi="Book Antiqua" w:cs="Book Antiqua"/>
          <w:sz w:val="24"/>
          <w:szCs w:val="24"/>
          <w:lang w:val="es-US"/>
        </w:rPr>
        <w:t>En atención a lo anterior, y no surgiendo objeciones sustantivas al contenido de la medida, esta Comisión estima innecesario duplicar los procesos de evaluación ya realizados por el Senado de Puerto Rico. Por consiguiente, la Comisión de Adultos Mayores y Bienestar Social acoge el análisis efectuado por dicho Cuerpo Legislativo y concluye que el Proyecto del Senado 516 cumple con los méritos necesarios para su aprobación.</w:t>
      </w:r>
    </w:p>
    <w:p w14:paraId="25EC8531" w14:textId="7DB3C5F6" w:rsidR="5AA65BF5" w:rsidRDefault="5AA65BF5" w:rsidP="3C3F330B">
      <w:pPr>
        <w:ind w:firstLine="720"/>
        <w:jc w:val="both"/>
        <w:rPr>
          <w:rFonts w:ascii="Book Antiqua" w:eastAsia="Book Antiqua" w:hAnsi="Book Antiqua" w:cs="Book Antiqua"/>
          <w:color w:val="000000" w:themeColor="text1"/>
          <w:sz w:val="24"/>
          <w:szCs w:val="24"/>
          <w:lang w:val="es-ES"/>
        </w:rPr>
      </w:pPr>
      <w:r w:rsidRPr="47B2C723">
        <w:rPr>
          <w:rFonts w:ascii="Book Antiqua" w:eastAsia="Book Antiqua" w:hAnsi="Book Antiqua" w:cs="Book Antiqua"/>
          <w:b/>
          <w:bCs/>
          <w:color w:val="000000" w:themeColor="text1"/>
          <w:sz w:val="24"/>
          <w:szCs w:val="24"/>
          <w:lang w:val="es-ES"/>
        </w:rPr>
        <w:t>POR TODO LO ANTES EXPUESTO</w:t>
      </w:r>
      <w:r w:rsidRPr="47B2C723">
        <w:rPr>
          <w:rFonts w:ascii="Book Antiqua" w:eastAsia="Book Antiqua" w:hAnsi="Book Antiqua" w:cs="Book Antiqua"/>
          <w:color w:val="000000" w:themeColor="text1"/>
          <w:sz w:val="24"/>
          <w:szCs w:val="24"/>
          <w:lang w:val="es-ES"/>
        </w:rPr>
        <w:t>, l</w:t>
      </w:r>
      <w:r w:rsidRPr="47B2C723">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47B2C723">
        <w:rPr>
          <w:rFonts w:ascii="Book Antiqua" w:eastAsia="Book Antiqua" w:hAnsi="Book Antiqua" w:cs="Book Antiqua"/>
          <w:color w:val="000000" w:themeColor="text1"/>
          <w:sz w:val="24"/>
          <w:szCs w:val="24"/>
          <w:lang w:val="es-ES"/>
        </w:rPr>
        <w:t>, previo estudio y consideración, recomienda la aprobación del P. de</w:t>
      </w:r>
      <w:r w:rsidR="3FDF74A5" w:rsidRPr="47B2C723">
        <w:rPr>
          <w:rFonts w:ascii="Book Antiqua" w:eastAsia="Book Antiqua" w:hAnsi="Book Antiqua" w:cs="Book Antiqua"/>
          <w:color w:val="000000" w:themeColor="text1"/>
          <w:sz w:val="24"/>
          <w:szCs w:val="24"/>
          <w:lang w:val="es-ES"/>
        </w:rPr>
        <w:t>l S</w:t>
      </w:r>
      <w:r w:rsidRPr="47B2C723">
        <w:rPr>
          <w:rFonts w:ascii="Book Antiqua" w:eastAsia="Book Antiqua" w:hAnsi="Book Antiqua" w:cs="Book Antiqua"/>
          <w:color w:val="000000" w:themeColor="text1"/>
          <w:sz w:val="24"/>
          <w:szCs w:val="24"/>
          <w:lang w:val="es-ES"/>
        </w:rPr>
        <w:t xml:space="preserve">. </w:t>
      </w:r>
      <w:r w:rsidR="00AF5B09">
        <w:rPr>
          <w:rFonts w:ascii="Book Antiqua" w:eastAsia="Book Antiqua" w:hAnsi="Book Antiqua" w:cs="Book Antiqua"/>
          <w:color w:val="000000" w:themeColor="text1"/>
          <w:sz w:val="24"/>
          <w:szCs w:val="24"/>
          <w:lang w:val="es-ES"/>
        </w:rPr>
        <w:t>516</w:t>
      </w:r>
      <w:r w:rsidRPr="47B2C723">
        <w:rPr>
          <w:rFonts w:ascii="Book Antiqua" w:eastAsia="Book Antiqua" w:hAnsi="Book Antiqua" w:cs="Book Antiqua"/>
          <w:color w:val="000000" w:themeColor="text1"/>
          <w:sz w:val="24"/>
          <w:szCs w:val="24"/>
          <w:lang w:val="es-ES"/>
        </w:rPr>
        <w:t xml:space="preserve">, </w:t>
      </w:r>
      <w:r w:rsidR="4AB3B5D8" w:rsidRPr="47B2C723">
        <w:rPr>
          <w:rFonts w:ascii="Book Antiqua" w:eastAsia="Book Antiqua" w:hAnsi="Book Antiqua" w:cs="Book Antiqua"/>
          <w:color w:val="000000" w:themeColor="text1"/>
          <w:sz w:val="24"/>
          <w:szCs w:val="24"/>
          <w:lang w:val="es-ES"/>
        </w:rPr>
        <w:t xml:space="preserve">sin </w:t>
      </w:r>
      <w:r w:rsidRPr="47B2C723">
        <w:rPr>
          <w:rFonts w:ascii="Book Antiqua" w:eastAsia="Book Antiqua" w:hAnsi="Book Antiqua" w:cs="Book Antiqua"/>
          <w:color w:val="000000" w:themeColor="text1"/>
          <w:sz w:val="24"/>
          <w:szCs w:val="24"/>
          <w:lang w:val="es-ES"/>
        </w:rPr>
        <w:t>enmiendas</w:t>
      </w:r>
      <w:proofErr w:type="gramStart"/>
      <w:r w:rsidR="00AF5B09">
        <w:rPr>
          <w:rFonts w:ascii="Book Antiqua" w:eastAsia="Book Antiqua" w:hAnsi="Book Antiqua" w:cs="Book Antiqua"/>
          <w:color w:val="000000" w:themeColor="text1"/>
          <w:sz w:val="24"/>
          <w:szCs w:val="24"/>
          <w:lang w:val="es-ES"/>
        </w:rPr>
        <w:t xml:space="preserve">, </w:t>
      </w:r>
      <w:r w:rsidR="00AF5B09" w:rsidRPr="00AF5B09">
        <w:rPr>
          <w:rFonts w:ascii="Book Antiqua" w:eastAsia="Book Antiqua" w:hAnsi="Book Antiqua" w:cs="Book Antiqua"/>
          <w:color w:val="000000" w:themeColor="text1"/>
          <w:sz w:val="24"/>
          <w:szCs w:val="24"/>
          <w:lang w:val="es-US"/>
        </w:rPr>
        <w:t>,</w:t>
      </w:r>
      <w:proofErr w:type="gramEnd"/>
      <w:r w:rsidR="00AF5B09" w:rsidRPr="00AF5B09">
        <w:rPr>
          <w:rFonts w:ascii="Book Antiqua" w:eastAsia="Book Antiqua" w:hAnsi="Book Antiqua" w:cs="Book Antiqua"/>
          <w:color w:val="000000" w:themeColor="text1"/>
          <w:sz w:val="24"/>
          <w:szCs w:val="24"/>
          <w:lang w:val="es-US"/>
        </w:rPr>
        <w:t xml:space="preserve"> por entender que la medida adelanta la política pública a favor de la población adulta mayor y promueve un acceso más efectivo y transparente a los servicios disponibles para esta población.</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5E619" w14:textId="77777777" w:rsidR="0035076F" w:rsidRDefault="0035076F" w:rsidP="002217BA">
      <w:pPr>
        <w:spacing w:after="0" w:line="240" w:lineRule="auto"/>
      </w:pPr>
      <w:r>
        <w:separator/>
      </w:r>
    </w:p>
  </w:endnote>
  <w:endnote w:type="continuationSeparator" w:id="0">
    <w:p w14:paraId="23178431" w14:textId="77777777" w:rsidR="0035076F" w:rsidRDefault="0035076F"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BA05F36"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 xml:space="preserve">Informe Positivo P. del S. </w:t>
    </w:r>
    <w:r w:rsidR="00AF5B09">
      <w:rPr>
        <w:rFonts w:ascii="Book Antiqua" w:hAnsi="Book Antiqua"/>
        <w:smallCaps/>
        <w:sz w:val="16"/>
        <w:szCs w:val="16"/>
        <w:lang w:val="es-PR" w:eastAsia="es-PR"/>
      </w:rPr>
      <w:t>516</w:t>
    </w:r>
    <w:r w:rsidRPr="3C3F330B">
      <w:rPr>
        <w:rFonts w:ascii="Book Antiqua" w:hAnsi="Book Antiqua"/>
        <w:smallCaps/>
        <w:sz w:val="16"/>
        <w:szCs w:val="16"/>
        <w:lang w:val="es-PR" w:eastAsia="es-PR"/>
      </w:rPr>
      <w:t xml:space="preserve">|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7B6C8" w14:textId="77777777" w:rsidR="0035076F" w:rsidRDefault="0035076F" w:rsidP="002217BA">
      <w:pPr>
        <w:spacing w:after="0" w:line="240" w:lineRule="auto"/>
      </w:pPr>
      <w:r>
        <w:separator/>
      </w:r>
    </w:p>
  </w:footnote>
  <w:footnote w:type="continuationSeparator" w:id="0">
    <w:p w14:paraId="38291F98" w14:textId="77777777" w:rsidR="0035076F" w:rsidRDefault="0035076F"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8"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1"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2"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6"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16"/>
  </w:num>
  <w:num w:numId="2" w16cid:durableId="37828396">
    <w:abstractNumId w:val="11"/>
  </w:num>
  <w:num w:numId="3" w16cid:durableId="1079641635">
    <w:abstractNumId w:val="15"/>
  </w:num>
  <w:num w:numId="4" w16cid:durableId="553732606">
    <w:abstractNumId w:val="2"/>
  </w:num>
  <w:num w:numId="5" w16cid:durableId="578715436">
    <w:abstractNumId w:val="0"/>
  </w:num>
  <w:num w:numId="6" w16cid:durableId="1615363827">
    <w:abstractNumId w:val="4"/>
  </w:num>
  <w:num w:numId="7" w16cid:durableId="252666089">
    <w:abstractNumId w:val="1"/>
  </w:num>
  <w:num w:numId="8" w16cid:durableId="1765228413">
    <w:abstractNumId w:val="7"/>
  </w:num>
  <w:num w:numId="9" w16cid:durableId="1017661359">
    <w:abstractNumId w:val="10"/>
  </w:num>
  <w:num w:numId="10" w16cid:durableId="2035307679">
    <w:abstractNumId w:val="12"/>
  </w:num>
  <w:num w:numId="11" w16cid:durableId="1614704334">
    <w:abstractNumId w:val="9"/>
  </w:num>
  <w:num w:numId="12" w16cid:durableId="693963319">
    <w:abstractNumId w:val="6"/>
  </w:num>
  <w:num w:numId="13" w16cid:durableId="1360815836">
    <w:abstractNumId w:val="13"/>
  </w:num>
  <w:num w:numId="14" w16cid:durableId="1066226203">
    <w:abstractNumId w:val="3"/>
  </w:num>
  <w:num w:numId="15" w16cid:durableId="445470389">
    <w:abstractNumId w:val="8"/>
  </w:num>
  <w:num w:numId="16" w16cid:durableId="1265772866">
    <w:abstractNumId w:val="14"/>
  </w:num>
  <w:num w:numId="17" w16cid:durableId="20774292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50D4E"/>
    <w:rsid w:val="00055BE5"/>
    <w:rsid w:val="0006747A"/>
    <w:rsid w:val="0007484E"/>
    <w:rsid w:val="000817D5"/>
    <w:rsid w:val="000A28D4"/>
    <w:rsid w:val="000A4A44"/>
    <w:rsid w:val="000B22F5"/>
    <w:rsid w:val="000C3306"/>
    <w:rsid w:val="00105432"/>
    <w:rsid w:val="00132EA1"/>
    <w:rsid w:val="001438C2"/>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2F5FDB"/>
    <w:rsid w:val="003178E1"/>
    <w:rsid w:val="0035076F"/>
    <w:rsid w:val="00365275"/>
    <w:rsid w:val="003801CC"/>
    <w:rsid w:val="0038433A"/>
    <w:rsid w:val="003A132E"/>
    <w:rsid w:val="003A6E5C"/>
    <w:rsid w:val="003C682D"/>
    <w:rsid w:val="003E7904"/>
    <w:rsid w:val="003F7D97"/>
    <w:rsid w:val="004327CB"/>
    <w:rsid w:val="004419C5"/>
    <w:rsid w:val="004643E2"/>
    <w:rsid w:val="004714D3"/>
    <w:rsid w:val="00487B0E"/>
    <w:rsid w:val="00497876"/>
    <w:rsid w:val="004B262F"/>
    <w:rsid w:val="004C61E3"/>
    <w:rsid w:val="004E05EF"/>
    <w:rsid w:val="00504555"/>
    <w:rsid w:val="00520124"/>
    <w:rsid w:val="00537342"/>
    <w:rsid w:val="00582260"/>
    <w:rsid w:val="00593B10"/>
    <w:rsid w:val="005C7810"/>
    <w:rsid w:val="005E0030"/>
    <w:rsid w:val="005F59A3"/>
    <w:rsid w:val="005F59FE"/>
    <w:rsid w:val="00600D0B"/>
    <w:rsid w:val="00610533"/>
    <w:rsid w:val="0063670F"/>
    <w:rsid w:val="00657B19"/>
    <w:rsid w:val="006748E5"/>
    <w:rsid w:val="00681739"/>
    <w:rsid w:val="00681843"/>
    <w:rsid w:val="006A701D"/>
    <w:rsid w:val="006A7F2F"/>
    <w:rsid w:val="006C1EF8"/>
    <w:rsid w:val="00700385"/>
    <w:rsid w:val="0070345F"/>
    <w:rsid w:val="0071049F"/>
    <w:rsid w:val="00753238"/>
    <w:rsid w:val="007728D9"/>
    <w:rsid w:val="00777779"/>
    <w:rsid w:val="00785D10"/>
    <w:rsid w:val="007939DD"/>
    <w:rsid w:val="007C79D7"/>
    <w:rsid w:val="007F2465"/>
    <w:rsid w:val="00806783"/>
    <w:rsid w:val="008510F9"/>
    <w:rsid w:val="00862A62"/>
    <w:rsid w:val="0089026A"/>
    <w:rsid w:val="008A03CB"/>
    <w:rsid w:val="008C7B3E"/>
    <w:rsid w:val="008D3BA4"/>
    <w:rsid w:val="008F42A0"/>
    <w:rsid w:val="00945C08"/>
    <w:rsid w:val="0095525D"/>
    <w:rsid w:val="00955E39"/>
    <w:rsid w:val="009C5CC2"/>
    <w:rsid w:val="009D00CC"/>
    <w:rsid w:val="009D5D8E"/>
    <w:rsid w:val="00A06458"/>
    <w:rsid w:val="00A06866"/>
    <w:rsid w:val="00A32497"/>
    <w:rsid w:val="00A52CC7"/>
    <w:rsid w:val="00A71AD7"/>
    <w:rsid w:val="00A77700"/>
    <w:rsid w:val="00AB748A"/>
    <w:rsid w:val="00AB7F65"/>
    <w:rsid w:val="00ABE48F"/>
    <w:rsid w:val="00AC34BC"/>
    <w:rsid w:val="00AC76B8"/>
    <w:rsid w:val="00AD1E96"/>
    <w:rsid w:val="00AD79DC"/>
    <w:rsid w:val="00AF1A22"/>
    <w:rsid w:val="00AF5B09"/>
    <w:rsid w:val="00AF76D3"/>
    <w:rsid w:val="00B4056F"/>
    <w:rsid w:val="00B55C7F"/>
    <w:rsid w:val="00B56938"/>
    <w:rsid w:val="00B60AAF"/>
    <w:rsid w:val="00B745E1"/>
    <w:rsid w:val="00B75911"/>
    <w:rsid w:val="00B83661"/>
    <w:rsid w:val="00B84008"/>
    <w:rsid w:val="00B950C6"/>
    <w:rsid w:val="00BA7F2B"/>
    <w:rsid w:val="00BB187C"/>
    <w:rsid w:val="00BC6271"/>
    <w:rsid w:val="00BE40E8"/>
    <w:rsid w:val="00C00424"/>
    <w:rsid w:val="00C06313"/>
    <w:rsid w:val="00C33CD5"/>
    <w:rsid w:val="00C57C4A"/>
    <w:rsid w:val="00CD1DE7"/>
    <w:rsid w:val="00D01CA9"/>
    <w:rsid w:val="00D05709"/>
    <w:rsid w:val="00D21F6F"/>
    <w:rsid w:val="00D23D7F"/>
    <w:rsid w:val="00D34EC5"/>
    <w:rsid w:val="00D448D6"/>
    <w:rsid w:val="00D55328"/>
    <w:rsid w:val="00D55FC3"/>
    <w:rsid w:val="00D85E2D"/>
    <w:rsid w:val="00D94E98"/>
    <w:rsid w:val="00DA25B5"/>
    <w:rsid w:val="00DC178C"/>
    <w:rsid w:val="00DD0955"/>
    <w:rsid w:val="00DE1560"/>
    <w:rsid w:val="00E17D03"/>
    <w:rsid w:val="00E27F0C"/>
    <w:rsid w:val="00E42B4E"/>
    <w:rsid w:val="00E45B78"/>
    <w:rsid w:val="00E51B91"/>
    <w:rsid w:val="00E55046"/>
    <w:rsid w:val="00EA6DB2"/>
    <w:rsid w:val="00EE2D33"/>
    <w:rsid w:val="00EE46B9"/>
    <w:rsid w:val="00EF004F"/>
    <w:rsid w:val="00F03BAD"/>
    <w:rsid w:val="00F10A10"/>
    <w:rsid w:val="00F14B46"/>
    <w:rsid w:val="00F372C5"/>
    <w:rsid w:val="00F448AE"/>
    <w:rsid w:val="00F8041B"/>
    <w:rsid w:val="00F80692"/>
    <w:rsid w:val="00F853E4"/>
    <w:rsid w:val="00F912AF"/>
    <w:rsid w:val="00FE6FE0"/>
    <w:rsid w:val="00FF571B"/>
    <w:rsid w:val="011BAA97"/>
    <w:rsid w:val="013CE001"/>
    <w:rsid w:val="015856E3"/>
    <w:rsid w:val="02447600"/>
    <w:rsid w:val="034CFDC5"/>
    <w:rsid w:val="03C4B0AD"/>
    <w:rsid w:val="03C5A055"/>
    <w:rsid w:val="03D38864"/>
    <w:rsid w:val="03FECE83"/>
    <w:rsid w:val="042AE4BA"/>
    <w:rsid w:val="044F7F01"/>
    <w:rsid w:val="04E3D826"/>
    <w:rsid w:val="04F5EC38"/>
    <w:rsid w:val="05A5364E"/>
    <w:rsid w:val="05EABFEA"/>
    <w:rsid w:val="060A1E06"/>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E0BACF"/>
    <w:rsid w:val="2CF2A690"/>
    <w:rsid w:val="2D0DB5C2"/>
    <w:rsid w:val="2D40D935"/>
    <w:rsid w:val="2D4EC098"/>
    <w:rsid w:val="2DA53E1F"/>
    <w:rsid w:val="2DC1D6A8"/>
    <w:rsid w:val="2DDEBE7B"/>
    <w:rsid w:val="2E16434C"/>
    <w:rsid w:val="2E93BED0"/>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6838E"/>
    <w:rsid w:val="31AAEABD"/>
    <w:rsid w:val="31CE0BF7"/>
    <w:rsid w:val="31F1164F"/>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CC4036"/>
    <w:rsid w:val="42FD330A"/>
    <w:rsid w:val="430DF873"/>
    <w:rsid w:val="4363F2C2"/>
    <w:rsid w:val="436FBBC7"/>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866279"/>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5435439"/>
    <w:rsid w:val="662CECD3"/>
    <w:rsid w:val="66BC3BCA"/>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5B688B"/>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1836</Words>
  <Characters>10295</Characters>
  <Application>Microsoft Office Word</Application>
  <DocSecurity>4</DocSecurity>
  <Lines>194</Lines>
  <Paragraphs>40</Paragraphs>
  <ScaleCrop>false</ScaleCrop>
  <Company/>
  <LinksUpToDate>false</LinksUpToDate>
  <CharactersWithSpaces>12105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Carlos Y. Rosado Cruz</cp:lastModifiedBy>
  <cp:revision>2</cp:revision>
  <cp:lastPrinted>2026-01-26T12:31:00Z</cp:lastPrinted>
  <dcterms:created xsi:type="dcterms:W3CDTF">2026-01-26T15:58:00Z</dcterms:created>
  <dcterms:modified xsi:type="dcterms:W3CDTF">2026-01-26T15:58:00Z</dcterms:modified>
</cp:coreProperties>
</file>