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5B672" w14:textId="5344C57E" w:rsidR="00493F0D" w:rsidRPr="00117D34" w:rsidRDefault="00493F0D" w:rsidP="00493F0D">
      <w:pPr>
        <w:spacing w:after="0" w:line="240" w:lineRule="auto"/>
        <w:jc w:val="center"/>
        <w:rPr>
          <w:rFonts w:ascii="Book Antiqua" w:eastAsia="Times New Roman" w:hAnsi="Book Antiqua"/>
          <w:sz w:val="36"/>
          <w:szCs w:val="20"/>
          <w:lang w:val="es-ES_tradnl"/>
        </w:rPr>
      </w:pPr>
      <w:r w:rsidRPr="00117D34">
        <w:rPr>
          <w:rFonts w:ascii="Book Antiqua" w:eastAsia="Times New Roman" w:hAnsi="Book Antiqua"/>
          <w:sz w:val="36"/>
          <w:szCs w:val="20"/>
          <w:lang w:val="es-ES_tradnl"/>
        </w:rPr>
        <w:t>GOBIERNO DE PUERTO RICO</w:t>
      </w:r>
    </w:p>
    <w:p w14:paraId="42B5168B" w14:textId="77777777" w:rsidR="00493F0D" w:rsidRPr="00117D34" w:rsidRDefault="00493F0D" w:rsidP="00493F0D">
      <w:pPr>
        <w:spacing w:after="0" w:line="240" w:lineRule="auto"/>
        <w:jc w:val="center"/>
        <w:rPr>
          <w:rFonts w:ascii="Book Antiqua" w:eastAsia="Times New Roman" w:hAnsi="Book Antiqua"/>
          <w:sz w:val="36"/>
          <w:szCs w:val="20"/>
          <w:lang w:val="es-ES_tradnl"/>
        </w:rPr>
      </w:pPr>
    </w:p>
    <w:p w14:paraId="382EB840" w14:textId="77777777" w:rsidR="00493F0D" w:rsidRPr="00117D34" w:rsidRDefault="00493F0D" w:rsidP="00493F0D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 w:rsidRPr="00117D34">
        <w:rPr>
          <w:rFonts w:ascii="Book Antiqua" w:eastAsia="Times New Roman" w:hAnsi="Book Antiqua"/>
          <w:sz w:val="24"/>
          <w:szCs w:val="20"/>
          <w:lang w:val="es-ES_tradnl"/>
        </w:rPr>
        <w:t>20</w:t>
      </w:r>
      <w:r w:rsidRPr="00117D34"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>ma.</w:t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  <w:t>Asamblea</w:t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  <w:t>1</w:t>
      </w:r>
      <w:r w:rsidRPr="00117D34"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>ra.</w:t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  <w:t>Sesi</w:t>
      </w:r>
      <w:r w:rsidRPr="00117D34">
        <w:rPr>
          <w:rFonts w:ascii="Book Antiqua" w:eastAsia="Times New Roman" w:hAnsi="Book Antiqua" w:hint="eastAsia"/>
          <w:sz w:val="24"/>
          <w:szCs w:val="20"/>
          <w:lang w:val="es-ES_tradnl"/>
        </w:rPr>
        <w:t>ó</w:t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>n</w:t>
      </w:r>
    </w:p>
    <w:p w14:paraId="735F3C59" w14:textId="77777777" w:rsidR="00493F0D" w:rsidRPr="00117D34" w:rsidRDefault="00493F0D" w:rsidP="00493F0D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  <w:t>Legislativa</w:t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ab/>
        <w:t>Ordinaria</w:t>
      </w:r>
    </w:p>
    <w:p w14:paraId="279B1F04" w14:textId="77777777" w:rsidR="00493F0D" w:rsidRPr="00117D34" w:rsidRDefault="00493F0D" w:rsidP="00493F0D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es-ES_tradnl"/>
        </w:rPr>
      </w:pPr>
    </w:p>
    <w:p w14:paraId="05019986" w14:textId="77777777" w:rsidR="00493F0D" w:rsidRDefault="00493F0D" w:rsidP="00493F0D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ES_tradnl"/>
        </w:rPr>
      </w:pPr>
      <w:r w:rsidRPr="00117D34">
        <w:rPr>
          <w:rFonts w:ascii="Book Antiqua" w:eastAsia="Times New Roman" w:hAnsi="Book Antiqua"/>
          <w:b/>
          <w:sz w:val="36"/>
          <w:szCs w:val="20"/>
          <w:lang w:val="es-ES_tradnl"/>
        </w:rPr>
        <w:t>SENADO DE PUERTO RICO</w:t>
      </w:r>
    </w:p>
    <w:p w14:paraId="17A89F56" w14:textId="77777777" w:rsidR="00F836E0" w:rsidRPr="00F836E0" w:rsidRDefault="00F836E0" w:rsidP="00493F0D">
      <w:pPr>
        <w:spacing w:after="0" w:line="240" w:lineRule="auto"/>
        <w:jc w:val="center"/>
        <w:rPr>
          <w:rFonts w:ascii="Book Antiqua" w:eastAsia="Times New Roman" w:hAnsi="Book Antiqua"/>
          <w:b/>
          <w:sz w:val="12"/>
          <w:szCs w:val="12"/>
          <w:lang w:val="es-ES_tradnl"/>
        </w:rPr>
      </w:pPr>
    </w:p>
    <w:p w14:paraId="296B5E95" w14:textId="77777777" w:rsidR="00493F0D" w:rsidRPr="00117D34" w:rsidRDefault="00493F0D" w:rsidP="00F836E0">
      <w:pPr>
        <w:spacing w:after="0" w:line="360" w:lineRule="auto"/>
        <w:jc w:val="center"/>
        <w:rPr>
          <w:rFonts w:ascii="Book Antiqua" w:eastAsia="Times New Roman" w:hAnsi="Book Antiqua"/>
          <w:b/>
          <w:sz w:val="52"/>
          <w:szCs w:val="20"/>
          <w:lang w:val="es-ES_tradnl"/>
        </w:rPr>
      </w:pPr>
      <w:r w:rsidRPr="00117D34">
        <w:rPr>
          <w:rFonts w:ascii="Book Antiqua" w:eastAsia="Times New Roman" w:hAnsi="Book Antiqua"/>
          <w:b/>
          <w:sz w:val="52"/>
          <w:szCs w:val="20"/>
          <w:lang w:val="es-ES_tradnl"/>
        </w:rPr>
        <w:t xml:space="preserve">P. del S. </w:t>
      </w:r>
      <w:r w:rsidR="00BD21F5">
        <w:rPr>
          <w:rFonts w:ascii="Book Antiqua" w:eastAsia="Times New Roman" w:hAnsi="Book Antiqua"/>
          <w:b/>
          <w:sz w:val="52"/>
          <w:szCs w:val="20"/>
          <w:lang w:val="es-ES_tradnl"/>
        </w:rPr>
        <w:t>517</w:t>
      </w:r>
    </w:p>
    <w:p w14:paraId="171836C0" w14:textId="77777777" w:rsidR="00493F0D" w:rsidRPr="00117D34" w:rsidRDefault="00BD21F5" w:rsidP="00F836E0">
      <w:pPr>
        <w:spacing w:after="0" w:line="36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>8</w:t>
      </w:r>
      <w:r w:rsidR="00493F0D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493F0D" w:rsidRPr="00117D34">
        <w:rPr>
          <w:rFonts w:ascii="Book Antiqua" w:eastAsia="Times New Roman" w:hAnsi="Book Antiqua"/>
          <w:sz w:val="24"/>
          <w:szCs w:val="20"/>
          <w:lang w:val="es-ES_tradnl"/>
        </w:rPr>
        <w:t xml:space="preserve">de </w:t>
      </w:r>
      <w:r w:rsidR="00A522EA">
        <w:rPr>
          <w:rFonts w:ascii="Book Antiqua" w:eastAsia="Times New Roman" w:hAnsi="Book Antiqua"/>
          <w:sz w:val="24"/>
          <w:szCs w:val="20"/>
          <w:lang w:val="es-ES_tradnl"/>
        </w:rPr>
        <w:t xml:space="preserve">abril </w:t>
      </w:r>
      <w:r w:rsidR="00493F0D" w:rsidRPr="00117D34">
        <w:rPr>
          <w:rFonts w:ascii="Book Antiqua" w:eastAsia="Times New Roman" w:hAnsi="Book Antiqua"/>
          <w:sz w:val="24"/>
          <w:szCs w:val="20"/>
          <w:lang w:val="es-ES_tradnl"/>
        </w:rPr>
        <w:t>de 2025</w:t>
      </w:r>
    </w:p>
    <w:p w14:paraId="16F91535" w14:textId="3E8CC517" w:rsidR="00493F0D" w:rsidRDefault="00493F0D" w:rsidP="00F836E0">
      <w:pPr>
        <w:spacing w:after="0" w:line="360" w:lineRule="auto"/>
        <w:jc w:val="center"/>
        <w:rPr>
          <w:rFonts w:ascii="Book Antiqua" w:eastAsia="Times New Roman" w:hAnsi="Book Antiqua"/>
          <w:i/>
          <w:iCs/>
          <w:sz w:val="24"/>
          <w:szCs w:val="20"/>
          <w:lang w:val="es-ES_tradnl"/>
        </w:rPr>
      </w:pPr>
      <w:r w:rsidRPr="00117D34">
        <w:rPr>
          <w:rFonts w:ascii="Book Antiqua" w:eastAsia="Times New Roman" w:hAnsi="Book Antiqua"/>
          <w:sz w:val="24"/>
          <w:szCs w:val="20"/>
          <w:lang w:val="es-ES_tradnl"/>
        </w:rPr>
        <w:t>Presentado por el se</w:t>
      </w:r>
      <w:r w:rsidR="00CE572D">
        <w:rPr>
          <w:rFonts w:ascii="Book Antiqua" w:eastAsia="Times New Roman" w:hAnsi="Book Antiqua"/>
          <w:sz w:val="24"/>
          <w:szCs w:val="20"/>
          <w:lang w:val="es-ES_tradnl"/>
        </w:rPr>
        <w:t>ñ</w:t>
      </w:r>
      <w:r w:rsidRPr="00117D34">
        <w:rPr>
          <w:rFonts w:ascii="Book Antiqua" w:eastAsia="Times New Roman" w:hAnsi="Book Antiqua"/>
          <w:sz w:val="24"/>
          <w:szCs w:val="20"/>
          <w:lang w:val="es-ES_tradnl"/>
        </w:rPr>
        <w:t>or</w:t>
      </w: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57282" w:rsidRPr="00357282">
        <w:rPr>
          <w:rFonts w:ascii="Book Antiqua" w:eastAsia="Times New Roman" w:hAnsi="Book Antiqua"/>
          <w:i/>
          <w:iCs/>
          <w:sz w:val="24"/>
          <w:szCs w:val="20"/>
          <w:lang w:val="es-ES_tradnl"/>
        </w:rPr>
        <w:t>Sánchez Álvarez</w:t>
      </w:r>
    </w:p>
    <w:p w14:paraId="5E3BE410" w14:textId="7BBF26ED" w:rsidR="00DE79C6" w:rsidRPr="00117D34" w:rsidRDefault="00DE79C6" w:rsidP="0014165B">
      <w:pPr>
        <w:spacing w:after="12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i/>
          <w:iCs/>
          <w:sz w:val="24"/>
          <w:szCs w:val="20"/>
          <w:lang w:val="es-ES_tradnl"/>
        </w:rPr>
        <w:t>Coautor</w:t>
      </w:r>
      <w:r w:rsidR="0014165B">
        <w:rPr>
          <w:rFonts w:ascii="Book Antiqua" w:eastAsia="Times New Roman" w:hAnsi="Book Antiqua"/>
          <w:i/>
          <w:iCs/>
          <w:sz w:val="24"/>
          <w:szCs w:val="20"/>
          <w:lang w:val="es-ES_tradnl"/>
        </w:rPr>
        <w:t>es</w:t>
      </w:r>
      <w:r>
        <w:rPr>
          <w:rFonts w:ascii="Book Antiqua" w:eastAsia="Times New Roman" w:hAnsi="Book Antiqua"/>
          <w:i/>
          <w:iCs/>
          <w:sz w:val="24"/>
          <w:szCs w:val="20"/>
          <w:lang w:val="es-ES_tradnl"/>
        </w:rPr>
        <w:t xml:space="preserve"> la señora Barlucea Rodríguez</w:t>
      </w:r>
      <w:r w:rsidR="0014165B">
        <w:rPr>
          <w:rFonts w:ascii="Book Antiqua" w:eastAsia="Times New Roman" w:hAnsi="Book Antiqua"/>
          <w:i/>
          <w:iCs/>
          <w:sz w:val="24"/>
          <w:szCs w:val="20"/>
          <w:lang w:val="es-ES_tradnl"/>
        </w:rPr>
        <w:t>; el señor González López; la señora Pérez Soto; y los señores Reyes Berríos y Santos Ortiz</w:t>
      </w:r>
    </w:p>
    <w:p w14:paraId="534C6F99" w14:textId="77777777" w:rsidR="00F836E0" w:rsidRPr="007A4177" w:rsidRDefault="00493F0D" w:rsidP="00F836E0">
      <w:pPr>
        <w:spacing w:after="0" w:line="360" w:lineRule="auto"/>
        <w:jc w:val="center"/>
        <w:rPr>
          <w:rFonts w:ascii="Book Antiqua" w:eastAsia="Times New Roman" w:hAnsi="Book Antiqua"/>
          <w:i/>
          <w:iCs/>
          <w:sz w:val="24"/>
          <w:szCs w:val="24"/>
          <w:lang w:val="es-419"/>
        </w:rPr>
      </w:pPr>
      <w:r w:rsidRPr="00117D34">
        <w:rPr>
          <w:rFonts w:ascii="Book Antiqua" w:eastAsia="Times New Roman" w:hAnsi="Book Antiqua"/>
          <w:i/>
          <w:sz w:val="24"/>
          <w:szCs w:val="20"/>
          <w:lang w:val="es-ES_tradnl"/>
        </w:rPr>
        <w:t xml:space="preserve">Referido a la Comisión de </w:t>
      </w:r>
      <w:r w:rsidR="00F836E0" w:rsidRPr="007A4177">
        <w:rPr>
          <w:rFonts w:ascii="Book Antiqua" w:eastAsia="Times New Roman" w:hAnsi="Book Antiqua"/>
          <w:i/>
          <w:iCs/>
          <w:sz w:val="24"/>
          <w:szCs w:val="24"/>
          <w:lang w:val="es-419"/>
        </w:rPr>
        <w:t>Vivienda y Bienestar Social</w:t>
      </w:r>
    </w:p>
    <w:p w14:paraId="1A66705E" w14:textId="77777777" w:rsidR="00493F0D" w:rsidRPr="00FC620F" w:rsidRDefault="00493F0D" w:rsidP="00493F0D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lang w:val="es-PR"/>
        </w:rPr>
      </w:pPr>
    </w:p>
    <w:p w14:paraId="66F18A68" w14:textId="77777777" w:rsidR="00493F0D" w:rsidRPr="00FC620F" w:rsidRDefault="00493F0D" w:rsidP="00493F0D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LEY</w:t>
      </w:r>
    </w:p>
    <w:p w14:paraId="5B57A3D4" w14:textId="77777777" w:rsidR="00B865DA" w:rsidRPr="00000949" w:rsidRDefault="00B865DA" w:rsidP="00B865DA">
      <w:pPr>
        <w:spacing w:after="0" w:line="240" w:lineRule="auto"/>
        <w:jc w:val="both"/>
        <w:rPr>
          <w:rFonts w:ascii="Book Antiqua" w:eastAsia="Times New Roman" w:hAnsi="Book Antiqua"/>
          <w:sz w:val="16"/>
          <w:szCs w:val="16"/>
          <w:lang w:val="es-PR"/>
        </w:rPr>
      </w:pPr>
    </w:p>
    <w:p w14:paraId="4C34D302" w14:textId="61CED785" w:rsidR="004B05EB" w:rsidRDefault="00B865DA" w:rsidP="00861104">
      <w:pPr>
        <w:spacing w:after="0" w:line="240" w:lineRule="auto"/>
        <w:ind w:left="540" w:hanging="54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sz w:val="24"/>
          <w:szCs w:val="24"/>
          <w:lang w:val="es-PR"/>
        </w:rPr>
        <w:t>Para</w:t>
      </w:r>
      <w:bookmarkStart w:id="0" w:name="_Hlk169195102"/>
      <w:r w:rsidR="00C8592C">
        <w:rPr>
          <w:rFonts w:ascii="Book Antiqua" w:eastAsia="Times New Roman" w:hAnsi="Book Antiqua"/>
          <w:sz w:val="24"/>
          <w:szCs w:val="24"/>
          <w:lang w:val="es-PR"/>
        </w:rPr>
        <w:t xml:space="preserve"> </w:t>
      </w:r>
      <w:r w:rsidR="005719BA"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enmendar el Artículo 3 de la Ley Núm. 171 de 30 de junio de 1968, según enmendada, conocida como “Ley Orgánica del Departamento de la Familia”, a los fines de disponer para la creación y actualización de un catálogo digital sobre todos los programas, beneficios, servicios, actividades e instalaciones disponibles para la población desventajada, tanto en las agencias gubernamentales como en entidades privadas sin fines de lucro </w:t>
      </w:r>
      <w:r w:rsidR="005719BA" w:rsidRPr="00402AF2">
        <w:rPr>
          <w:rFonts w:ascii="Book Antiqua" w:eastAsia="Times New Roman" w:hAnsi="Book Antiqua"/>
          <w:sz w:val="24"/>
          <w:szCs w:val="24"/>
          <w:lang w:val="es-PR"/>
        </w:rPr>
        <w:t xml:space="preserve">y </w:t>
      </w:r>
      <w:r w:rsidR="00A12FF7" w:rsidRPr="00402AF2">
        <w:rPr>
          <w:rFonts w:ascii="Book Antiqua" w:eastAsia="Times New Roman" w:hAnsi="Book Antiqua"/>
          <w:sz w:val="24"/>
          <w:szCs w:val="24"/>
          <w:lang w:val="es-PR"/>
        </w:rPr>
        <w:t xml:space="preserve">en los </w:t>
      </w:r>
      <w:r w:rsidR="005719BA" w:rsidRPr="00402AF2">
        <w:rPr>
          <w:rFonts w:ascii="Book Antiqua" w:eastAsia="Times New Roman" w:hAnsi="Book Antiqua"/>
          <w:sz w:val="24"/>
          <w:szCs w:val="24"/>
          <w:lang w:val="es-PR"/>
        </w:rPr>
        <w:t>municipios</w:t>
      </w:r>
      <w:r w:rsidR="005719BA">
        <w:rPr>
          <w:rFonts w:ascii="Book Antiqua" w:eastAsia="Times New Roman" w:hAnsi="Book Antiqua"/>
          <w:sz w:val="24"/>
          <w:szCs w:val="24"/>
          <w:lang w:val="es-PR"/>
        </w:rPr>
        <w:t>.</w:t>
      </w:r>
    </w:p>
    <w:bookmarkEnd w:id="0"/>
    <w:p w14:paraId="218FC926" w14:textId="77777777" w:rsidR="00B865DA" w:rsidRPr="00FC620F" w:rsidRDefault="00B865DA" w:rsidP="00B865DA">
      <w:pPr>
        <w:spacing w:after="0" w:line="240" w:lineRule="auto"/>
        <w:ind w:left="360" w:hanging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</w:p>
    <w:p w14:paraId="24246CFB" w14:textId="77777777" w:rsidR="00357A19" w:rsidRPr="00FC620F" w:rsidRDefault="00B865DA" w:rsidP="00357A19">
      <w:pPr>
        <w:spacing w:after="24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EXPOSICIÓN DE MOTIVOS</w:t>
      </w:r>
    </w:p>
    <w:p w14:paraId="2475992D" w14:textId="15676356" w:rsidR="005719BA" w:rsidRPr="00883432" w:rsidRDefault="00A12FF7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Según</w:t>
      </w:r>
      <w:r w:rsidR="005719BA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la literatura, la pobreza es uno de los principales problemas que enfrenta el mundo. La vulnerabilidad de las comunidades y poblaciones necesitadas ha aumentado en parte, a consecuencia de las crisis económicas que ha </w:t>
      </w:r>
      <w:r w:rsidR="00402AF2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experimentado</w:t>
      </w:r>
      <w:r w:rsidR="005719BA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el Estado. </w:t>
      </w:r>
    </w:p>
    <w:p w14:paraId="4E820B78" w14:textId="6DE713C8" w:rsidR="005719BA" w:rsidRPr="00883432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En Puerto Rico, según los datos del Negociado del Censo de los Estados Unidos, para el 2019, el 50% de la población vivía bajo el nivel de pobreza.  Para el 2017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,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el nivel de pobreza en Puerto Rico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afectó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al 58% de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nuestra niñez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. En 2019 el Censo Federal estableció que 36 de los 78 municipios de Puerto Rico contaban con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un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50% de pobreza. Sin duda,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las estadísticas muestran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una crisis económica que se ha agudizado en los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lastRenderedPageBreak/>
        <w:t xml:space="preserve">últimos años. 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Este desequilibrio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se ha manifestado en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un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aumento en el número de personas bajo el nivel de pobreza, en un deterioro nutricional en las comunidades desventajadas y en el debilitamiento de las relaciones comunitarias.</w:t>
      </w:r>
    </w:p>
    <w:p w14:paraId="6DFED64E" w14:textId="073B29C0" w:rsidR="005719BA" w:rsidRPr="00883432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Lamentablemente, las comunidades desventajadas carecen de lo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más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básico para sobrevivir con un mínimo que garantice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, al menos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un nivel elemental de vida adecuada, ya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que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no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poseen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los recursos para satisfacer las necesidades esenciales ni la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s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oportunidad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es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de cómo producirlos.</w:t>
      </w:r>
    </w:p>
    <w:p w14:paraId="647054C3" w14:textId="77777777" w:rsidR="005719BA" w:rsidRPr="00883432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Conforme a lo anterior, urge atender adecuadamente todas estas problemáticas con nuevas gestiones, actividades, enfoques y estructuras. Por ello, el Estado ha tratado de integrar y coordinar las ayudas gubernamentales, cuestión de evitar las acciones dispersas y desarticuladas. Se entiende que la orientación hacia la ayuda directa y la acción remedial tiene que complementarse en forma efectiva con el énfasis en la rehabilitación; y la acción rehabilitadora debe trascender al individuo y llegar hasta la familia y la comunidad. </w:t>
      </w:r>
    </w:p>
    <w:p w14:paraId="4470A25E" w14:textId="27250DBC" w:rsidR="005719BA" w:rsidRPr="00883432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>L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a acción gubernamental necesita aunarse </w:t>
      </w:r>
      <w:r w:rsidR="00A12FF7"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a </w:t>
      </w: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la acción ciudadana. Los programas actuales tienen que continuar, pero reorientados, coordinados entre sí y fortalecidos por nuevas actividades. Lo anterior es la razón de ser de distintas agencias gubernamentales, como lo son la Oficina para el Desarrollo Socioeconómico y Comunitario de Puerto Rico y el Departamento de la Familia.</w:t>
      </w:r>
    </w:p>
    <w:p w14:paraId="3011CEB6" w14:textId="77777777" w:rsidR="005719BA" w:rsidRPr="00883432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En el caso específico de esta última, le corresponde ser la agencia responsable de llevar a cabo los programas gubernamentales hacia la solución o mitigación de los problemas sociales de Puerto Rico. Hacia este fin, le toca estudiar los problemas sociales y diseñar un plan de acción dirigido a la solución o mitigación de </w:t>
      </w:r>
      <w:proofErr w:type="gramStart"/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los mismos</w:t>
      </w:r>
      <w:proofErr w:type="gramEnd"/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. De igual forma, tiene la responsabilidad de llevar a cabo programas de servicios sociales o de naturaleza relacionada dando énfasis al aspecto de rehabilitación mediante el esfuerzo de los propios individuos y con visión de la interrelación entre individuos, familias y comunidad.    </w:t>
      </w:r>
    </w:p>
    <w:p w14:paraId="3633D86F" w14:textId="77777777" w:rsidR="005719BA" w:rsidRPr="00883432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lastRenderedPageBreak/>
        <w:t>Igualmente, y según consta en su Ley Orgánica, el Departamento de la Familia tiene la encomienda de realizar programas de ayuda económica directa a personas necesitadas, servicios para el bienestar de los niños y jóvenes y personas con discapacidad, programas de rehabilitación y de adiestramiento, proyectos de mejoramiento en las comunidades, programas para proveer empleo a personas desempleadas, programas de orientación a individuos y familias y cualquier otra actividad que propenda al mejoramiento social tanto de individuos, de familias, como de comunidades.</w:t>
      </w:r>
    </w:p>
    <w:p w14:paraId="7E02FCA0" w14:textId="77777777" w:rsidR="005719BA" w:rsidRPr="00883432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Tomando en cuenta la gran cantidad de servicios y programas existentes, entendemos apropiado crear un instrumento aglutinador donde queden acopiados todos y puedan ser fácilmente accedidos por las personas necesitadas. Por ello, esta Ley persigue disponer para la creación y actualización de un catálogo o manual sobre todos los programas, beneficios, servicios, actividades e instalaciones disponibles para la población desventajada, tanto en las agencias gubernamentales como en entidades privadas sin fines de lucro. Asimismo, el catálogo o manual será publicado en el portal de Internet del Departamento de la Familia, y se les remitirá a todos los municipios de Puerto Rico, cuestión de promover una mayor divulgación del referido documento. En consideración a lo anterior, los municipios designarán un lugar visible y accesible al público, en el cual se colocará, permanentemente, el aludido catalogo o manual.</w:t>
      </w:r>
    </w:p>
    <w:p w14:paraId="53A29251" w14:textId="77777777" w:rsidR="005719BA" w:rsidRPr="002C7A90" w:rsidRDefault="005719BA" w:rsidP="005719BA">
      <w:pPr>
        <w:spacing w:before="120" w:after="120" w:line="360" w:lineRule="auto"/>
        <w:ind w:firstLine="720"/>
        <w:jc w:val="both"/>
        <w:rPr>
          <w:rFonts w:ascii="Book Antiqua" w:eastAsia="Times New Roman" w:hAnsi="Book Antiqua"/>
          <w:sz w:val="24"/>
          <w:szCs w:val="20"/>
          <w:lang w:val="es-PR" w:eastAsia="es-PR"/>
        </w:rPr>
      </w:pPr>
      <w:r w:rsidRPr="00883432">
        <w:rPr>
          <w:rFonts w:ascii="Book Antiqua" w:eastAsia="Times New Roman" w:hAnsi="Book Antiqua"/>
          <w:sz w:val="24"/>
          <w:szCs w:val="20"/>
          <w:lang w:val="es-PR" w:eastAsia="es-PR"/>
        </w:rPr>
        <w:t>Con la guía aquí creada, el Estado cumple con su misión de facilitador del pueblo al ahorrarle tiempo y ofrecerles</w:t>
      </w:r>
      <w:r w:rsidRPr="005719BA">
        <w:rPr>
          <w:rFonts w:ascii="Book Antiqua" w:eastAsia="Times New Roman" w:hAnsi="Book Antiqua"/>
          <w:sz w:val="24"/>
          <w:szCs w:val="20"/>
          <w:lang w:val="es-PR" w:eastAsia="es-PR"/>
        </w:rPr>
        <w:t xml:space="preserve"> información primordial de los servicios brindados a toda la ciudadanía.</w:t>
      </w:r>
    </w:p>
    <w:p w14:paraId="1ED40193" w14:textId="77777777" w:rsidR="00B865DA" w:rsidRPr="00FC620F" w:rsidRDefault="00AF373F" w:rsidP="00B865DA">
      <w:pPr>
        <w:spacing w:before="240" w:after="0" w:line="480" w:lineRule="auto"/>
        <w:rPr>
          <w:rFonts w:ascii="Book Antiqua" w:eastAsia="Times New Roman" w:hAnsi="Book Antiqua"/>
          <w:sz w:val="24"/>
          <w:szCs w:val="24"/>
          <w:lang w:val="es-PR"/>
        </w:rPr>
      </w:pP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DECR</w:t>
      </w:r>
      <w:r w:rsidR="00B865DA" w:rsidRPr="00FC620F">
        <w:rPr>
          <w:rFonts w:ascii="Book Antiqua" w:eastAsia="Times New Roman" w:hAnsi="Book Antiqua"/>
          <w:b/>
          <w:sz w:val="24"/>
          <w:szCs w:val="24"/>
          <w:lang w:val="es-PR"/>
        </w:rPr>
        <w:t>É</w:t>
      </w:r>
      <w:r w:rsidRPr="00FC620F">
        <w:rPr>
          <w:rFonts w:ascii="Book Antiqua" w:eastAsia="Times New Roman" w:hAnsi="Book Antiqua"/>
          <w:b/>
          <w:sz w:val="24"/>
          <w:szCs w:val="24"/>
          <w:lang w:val="es-PR"/>
        </w:rPr>
        <w:t>TA</w:t>
      </w:r>
      <w:r w:rsidR="00B865DA" w:rsidRPr="00FC620F">
        <w:rPr>
          <w:rFonts w:ascii="Book Antiqua" w:eastAsia="Times New Roman" w:hAnsi="Book Antiqua"/>
          <w:b/>
          <w:sz w:val="24"/>
          <w:szCs w:val="24"/>
          <w:lang w:val="es-PR"/>
        </w:rPr>
        <w:t>SE POR LA ASAMBLEA LEGISLATIVA DE PUERTO RICO:</w:t>
      </w:r>
    </w:p>
    <w:p w14:paraId="464D1734" w14:textId="77777777" w:rsidR="00B865DA" w:rsidRPr="00FC620F" w:rsidRDefault="00B865DA" w:rsidP="00B865DA">
      <w:pPr>
        <w:spacing w:after="0" w:line="480" w:lineRule="auto"/>
        <w:jc w:val="both"/>
        <w:rPr>
          <w:rFonts w:ascii="Book Antiqua" w:eastAsia="Times New Roman" w:hAnsi="Book Antiqua"/>
          <w:sz w:val="24"/>
          <w:szCs w:val="24"/>
          <w:lang w:val="es-PR"/>
        </w:rPr>
        <w:sectPr w:rsidR="00B865DA" w:rsidRPr="00FC620F" w:rsidSect="00992D0B">
          <w:headerReference w:type="default" r:id="rId12"/>
          <w:headerReference w:type="first" r:id="rId13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6800594" w14:textId="77777777" w:rsidR="005719BA" w:rsidRPr="005719BA" w:rsidRDefault="004B05EB" w:rsidP="005719BA">
      <w:pPr>
        <w:spacing w:after="0" w:line="48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bookmarkStart w:id="2" w:name="{5C394}"/>
      <w:bookmarkStart w:id="3" w:name="_Hlk16244728"/>
      <w:bookmarkEnd w:id="2"/>
      <w:r w:rsidRPr="004B05EB">
        <w:rPr>
          <w:rFonts w:ascii="Book Antiqua" w:eastAsia="Times New Roman" w:hAnsi="Book Antiqua"/>
          <w:sz w:val="24"/>
          <w:szCs w:val="20"/>
          <w:lang w:val="es-ES_tradnl"/>
        </w:rPr>
        <w:t>Sección 1.-</w:t>
      </w:r>
      <w:bookmarkEnd w:id="3"/>
      <w:r w:rsidRPr="004B05EB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5719BA"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Se enmienda el Artículo 3 de la Ley Núm. 171 de 30 de junio de 1968, según enmendada, para que lea como sigue: </w:t>
      </w:r>
    </w:p>
    <w:p w14:paraId="4862B085" w14:textId="77777777" w:rsidR="005719BA" w:rsidRPr="005719BA" w:rsidRDefault="005719BA" w:rsidP="005719BA">
      <w:pPr>
        <w:spacing w:after="0" w:line="48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5719BA">
        <w:rPr>
          <w:rFonts w:ascii="Book Antiqua" w:eastAsia="Times New Roman" w:hAnsi="Book Antiqua"/>
          <w:sz w:val="24"/>
          <w:szCs w:val="24"/>
          <w:lang w:val="es-PR"/>
        </w:rPr>
        <w:t xml:space="preserve">“Artículo 3.- Funciones. </w:t>
      </w:r>
    </w:p>
    <w:p w14:paraId="0D1AA92C" w14:textId="13F16931" w:rsidR="005719BA" w:rsidRPr="00883432" w:rsidRDefault="005719BA" w:rsidP="005719BA">
      <w:pPr>
        <w:spacing w:after="0" w:line="48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883432">
        <w:rPr>
          <w:rFonts w:ascii="Book Antiqua" w:eastAsia="Times New Roman" w:hAnsi="Book Antiqua"/>
          <w:sz w:val="24"/>
          <w:szCs w:val="24"/>
          <w:lang w:val="es-PR"/>
        </w:rPr>
        <w:lastRenderedPageBreak/>
        <w:t xml:space="preserve">El Departamento será la agencia responsable de llevar a cabo los programas gubernamentales dirigidos hacia la solución o mitigación de los problemas sociales de Puerto Rico. Hacia este fin, estudiará los problemas sociales y diseñará un plan de acción dirigido a la solución o mitigación de dichos problemas. Llevará a cabo programas de servicios sociales o de naturaleza relacionada dando énfasis al aspecto de rehabilitación mediante el esfuerzo de los propios individuos y con visión de la interrelación entre individuos, familias y comunidad.  </w:t>
      </w:r>
    </w:p>
    <w:p w14:paraId="52D8C211" w14:textId="532336D1" w:rsidR="005719BA" w:rsidRPr="00883432" w:rsidRDefault="005719BA" w:rsidP="006503B7">
      <w:pPr>
        <w:spacing w:after="0" w:line="456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883432">
        <w:rPr>
          <w:rFonts w:ascii="Book Antiqua" w:eastAsia="Times New Roman" w:hAnsi="Book Antiqua"/>
          <w:sz w:val="24"/>
          <w:szCs w:val="24"/>
          <w:lang w:val="es-PR"/>
        </w:rPr>
        <w:t xml:space="preserve">Por acción propia o en coordinación con otros organismos gubernamentales o particulares, llevará a cabo programas de ayuda económica directa a personas necesitadas, servicios para el bienestar de los niños y jóvenes y personas con discapacidad, programas de rehabilitación y de adiestramiento, proyectos de mejoramiento en las comunidades, programas para proveer empleo a personas desempleadas, programas de orientación a individuos y familias y cualquier otra actividad que propenda al mejoramiento social tanto de individuos, de familias, como de comunidades. A tales efectos, el Secretario del Departamento preparará, revisará y mantendrá actualizado un catálogo digital sobre todos los programas, beneficios, servicios, actividades e instalaciones disponibles para las personas pertenecientes a las poblaciones en desventaja, tanto en las agencias gubernamentales como en entidades privadas sin fines de lucro y municipios, mediante forma electrónica e impresa. Tal catálogo o manual deberá incluir y comprender una síntesis, con su cita correspondiente, de las leyes estatales y federales, reglamentos, órdenes, normas, procedimientos, recursos, medios, mecanismos y requisitos necesarios para cualificar </w:t>
      </w:r>
      <w:r w:rsidRPr="00883432">
        <w:rPr>
          <w:rFonts w:ascii="Book Antiqua" w:eastAsia="Times New Roman" w:hAnsi="Book Antiqua"/>
          <w:sz w:val="24"/>
          <w:szCs w:val="24"/>
          <w:lang w:val="es-PR"/>
        </w:rPr>
        <w:lastRenderedPageBreak/>
        <w:t xml:space="preserve">y obtener cualquier beneficio, servicio, derecho o privilegio. Asimismo, el catálogo digital será publicado en el portal de Internet del Departamento, cuestión de promover una mayor divulgación del referido documento. El Departamento de la Familia trabajará en colaboración con </w:t>
      </w:r>
      <w:r w:rsidRPr="00883432">
        <w:rPr>
          <w:rFonts w:ascii="Book Antiqua" w:eastAsia="Times New Roman" w:hAnsi="Book Antiqua"/>
          <w:sz w:val="24"/>
          <w:szCs w:val="24"/>
          <w:lang w:val="es-ES_tradnl"/>
        </w:rPr>
        <w:t xml:space="preserve">la </w:t>
      </w:r>
      <w:r w:rsidRPr="00883432">
        <w:rPr>
          <w:rFonts w:ascii="Book Antiqua" w:eastAsia="Times New Roman" w:hAnsi="Book Antiqua"/>
          <w:sz w:val="24"/>
          <w:szCs w:val="24"/>
          <w:lang w:val="es-PR"/>
        </w:rPr>
        <w:t>Puerto Rico Innovation and Technology Service</w:t>
      </w:r>
      <w:r w:rsidRPr="00883432">
        <w:rPr>
          <w:rFonts w:ascii="Book Antiqua" w:eastAsia="Times New Roman" w:hAnsi="Book Antiqua"/>
          <w:sz w:val="24"/>
          <w:szCs w:val="24"/>
          <w:lang w:val="es-ES_tradnl"/>
        </w:rPr>
        <w:t xml:space="preserve"> para la publicación electrónica del catálogo o manual. </w:t>
      </w:r>
      <w:r w:rsidRPr="00883432">
        <w:rPr>
          <w:rFonts w:ascii="Book Antiqua" w:eastAsia="Times New Roman" w:hAnsi="Book Antiqua"/>
          <w:sz w:val="24"/>
          <w:szCs w:val="24"/>
          <w:lang w:val="es-PR"/>
        </w:rPr>
        <w:t>La inclusión de organizaciones sin fines de lucro en el catálogo digital no podrá interpretarse como un endoso de parte del Departamento de la Familia o como un conflicto de interés al momento de ejercer funciones de fiscalización.”</w:t>
      </w:r>
    </w:p>
    <w:p w14:paraId="6099F225" w14:textId="77777777" w:rsidR="005719BA" w:rsidRPr="00883432" w:rsidRDefault="005719BA" w:rsidP="006503B7">
      <w:pPr>
        <w:spacing w:after="0" w:line="456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883432">
        <w:rPr>
          <w:rFonts w:ascii="Book Antiqua" w:eastAsia="Times New Roman" w:hAnsi="Book Antiqua"/>
          <w:sz w:val="24"/>
          <w:szCs w:val="24"/>
          <w:lang w:val="es-PR"/>
        </w:rPr>
        <w:t xml:space="preserve">Sección 2.- Por la presente se deroga cualquier ley, o parte de ley, que sea incompatible con ésta. </w:t>
      </w:r>
    </w:p>
    <w:p w14:paraId="0CEB6BD5" w14:textId="77777777" w:rsidR="005719BA" w:rsidRPr="00883432" w:rsidRDefault="005719BA" w:rsidP="006503B7">
      <w:pPr>
        <w:spacing w:after="0" w:line="456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883432">
        <w:rPr>
          <w:rFonts w:ascii="Book Antiqua" w:eastAsia="Times New Roman" w:hAnsi="Book Antiqua"/>
          <w:sz w:val="24"/>
          <w:szCs w:val="24"/>
          <w:lang w:val="es-PR"/>
        </w:rPr>
        <w:t>Sección 3.- Las disposiciones de esta Ley prevalecerán sobre cualquier otra disposición de ley que no estuviere en armonía con lo aquí establecido.</w:t>
      </w:r>
    </w:p>
    <w:p w14:paraId="3E947D8E" w14:textId="636E4B0E" w:rsidR="005719BA" w:rsidRPr="00883432" w:rsidRDefault="005719BA" w:rsidP="006503B7">
      <w:pPr>
        <w:spacing w:after="0" w:line="456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883432">
        <w:rPr>
          <w:rFonts w:ascii="Book Antiqua" w:eastAsia="Times New Roman" w:hAnsi="Book Antiqua"/>
          <w:sz w:val="24"/>
          <w:szCs w:val="24"/>
          <w:lang w:val="es-PR"/>
        </w:rPr>
        <w:t xml:space="preserve">Sección 4.- Si cualquier palabra, frase, oración, párrafo, artículo, o parte de esta ley fuere declarado inconstitucional por un tribunal competente, la sentencia a tal efecto dictada no afectará, perjudicará, ni invalidará el resto de esta </w:t>
      </w:r>
      <w:r w:rsidR="00402AF2">
        <w:rPr>
          <w:rFonts w:ascii="Book Antiqua" w:eastAsia="Times New Roman" w:hAnsi="Book Antiqua"/>
          <w:sz w:val="24"/>
          <w:szCs w:val="24"/>
          <w:lang w:val="es-PR"/>
        </w:rPr>
        <w:t>L</w:t>
      </w:r>
      <w:r w:rsidRPr="00883432">
        <w:rPr>
          <w:rFonts w:ascii="Book Antiqua" w:eastAsia="Times New Roman" w:hAnsi="Book Antiqua"/>
          <w:sz w:val="24"/>
          <w:szCs w:val="24"/>
          <w:lang w:val="es-PR"/>
        </w:rPr>
        <w:t xml:space="preserve">ey. El efecto de dicha sentencia quedará limitado a la palabra, frase, oración, párrafo, artículo, o parte de </w:t>
      </w:r>
      <w:proofErr w:type="gramStart"/>
      <w:r w:rsidRPr="00883432">
        <w:rPr>
          <w:rFonts w:ascii="Book Antiqua" w:eastAsia="Times New Roman" w:hAnsi="Book Antiqua"/>
          <w:sz w:val="24"/>
          <w:szCs w:val="24"/>
          <w:lang w:val="es-PR"/>
        </w:rPr>
        <w:t>la misma</w:t>
      </w:r>
      <w:proofErr w:type="gramEnd"/>
      <w:r w:rsidRPr="00883432">
        <w:rPr>
          <w:rFonts w:ascii="Book Antiqua" w:eastAsia="Times New Roman" w:hAnsi="Book Antiqua"/>
          <w:sz w:val="24"/>
          <w:szCs w:val="24"/>
          <w:lang w:val="es-PR"/>
        </w:rPr>
        <w:t xml:space="preserve"> que así hubiere sido declarado inconstitucional. </w:t>
      </w:r>
    </w:p>
    <w:p w14:paraId="61A18CBF" w14:textId="77777777" w:rsidR="005719BA" w:rsidRDefault="005719BA" w:rsidP="004B05EB">
      <w:pPr>
        <w:spacing w:after="0" w:line="480" w:lineRule="auto"/>
        <w:ind w:firstLine="360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883432">
        <w:rPr>
          <w:rFonts w:ascii="Book Antiqua" w:eastAsia="Times New Roman" w:hAnsi="Book Antiqua"/>
          <w:sz w:val="24"/>
          <w:szCs w:val="24"/>
          <w:lang w:val="es-PR"/>
        </w:rPr>
        <w:t>Sección 5.- Esta Ley entrará en vigor inmediatamente después de su aprobación.</w:t>
      </w:r>
    </w:p>
    <w:p w14:paraId="49977C4D" w14:textId="2D6FA7C2" w:rsidR="006503B7" w:rsidRPr="00AB4698" w:rsidRDefault="006503B7" w:rsidP="006503B7">
      <w:pPr>
        <w:suppressLineNumbers/>
        <w:spacing w:after="0" w:line="480" w:lineRule="auto"/>
        <w:ind w:left="3870" w:firstLine="450"/>
        <w:jc w:val="both"/>
        <w:rPr>
          <w:rFonts w:ascii="Book Antiqua" w:hAnsi="Book Antiqua"/>
          <w:sz w:val="23"/>
          <w:szCs w:val="23"/>
          <w:lang w:val="es-PR"/>
        </w:rPr>
      </w:pPr>
    </w:p>
    <w:sectPr w:rsidR="006503B7" w:rsidRPr="00AB4698" w:rsidSect="00992D0B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6EA4F" w14:textId="77777777" w:rsidR="00F8672C" w:rsidRDefault="00F8672C">
      <w:pPr>
        <w:spacing w:after="0" w:line="240" w:lineRule="auto"/>
      </w:pPr>
      <w:r>
        <w:separator/>
      </w:r>
    </w:p>
  </w:endnote>
  <w:endnote w:type="continuationSeparator" w:id="0">
    <w:p w14:paraId="199A0BDC" w14:textId="77777777" w:rsidR="00F8672C" w:rsidRDefault="00F86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7227" w14:textId="77777777" w:rsidR="00F8672C" w:rsidRDefault="00F8672C">
      <w:pPr>
        <w:spacing w:after="0" w:line="240" w:lineRule="auto"/>
      </w:pPr>
      <w:r>
        <w:separator/>
      </w:r>
    </w:p>
  </w:footnote>
  <w:footnote w:type="continuationSeparator" w:id="0">
    <w:p w14:paraId="4492D449" w14:textId="77777777" w:rsidR="00F8672C" w:rsidRDefault="00F86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C66CA" w14:textId="77777777" w:rsidR="003D305D" w:rsidRDefault="00BA2A15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9262E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AE522" w14:textId="77777777" w:rsidR="00315B79" w:rsidRDefault="00315B79" w:rsidP="00315B79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  <w:jc w:val="center"/>
      <w:rPr>
        <w:rFonts w:ascii="Book Antiqua" w:hAnsi="Book Antiqua"/>
        <w:b/>
        <w:sz w:val="24"/>
        <w:szCs w:val="24"/>
        <w:lang w:val="es-ES"/>
      </w:rPr>
    </w:pPr>
    <w:bookmarkStart w:id="1" w:name="_Hlk36034857"/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3174F99B" w14:textId="77777777" w:rsidR="00315B79" w:rsidRDefault="00315B79" w:rsidP="00315B79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spacing w:after="0" w:line="240" w:lineRule="auto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(23 DE JUNIO DE 2025)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D0805"/>
    <w:multiLevelType w:val="hybridMultilevel"/>
    <w:tmpl w:val="6F1E6096"/>
    <w:lvl w:ilvl="0" w:tplc="7CFAF0B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6C5F3E"/>
    <w:multiLevelType w:val="multilevel"/>
    <w:tmpl w:val="258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DA3F67"/>
    <w:multiLevelType w:val="hybridMultilevel"/>
    <w:tmpl w:val="49F46D50"/>
    <w:lvl w:ilvl="0" w:tplc="1BFA87C6">
      <w:start w:val="1"/>
      <w:numFmt w:val="lowerLetter"/>
      <w:lvlText w:val="(%1)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150513500">
    <w:abstractNumId w:val="0"/>
  </w:num>
  <w:num w:numId="2" w16cid:durableId="385498055">
    <w:abstractNumId w:val="2"/>
  </w:num>
  <w:num w:numId="3" w16cid:durableId="274870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5DA"/>
    <w:rsid w:val="00000949"/>
    <w:rsid w:val="00052977"/>
    <w:rsid w:val="00056129"/>
    <w:rsid w:val="00061D0A"/>
    <w:rsid w:val="00065BFA"/>
    <w:rsid w:val="00066500"/>
    <w:rsid w:val="00077563"/>
    <w:rsid w:val="00077963"/>
    <w:rsid w:val="00087773"/>
    <w:rsid w:val="000967A9"/>
    <w:rsid w:val="000A583A"/>
    <w:rsid w:val="000B323A"/>
    <w:rsid w:val="000B3E01"/>
    <w:rsid w:val="000D2FD4"/>
    <w:rsid w:val="000E5F9C"/>
    <w:rsid w:val="000E751B"/>
    <w:rsid w:val="000F2CCF"/>
    <w:rsid w:val="001041E0"/>
    <w:rsid w:val="0010506D"/>
    <w:rsid w:val="00105F64"/>
    <w:rsid w:val="00107E8E"/>
    <w:rsid w:val="0013305F"/>
    <w:rsid w:val="00134C38"/>
    <w:rsid w:val="0014165B"/>
    <w:rsid w:val="00143267"/>
    <w:rsid w:val="00143555"/>
    <w:rsid w:val="0014524B"/>
    <w:rsid w:val="00153279"/>
    <w:rsid w:val="0016283B"/>
    <w:rsid w:val="00165A3F"/>
    <w:rsid w:val="001664AA"/>
    <w:rsid w:val="00171278"/>
    <w:rsid w:val="00175948"/>
    <w:rsid w:val="0018588F"/>
    <w:rsid w:val="00195560"/>
    <w:rsid w:val="001D02A2"/>
    <w:rsid w:val="001D09DC"/>
    <w:rsid w:val="001D6EB6"/>
    <w:rsid w:val="00202247"/>
    <w:rsid w:val="0020439E"/>
    <w:rsid w:val="00215293"/>
    <w:rsid w:val="00220507"/>
    <w:rsid w:val="00230F7A"/>
    <w:rsid w:val="0023395F"/>
    <w:rsid w:val="00245798"/>
    <w:rsid w:val="00245DA3"/>
    <w:rsid w:val="00277176"/>
    <w:rsid w:val="002834EE"/>
    <w:rsid w:val="00293074"/>
    <w:rsid w:val="00293FE7"/>
    <w:rsid w:val="00295B76"/>
    <w:rsid w:val="002962CF"/>
    <w:rsid w:val="002A1F08"/>
    <w:rsid w:val="002C7A90"/>
    <w:rsid w:val="002D357D"/>
    <w:rsid w:val="002E51C9"/>
    <w:rsid w:val="002F3E30"/>
    <w:rsid w:val="003003C0"/>
    <w:rsid w:val="00305A34"/>
    <w:rsid w:val="00315B79"/>
    <w:rsid w:val="0032550E"/>
    <w:rsid w:val="00342A01"/>
    <w:rsid w:val="00343204"/>
    <w:rsid w:val="00345865"/>
    <w:rsid w:val="00357282"/>
    <w:rsid w:val="00357A19"/>
    <w:rsid w:val="003608B5"/>
    <w:rsid w:val="003625C8"/>
    <w:rsid w:val="00375864"/>
    <w:rsid w:val="003A2144"/>
    <w:rsid w:val="003A38BF"/>
    <w:rsid w:val="003A3B19"/>
    <w:rsid w:val="003D305D"/>
    <w:rsid w:val="003D32AF"/>
    <w:rsid w:val="003D5330"/>
    <w:rsid w:val="003E03D9"/>
    <w:rsid w:val="003E0A05"/>
    <w:rsid w:val="003F2983"/>
    <w:rsid w:val="003F60D5"/>
    <w:rsid w:val="00400D89"/>
    <w:rsid w:val="00402AF2"/>
    <w:rsid w:val="00403B86"/>
    <w:rsid w:val="0040637F"/>
    <w:rsid w:val="0040655C"/>
    <w:rsid w:val="00406AC9"/>
    <w:rsid w:val="00422701"/>
    <w:rsid w:val="004312C2"/>
    <w:rsid w:val="0047070D"/>
    <w:rsid w:val="00471F47"/>
    <w:rsid w:val="00472D47"/>
    <w:rsid w:val="0047471C"/>
    <w:rsid w:val="00477201"/>
    <w:rsid w:val="0049075C"/>
    <w:rsid w:val="0049262E"/>
    <w:rsid w:val="004939F0"/>
    <w:rsid w:val="00493F0D"/>
    <w:rsid w:val="004A0D2A"/>
    <w:rsid w:val="004A2381"/>
    <w:rsid w:val="004B05EB"/>
    <w:rsid w:val="004C0264"/>
    <w:rsid w:val="004C0C7E"/>
    <w:rsid w:val="004C7470"/>
    <w:rsid w:val="005010EB"/>
    <w:rsid w:val="00505F7F"/>
    <w:rsid w:val="00516690"/>
    <w:rsid w:val="00541ACE"/>
    <w:rsid w:val="0054754A"/>
    <w:rsid w:val="00553959"/>
    <w:rsid w:val="00556CAC"/>
    <w:rsid w:val="00565FC0"/>
    <w:rsid w:val="005719BA"/>
    <w:rsid w:val="005D05C3"/>
    <w:rsid w:val="005D663F"/>
    <w:rsid w:val="005E3855"/>
    <w:rsid w:val="005E42A5"/>
    <w:rsid w:val="005F140A"/>
    <w:rsid w:val="005F6A0C"/>
    <w:rsid w:val="00615C11"/>
    <w:rsid w:val="00622FB8"/>
    <w:rsid w:val="00647E22"/>
    <w:rsid w:val="006503B7"/>
    <w:rsid w:val="00657CD7"/>
    <w:rsid w:val="006641FA"/>
    <w:rsid w:val="006730E7"/>
    <w:rsid w:val="00676FFD"/>
    <w:rsid w:val="006A0E68"/>
    <w:rsid w:val="006B51ED"/>
    <w:rsid w:val="006C57C3"/>
    <w:rsid w:val="006E21B0"/>
    <w:rsid w:val="006E70AE"/>
    <w:rsid w:val="006F640C"/>
    <w:rsid w:val="0070221B"/>
    <w:rsid w:val="007104A6"/>
    <w:rsid w:val="00712740"/>
    <w:rsid w:val="007307B3"/>
    <w:rsid w:val="00732A4B"/>
    <w:rsid w:val="00740E9E"/>
    <w:rsid w:val="00744193"/>
    <w:rsid w:val="00762C1C"/>
    <w:rsid w:val="00792231"/>
    <w:rsid w:val="007B2C95"/>
    <w:rsid w:val="007F5F45"/>
    <w:rsid w:val="00810140"/>
    <w:rsid w:val="00812DF8"/>
    <w:rsid w:val="008379A9"/>
    <w:rsid w:val="00843510"/>
    <w:rsid w:val="00861104"/>
    <w:rsid w:val="00872807"/>
    <w:rsid w:val="008811D4"/>
    <w:rsid w:val="00883432"/>
    <w:rsid w:val="00893E45"/>
    <w:rsid w:val="00897B97"/>
    <w:rsid w:val="008A32DF"/>
    <w:rsid w:val="008B7094"/>
    <w:rsid w:val="008C01C1"/>
    <w:rsid w:val="008C23D9"/>
    <w:rsid w:val="008C3E70"/>
    <w:rsid w:val="008E1994"/>
    <w:rsid w:val="008E5B87"/>
    <w:rsid w:val="008F061B"/>
    <w:rsid w:val="008F1401"/>
    <w:rsid w:val="008F450E"/>
    <w:rsid w:val="009008C7"/>
    <w:rsid w:val="0090554D"/>
    <w:rsid w:val="00911DF6"/>
    <w:rsid w:val="009219CF"/>
    <w:rsid w:val="009252D7"/>
    <w:rsid w:val="00925B57"/>
    <w:rsid w:val="00933BDC"/>
    <w:rsid w:val="00953D7E"/>
    <w:rsid w:val="009545BE"/>
    <w:rsid w:val="00954A9D"/>
    <w:rsid w:val="00962CC4"/>
    <w:rsid w:val="009642BF"/>
    <w:rsid w:val="00981770"/>
    <w:rsid w:val="00992D0B"/>
    <w:rsid w:val="00994DAF"/>
    <w:rsid w:val="009A3A5A"/>
    <w:rsid w:val="009A62A7"/>
    <w:rsid w:val="009A783E"/>
    <w:rsid w:val="009B1BF3"/>
    <w:rsid w:val="009B7805"/>
    <w:rsid w:val="009C5AD6"/>
    <w:rsid w:val="009E1D4E"/>
    <w:rsid w:val="009E3F32"/>
    <w:rsid w:val="009E5E97"/>
    <w:rsid w:val="009F66B8"/>
    <w:rsid w:val="00A12FF7"/>
    <w:rsid w:val="00A15AD2"/>
    <w:rsid w:val="00A16B75"/>
    <w:rsid w:val="00A17841"/>
    <w:rsid w:val="00A17A6C"/>
    <w:rsid w:val="00A37457"/>
    <w:rsid w:val="00A42E40"/>
    <w:rsid w:val="00A4790A"/>
    <w:rsid w:val="00A50F5D"/>
    <w:rsid w:val="00A522EA"/>
    <w:rsid w:val="00A5528F"/>
    <w:rsid w:val="00A70EBE"/>
    <w:rsid w:val="00A81DAA"/>
    <w:rsid w:val="00A902F8"/>
    <w:rsid w:val="00A93462"/>
    <w:rsid w:val="00AA5EC0"/>
    <w:rsid w:val="00AB4698"/>
    <w:rsid w:val="00AC3FD7"/>
    <w:rsid w:val="00AE6F1D"/>
    <w:rsid w:val="00AF2339"/>
    <w:rsid w:val="00AF373F"/>
    <w:rsid w:val="00B11EB6"/>
    <w:rsid w:val="00B1575D"/>
    <w:rsid w:val="00B178EA"/>
    <w:rsid w:val="00B27408"/>
    <w:rsid w:val="00B3079C"/>
    <w:rsid w:val="00B414E7"/>
    <w:rsid w:val="00B51F91"/>
    <w:rsid w:val="00B52E55"/>
    <w:rsid w:val="00B538F9"/>
    <w:rsid w:val="00B6102A"/>
    <w:rsid w:val="00B610FE"/>
    <w:rsid w:val="00B65BA7"/>
    <w:rsid w:val="00B70100"/>
    <w:rsid w:val="00B71A50"/>
    <w:rsid w:val="00B7302E"/>
    <w:rsid w:val="00B74238"/>
    <w:rsid w:val="00B865DA"/>
    <w:rsid w:val="00B950C6"/>
    <w:rsid w:val="00BA2A15"/>
    <w:rsid w:val="00BB198E"/>
    <w:rsid w:val="00BC531B"/>
    <w:rsid w:val="00BD21F5"/>
    <w:rsid w:val="00BE7964"/>
    <w:rsid w:val="00C02ABF"/>
    <w:rsid w:val="00C15CD6"/>
    <w:rsid w:val="00C37A63"/>
    <w:rsid w:val="00C4357B"/>
    <w:rsid w:val="00C60AA5"/>
    <w:rsid w:val="00C773F6"/>
    <w:rsid w:val="00C8592C"/>
    <w:rsid w:val="00C95978"/>
    <w:rsid w:val="00CA0B1D"/>
    <w:rsid w:val="00CA56AA"/>
    <w:rsid w:val="00CB0C68"/>
    <w:rsid w:val="00CB7528"/>
    <w:rsid w:val="00CC3795"/>
    <w:rsid w:val="00CD1C31"/>
    <w:rsid w:val="00CD408B"/>
    <w:rsid w:val="00CD5925"/>
    <w:rsid w:val="00CD614D"/>
    <w:rsid w:val="00CE0F07"/>
    <w:rsid w:val="00CE2D95"/>
    <w:rsid w:val="00CE572D"/>
    <w:rsid w:val="00D00E0E"/>
    <w:rsid w:val="00D02AA2"/>
    <w:rsid w:val="00D24FC9"/>
    <w:rsid w:val="00D61FA2"/>
    <w:rsid w:val="00D67ED8"/>
    <w:rsid w:val="00D80669"/>
    <w:rsid w:val="00D80F72"/>
    <w:rsid w:val="00DC2733"/>
    <w:rsid w:val="00DC315B"/>
    <w:rsid w:val="00DE0A10"/>
    <w:rsid w:val="00DE46EF"/>
    <w:rsid w:val="00DE79C6"/>
    <w:rsid w:val="00DF05A6"/>
    <w:rsid w:val="00E05AA2"/>
    <w:rsid w:val="00E11D5A"/>
    <w:rsid w:val="00E40D22"/>
    <w:rsid w:val="00E41F30"/>
    <w:rsid w:val="00E531D0"/>
    <w:rsid w:val="00E61D2D"/>
    <w:rsid w:val="00E70C85"/>
    <w:rsid w:val="00E906EF"/>
    <w:rsid w:val="00EB4583"/>
    <w:rsid w:val="00EB500E"/>
    <w:rsid w:val="00EB5F54"/>
    <w:rsid w:val="00EC551B"/>
    <w:rsid w:val="00EC5ACE"/>
    <w:rsid w:val="00EC6EA0"/>
    <w:rsid w:val="00ED00BD"/>
    <w:rsid w:val="00EF73DD"/>
    <w:rsid w:val="00F01D91"/>
    <w:rsid w:val="00F01ED0"/>
    <w:rsid w:val="00F45E6A"/>
    <w:rsid w:val="00F47E75"/>
    <w:rsid w:val="00F504D6"/>
    <w:rsid w:val="00F52E02"/>
    <w:rsid w:val="00F57468"/>
    <w:rsid w:val="00F6165C"/>
    <w:rsid w:val="00F64EA4"/>
    <w:rsid w:val="00F80568"/>
    <w:rsid w:val="00F836E0"/>
    <w:rsid w:val="00F84EAC"/>
    <w:rsid w:val="00F85EDA"/>
    <w:rsid w:val="00F8672C"/>
    <w:rsid w:val="00F91554"/>
    <w:rsid w:val="00FA0F89"/>
    <w:rsid w:val="00FA2905"/>
    <w:rsid w:val="00FC3C34"/>
    <w:rsid w:val="00FC620F"/>
    <w:rsid w:val="00FE577F"/>
    <w:rsid w:val="00FF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C654537"/>
  <w15:chartTrackingRefBased/>
  <w15:docId w15:val="{B5D3D3A5-7CF1-E74B-B400-17C804D1A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5DA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65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65DA"/>
  </w:style>
  <w:style w:type="character" w:styleId="PageNumber">
    <w:name w:val="page number"/>
    <w:basedOn w:val="DefaultParagraphFont"/>
    <w:rsid w:val="00B865DA"/>
  </w:style>
  <w:style w:type="character" w:styleId="LineNumber">
    <w:name w:val="line number"/>
    <w:basedOn w:val="DefaultParagraphFont"/>
    <w:uiPriority w:val="99"/>
    <w:semiHidden/>
    <w:unhideWhenUsed/>
    <w:rsid w:val="00B865DA"/>
  </w:style>
  <w:style w:type="paragraph" w:styleId="ListParagraph">
    <w:name w:val="List Paragraph"/>
    <w:basedOn w:val="Normal"/>
    <w:uiPriority w:val="34"/>
    <w:qFormat/>
    <w:rsid w:val="00FC3C34"/>
    <w:pPr>
      <w:spacing w:line="278" w:lineRule="auto"/>
      <w:ind w:left="720"/>
      <w:contextualSpacing/>
    </w:pPr>
    <w:rPr>
      <w:rFonts w:ascii="Aptos" w:eastAsia="Aptos" w:hAnsi="Aptos"/>
      <w:kern w:val="2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E21B0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3E3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F3E30"/>
    <w:rPr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E42A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E42A5"/>
    <w:rPr>
      <w:lang w:val="en-US" w:eastAsia="en-US"/>
    </w:rPr>
  </w:style>
  <w:style w:type="character" w:styleId="FootnoteReference">
    <w:name w:val="footnote reference"/>
    <w:unhideWhenUsed/>
    <w:rsid w:val="005E42A5"/>
    <w:rPr>
      <w:vertAlign w:val="superscript"/>
    </w:rPr>
  </w:style>
  <w:style w:type="character" w:customStyle="1" w:styleId="FootnoteTextChar1">
    <w:name w:val="Footnote Text Char1"/>
    <w:uiPriority w:val="99"/>
    <w:semiHidden/>
    <w:locked/>
    <w:rsid w:val="000E5F9C"/>
    <w:rPr>
      <w:lang w:val="es-E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3D32AF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semiHidden/>
    <w:rsid w:val="003D32AF"/>
    <w:rPr>
      <w:rFonts w:ascii="Times New Roman" w:eastAsia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B923C4-611E-4917-A4E7-F6F7A2B23EE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FBB9A0F-C250-4E88-813B-D9AA6F7AADF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EEF027A-C782-4B38-A980-D276358F97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27881DE-06DB-4008-8E62-9076E963B75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F9F01C9-A541-40A3-943F-7D7C043AA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Heric S. Reyes Torres (Sen. Vargas)</dc:creator>
  <cp:keywords/>
  <dc:description/>
  <cp:lastModifiedBy>Eric J. González (Trámites y Récords)</cp:lastModifiedBy>
  <cp:revision>10</cp:revision>
  <cp:lastPrinted>2025-06-24T21:55:00Z</cp:lastPrinted>
  <dcterms:created xsi:type="dcterms:W3CDTF">2025-06-17T14:55:00Z</dcterms:created>
  <dcterms:modified xsi:type="dcterms:W3CDTF">2025-06-25T02:08:00Z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4SQX5P7U7WPY-958212181-812219</vt:lpwstr>
  </property>
  <property fmtid="{D5CDD505-2E9C-101B-9397-08002B2CF9AE}" pid="3" name="_dlc_DocIdItemGuid">
    <vt:lpwstr>75f954b0-5c03-4848-969a-f057d45b514d</vt:lpwstr>
  </property>
  <property fmtid="{D5CDD505-2E9C-101B-9397-08002B2CF9AE}" pid="4" name="_dlc_DocIdUrl">
    <vt:lpwstr>https://senpr.sharepoint.com/sites/obralegislativa/_layouts/15/DocIdRedir.aspx?ID=4SQX5P7U7WPY-958212181-812219, 4SQX5P7U7WPY-958212181-812219</vt:lpwstr>
  </property>
  <property fmtid="{D5CDD505-2E9C-101B-9397-08002B2CF9AE}" pid="5" name="_ip_UnifiedCompliancePolicyUIAction">
    <vt:lpwstr/>
  </property>
  <property fmtid="{D5CDD505-2E9C-101B-9397-08002B2CF9AE}" pid="6" name="TaxCatchAll">
    <vt:lpwstr/>
  </property>
  <property fmtid="{D5CDD505-2E9C-101B-9397-08002B2CF9AE}" pid="7" name="_ip_UnifiedCompliancePolicyProperties">
    <vt:lpwstr/>
  </property>
  <property fmtid="{D5CDD505-2E9C-101B-9397-08002B2CF9AE}" pid="8" name="lcf76f155ced4ddcb4097134ff3c332f">
    <vt:lpwstr/>
  </property>
</Properties>
</file>