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51FF7F9"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25D295D2" w:rsidR="003E7820" w:rsidRPr="003C2711" w:rsidRDefault="00972869"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EB7D3A" w:rsidRDefault="003E7820" w:rsidP="003E7820">
      <w:pPr>
        <w:spacing w:after="0" w:line="240" w:lineRule="auto"/>
        <w:rPr>
          <w:rFonts w:ascii="Book Antiqua" w:eastAsia="Times New Roman" w:hAnsi="Book Antiqua"/>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618963FD"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6051B3">
        <w:rPr>
          <w:rFonts w:ascii="Book Antiqua" w:eastAsia="Times New Roman" w:hAnsi="Book Antiqua"/>
          <w:b/>
          <w:sz w:val="52"/>
          <w:szCs w:val="20"/>
          <w:lang w:val="es-ES_tradnl"/>
        </w:rPr>
        <w:t>257</w:t>
      </w:r>
      <w:r w:rsidRPr="003C2711">
        <w:rPr>
          <w:rFonts w:ascii="Book Antiqua" w:eastAsia="Times New Roman" w:hAnsi="Book Antiqua"/>
          <w:b/>
          <w:sz w:val="52"/>
          <w:szCs w:val="20"/>
          <w:lang w:val="es-ES_tradnl"/>
        </w:rPr>
        <w:br/>
      </w:r>
    </w:p>
    <w:p w14:paraId="3D22D064" w14:textId="31079E71" w:rsidR="003E7820" w:rsidRDefault="006051B3"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10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473257">
        <w:rPr>
          <w:rFonts w:ascii="Book Antiqua" w:eastAsia="Times New Roman" w:hAnsi="Book Antiqua"/>
          <w:sz w:val="24"/>
          <w:szCs w:val="20"/>
          <w:lang w:val="es-ES_tradnl"/>
        </w:rPr>
        <w:t>ABRIL</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52F4503F" w:rsidR="003E7820" w:rsidRPr="0007011D"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w:t>
      </w:r>
      <w:r w:rsidR="002072B6">
        <w:rPr>
          <w:rFonts w:ascii="Book Antiqua" w:eastAsia="Times New Roman" w:hAnsi="Book Antiqua"/>
          <w:sz w:val="24"/>
          <w:szCs w:val="20"/>
          <w:lang w:val="es-ES_tradnl"/>
        </w:rPr>
        <w:t>el</w:t>
      </w:r>
      <w:r w:rsidR="00BD6622">
        <w:rPr>
          <w:rFonts w:ascii="Book Antiqua" w:eastAsia="Times New Roman" w:hAnsi="Book Antiqua"/>
          <w:sz w:val="24"/>
          <w:szCs w:val="20"/>
          <w:lang w:val="es-ES_tradnl"/>
        </w:rPr>
        <w:t xml:space="preserve"> </w:t>
      </w:r>
      <w:r w:rsidR="00BD6622" w:rsidRPr="003C2711">
        <w:rPr>
          <w:rFonts w:ascii="Book Antiqua" w:eastAsia="Times New Roman" w:hAnsi="Book Antiqua"/>
          <w:sz w:val="24"/>
          <w:szCs w:val="20"/>
          <w:lang w:val="es-ES_tradnl"/>
        </w:rPr>
        <w:t>representante</w:t>
      </w:r>
      <w:r w:rsidRPr="0007011D">
        <w:rPr>
          <w:rFonts w:ascii="Book Antiqua" w:eastAsia="Times New Roman" w:hAnsi="Book Antiqua"/>
          <w:sz w:val="24"/>
          <w:szCs w:val="20"/>
          <w:lang w:val="es-ES_tradnl"/>
        </w:rPr>
        <w:t xml:space="preserve"> </w:t>
      </w:r>
      <w:r w:rsidRPr="0007011D">
        <w:rPr>
          <w:rFonts w:ascii="Book Antiqua" w:eastAsia="Times New Roman" w:hAnsi="Book Antiqua"/>
          <w:i/>
          <w:sz w:val="24"/>
          <w:szCs w:val="20"/>
          <w:lang w:val="es-ES_tradnl"/>
        </w:rPr>
        <w:t>Pérez Ort</w:t>
      </w:r>
      <w:r w:rsidR="0007011D" w:rsidRPr="0007011D">
        <w:rPr>
          <w:rFonts w:ascii="Book Antiqua" w:eastAsia="Times New Roman" w:hAnsi="Book Antiqua" w:cs="Calibri"/>
          <w:i/>
          <w:sz w:val="24"/>
          <w:szCs w:val="20"/>
          <w:lang w:val="es-ES_tradnl"/>
        </w:rPr>
        <w:t>í</w:t>
      </w:r>
      <w:r w:rsidRPr="0007011D">
        <w:rPr>
          <w:rFonts w:ascii="Book Antiqua" w:eastAsia="Times New Roman" w:hAnsi="Book Antiqua"/>
          <w:i/>
          <w:sz w:val="24"/>
          <w:szCs w:val="20"/>
          <w:lang w:val="es-ES_tradnl"/>
        </w:rPr>
        <w:t>z</w:t>
      </w:r>
      <w:r w:rsidR="0007011D" w:rsidRPr="0007011D">
        <w:rPr>
          <w:rFonts w:ascii="Book Antiqua" w:eastAsia="Times New Roman" w:hAnsi="Book Antiqua"/>
          <w:i/>
          <w:sz w:val="24"/>
          <w:szCs w:val="20"/>
          <w:lang w:val="es-ES_tradnl"/>
        </w:rPr>
        <w:t xml:space="preserve">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164D0381"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6B58B3">
        <w:rPr>
          <w:rFonts w:ascii="Book Antiqua" w:eastAsia="Times New Roman" w:hAnsi="Book Antiqua"/>
          <w:sz w:val="24"/>
          <w:szCs w:val="20"/>
          <w:lang w:val="es-ES_tradnl"/>
        </w:rPr>
        <w:t>de 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7DD3FA23" w:rsidR="003E7820" w:rsidRPr="00545A5E" w:rsidRDefault="003E7820" w:rsidP="003E7820">
      <w:pPr>
        <w:pStyle w:val="Sangra2detindependiente"/>
        <w:spacing w:after="0" w:line="240" w:lineRule="auto"/>
        <w:ind w:left="630" w:hanging="630"/>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79357528"/>
      <w:r w:rsidRPr="00545A5E">
        <w:rPr>
          <w:rFonts w:ascii="Book Antiqua" w:hAnsi="Book Antiqua"/>
          <w:sz w:val="24"/>
          <w:szCs w:val="24"/>
          <w:lang w:val="es-PR"/>
        </w:rPr>
        <w:t xml:space="preserve">a </w:t>
      </w:r>
      <w:bookmarkStart w:id="2" w:name="_Hlk141173215"/>
      <w:r w:rsidRPr="00545A5E">
        <w:rPr>
          <w:rFonts w:ascii="Book Antiqua" w:hAnsi="Book Antiqua"/>
          <w:sz w:val="24"/>
          <w:szCs w:val="24"/>
          <w:lang w:val="es-PR"/>
        </w:rPr>
        <w:t xml:space="preserve">la </w:t>
      </w:r>
      <w:bookmarkStart w:id="3" w:name="_Hlk141173232"/>
      <w:bookmarkStart w:id="4" w:name="_Hlk176937911"/>
      <w:r w:rsidRPr="00EA76D2">
        <w:rPr>
          <w:rFonts w:ascii="Book Antiqua" w:hAnsi="Book Antiqua"/>
          <w:sz w:val="24"/>
          <w:szCs w:val="24"/>
          <w:lang w:val="es-PR"/>
        </w:rPr>
        <w:t xml:space="preserve">Comisión de </w:t>
      </w:r>
      <w:bookmarkEnd w:id="2"/>
      <w:bookmarkEnd w:id="3"/>
      <w:r>
        <w:rPr>
          <w:rFonts w:ascii="Book Antiqua" w:hAnsi="Book Antiqua"/>
          <w:sz w:val="24"/>
          <w:szCs w:val="24"/>
          <w:lang w:val="es-PR"/>
        </w:rPr>
        <w:t>Salud</w:t>
      </w:r>
      <w:r w:rsidR="00FA257A">
        <w:rPr>
          <w:rFonts w:ascii="Book Antiqua" w:hAnsi="Book Antiqua"/>
          <w:sz w:val="24"/>
          <w:szCs w:val="24"/>
          <w:lang w:val="es-PR"/>
        </w:rPr>
        <w:t xml:space="preserve">, </w:t>
      </w:r>
      <w:r w:rsidR="00FA257A" w:rsidRPr="00FA257A">
        <w:rPr>
          <w:rFonts w:ascii="Book Antiqua" w:hAnsi="Book Antiqua"/>
          <w:sz w:val="24"/>
          <w:szCs w:val="24"/>
          <w:lang w:val="es-PR"/>
        </w:rPr>
        <w:t>investig</w:t>
      </w:r>
      <w:r w:rsidR="00FA257A">
        <w:rPr>
          <w:rFonts w:ascii="Book Antiqua" w:hAnsi="Book Antiqua"/>
          <w:sz w:val="24"/>
          <w:szCs w:val="24"/>
          <w:lang w:val="es-PR"/>
        </w:rPr>
        <w:t>ar</w:t>
      </w:r>
      <w:r w:rsidR="00FA257A" w:rsidRPr="00FA257A">
        <w:rPr>
          <w:rFonts w:ascii="Book Antiqua" w:hAnsi="Book Antiqua"/>
          <w:sz w:val="24"/>
          <w:szCs w:val="24"/>
          <w:lang w:val="es-PR"/>
        </w:rPr>
        <w:t xml:space="preserve"> y </w:t>
      </w:r>
      <w:bookmarkStart w:id="5" w:name="_Hlk176938480"/>
      <w:r w:rsidR="00FA257A" w:rsidRPr="00FA257A">
        <w:rPr>
          <w:rFonts w:ascii="Book Antiqua" w:hAnsi="Book Antiqua"/>
          <w:sz w:val="24"/>
          <w:szCs w:val="24"/>
          <w:lang w:val="es-PR"/>
        </w:rPr>
        <w:t>eva</w:t>
      </w:r>
      <w:r w:rsidR="00FA257A">
        <w:rPr>
          <w:rFonts w:ascii="Book Antiqua" w:hAnsi="Book Antiqua"/>
          <w:sz w:val="24"/>
          <w:szCs w:val="24"/>
          <w:lang w:val="es-PR"/>
        </w:rPr>
        <w:t>luar</w:t>
      </w:r>
      <w:r w:rsidR="004349A5">
        <w:rPr>
          <w:rFonts w:ascii="Book Antiqua" w:hAnsi="Book Antiqua"/>
          <w:sz w:val="24"/>
          <w:szCs w:val="24"/>
          <w:lang w:val="es-PR"/>
        </w:rPr>
        <w:t xml:space="preserve">  el cumplimiento de</w:t>
      </w:r>
      <w:r w:rsidR="0007011D">
        <w:rPr>
          <w:rFonts w:ascii="Book Antiqua" w:hAnsi="Book Antiqua"/>
          <w:sz w:val="24"/>
          <w:szCs w:val="24"/>
          <w:lang w:val="es-PR"/>
        </w:rPr>
        <w:t xml:space="preserve"> la</w:t>
      </w:r>
      <w:r w:rsidR="004349A5">
        <w:rPr>
          <w:rFonts w:ascii="Book Antiqua" w:hAnsi="Book Antiqua"/>
          <w:sz w:val="24"/>
          <w:szCs w:val="24"/>
          <w:lang w:val="es-PR"/>
        </w:rPr>
        <w:t xml:space="preserve"> </w:t>
      </w:r>
      <w:bookmarkStart w:id="6" w:name="_Hlk194956086"/>
      <w:r w:rsidR="009E182A" w:rsidRPr="009E182A">
        <w:rPr>
          <w:rFonts w:ascii="Book Antiqua" w:hAnsi="Book Antiqua"/>
          <w:sz w:val="24"/>
          <w:szCs w:val="24"/>
          <w:lang w:val="es-PR"/>
        </w:rPr>
        <w:t xml:space="preserve">Ley Núm. </w:t>
      </w:r>
      <w:bookmarkEnd w:id="1"/>
      <w:bookmarkEnd w:id="4"/>
      <w:bookmarkEnd w:id="5"/>
      <w:r w:rsidR="0007011D" w:rsidRPr="0007011D">
        <w:rPr>
          <w:rFonts w:ascii="Book Antiqua" w:hAnsi="Book Antiqua"/>
          <w:sz w:val="24"/>
          <w:szCs w:val="24"/>
          <w:lang w:val="es-PR"/>
        </w:rPr>
        <w:t>212 de 9 de agosto de 2008</w:t>
      </w:r>
      <w:r w:rsidR="0007011D">
        <w:rPr>
          <w:rFonts w:ascii="Book Antiqua" w:hAnsi="Book Antiqua"/>
          <w:sz w:val="24"/>
          <w:szCs w:val="24"/>
          <w:lang w:val="es-PR"/>
        </w:rPr>
        <w:t xml:space="preserve">, conocida como </w:t>
      </w:r>
      <w:r w:rsidR="0007011D" w:rsidRPr="0007011D">
        <w:rPr>
          <w:rFonts w:ascii="Book Antiqua" w:hAnsi="Book Antiqua"/>
          <w:sz w:val="24"/>
          <w:szCs w:val="24"/>
          <w:lang w:val="es-ES"/>
        </w:rPr>
        <w:t>Ley para Requerir que en Todo Contrato de Seguros de Salud, se Incluya dentro de su Póliza el Pago de la Cubierta de Servicios Clínicos para el Tratamiento de la Obesidad Mórbida y el Síndrome Metabólico con la Cirugía Bariátrica</w:t>
      </w:r>
      <w:r w:rsidR="00FA257A">
        <w:rPr>
          <w:rFonts w:ascii="Book Antiqua" w:hAnsi="Book Antiqua"/>
          <w:sz w:val="24"/>
          <w:szCs w:val="24"/>
          <w:lang w:val="es-PR"/>
        </w:rPr>
        <w:t>;</w:t>
      </w:r>
      <w:r w:rsidR="0007011D">
        <w:rPr>
          <w:rFonts w:ascii="Book Antiqua" w:hAnsi="Book Antiqua"/>
          <w:sz w:val="24"/>
          <w:szCs w:val="24"/>
          <w:lang w:val="es-PR"/>
        </w:rPr>
        <w:t xml:space="preserve"> analizar el proceso de autorización y aprobación por parte de los Planes Médicos, para los pacientes que necesitan este tipo de cirugía;</w:t>
      </w:r>
      <w:r w:rsidR="00FA257A" w:rsidRPr="00CD19AE">
        <w:rPr>
          <w:rFonts w:ascii="Book Antiqua" w:hAnsi="Book Antiqua"/>
          <w:sz w:val="24"/>
          <w:szCs w:val="24"/>
          <w:lang w:val="es-PR"/>
        </w:rPr>
        <w:t xml:space="preserve"> </w:t>
      </w:r>
      <w:bookmarkEnd w:id="6"/>
      <w:r w:rsidR="00FA257A">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0DBA06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16D74DAE" w14:textId="77777777" w:rsidR="0007011D" w:rsidRP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La obesidad mórbida y el síndrome metabólico representan una de las mayores amenazas a la salud pública en Puerto Rico. Estas condiciones están asociadas a enfermedades crónicas como la diabetes, hipertensión, apnea del sueño, enfermedades cardiovasculares, problemas ortopédicos y un aumento significativo en la mortalidad prematura. La Ley Núm. 212 de 9 de agosto de 2008 fue aprobada con el propósito de requerir que todo contrato de seguros de salud incluya en su póliza la cubierta de servicios clínicos para el tratamiento de estas condiciones mediante la cirugía bariátrica.</w:t>
      </w:r>
    </w:p>
    <w:p w14:paraId="5CCBB9B1"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0E9F9EF5" w14:textId="77777777" w:rsidR="0007011D" w:rsidRP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 xml:space="preserve">No obstante, a pesar del mandato de la Ley 212-2008, han surgido preocupaciones en torno al cumplimiento efectivo de los planes de salud con esta disposición legal. Reportes clínicos, testimonios de pacientes y el sentir generalizado de la ciudadanía apuntan a un alto grado de descontento con el proceso de autorización de las cirugías bariátricas. Muchos pacientes enfrentan demoras excesivas, procesos burocráticos </w:t>
      </w:r>
      <w:r w:rsidRPr="0007011D">
        <w:rPr>
          <w:rFonts w:ascii="Book Antiqua" w:eastAsia="MS Mincho" w:hAnsi="Book Antiqua"/>
          <w:sz w:val="24"/>
          <w:szCs w:val="24"/>
          <w:lang w:val="es-ES_tradnl"/>
        </w:rPr>
        <w:lastRenderedPageBreak/>
        <w:t>complejos y, en ocasiones, denegaciones arbitrarias que impiden el acceso oportuno a este tratamiento vital.</w:t>
      </w:r>
    </w:p>
    <w:p w14:paraId="1CA1E6D0"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0A2069D2" w14:textId="77777777" w:rsidR="0007011D" w:rsidRP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La Ley establece claramente los requisitos para la aprobación del procedimiento, incluyendo la certificación de un médico especialista y la disponibilidad de servicios en instituciones debidamente acreditadas. Aun así, existen indicios de que algunos planes de salud imponen trabas adicionales que van más allá de lo estipulado por la legislación, limitando injustamente el acceso de los asegurados a un tratamiento necesario para preservar su salud y bienestar.</w:t>
      </w:r>
    </w:p>
    <w:p w14:paraId="18884FDE"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406CC26D" w14:textId="77777777" w:rsidR="0007011D" w:rsidRP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Ante esta situación, se ordena a la Comisión de Salud de la Asamblea Legislativa de Puerto Rico a llevar a cabo una investigación exhaustiva sobre el cumplimiento por parte de los planes de salud con la Ley 212-2008. Esta investigación debe examinar el alcance actual de la cubierta de cirugía bariátrica en las pólizas de salud, los procesos y tiempos de aprobación requeridos para autorizar el procedimiento, los criterios médicos y administrativos utilizados para evaluar las solicitudes, y el número de solicitudes recibidas, aprobadas y denegadas en los últimos cinco (5) años.</w:t>
      </w:r>
    </w:p>
    <w:p w14:paraId="276BB414"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69E82CFE" w14:textId="77777777" w:rsidR="0007011D" w:rsidRP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Asimismo, se deben identificar las principales causas de quejas y reclamaciones presentadas por los pacientes, con el fin de desarrollar recomendaciones que aseguren mayor cumplimiento, transparencia y eficiencia en estos procesos. La información recopilada permitirá evaluar si es necesario enmendar la legislación vigente o establecer nuevos mecanismos de fiscalización para garantizar que los ciudadanos puedan acceder a servicios de salud esenciales sin dilaciones ni barreras injustificadas.</w:t>
      </w:r>
    </w:p>
    <w:p w14:paraId="0B13024A"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77FA68A1" w14:textId="734B8794" w:rsidR="004349A5"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La salud de nuestros ciudadanos y la eficiencia del sistema de salud pública dependen de que esta cobertura sea efectiva, accesible y libre de trabas innecesarias. Esta Asamblea Legislativa tiene el deber de fiscalizar el cumplimiento de la ley y velar por los derechos de los pacientes, especialmente aquellos que enfrentan condiciones críticas que amenazan su calidad y expectativa de vida.</w:t>
      </w:r>
    </w:p>
    <w:p w14:paraId="5D98641D" w14:textId="77777777" w:rsidR="0007011D" w:rsidRDefault="0007011D" w:rsidP="0007011D">
      <w:pPr>
        <w:spacing w:after="0" w:line="240" w:lineRule="auto"/>
        <w:jc w:val="both"/>
        <w:rPr>
          <w:rFonts w:ascii="Book Antiqua" w:eastAsia="Times New Roman" w:hAnsi="Book Antiqua"/>
          <w:i/>
          <w:iCs/>
          <w:sz w:val="24"/>
          <w:szCs w:val="24"/>
          <w:lang w:val="es-ES_tradnl"/>
        </w:rPr>
      </w:pPr>
    </w:p>
    <w:p w14:paraId="672D5453" w14:textId="17417336" w:rsidR="003E7820" w:rsidRPr="00683111" w:rsidRDefault="003E7820" w:rsidP="00BD6622">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BD6622">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2411EABB" w14:textId="493C4B79" w:rsidR="0007011D" w:rsidRDefault="003E7820" w:rsidP="00BD6622">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9E182A" w:rsidRPr="009E182A">
        <w:rPr>
          <w:rFonts w:ascii="Book Antiqua" w:eastAsia="MS Mincho" w:hAnsi="Book Antiqua"/>
          <w:sz w:val="24"/>
          <w:szCs w:val="24"/>
          <w:lang w:val="es-PR"/>
        </w:rPr>
        <w:t xml:space="preserve"> la Comisión de Salud, investigar y evaluar  el cumplimiento de</w:t>
      </w:r>
      <w:r w:rsidR="0007011D">
        <w:rPr>
          <w:rFonts w:ascii="Book Antiqua" w:eastAsia="MS Mincho" w:hAnsi="Book Antiqua"/>
          <w:sz w:val="24"/>
          <w:szCs w:val="24"/>
          <w:lang w:val="es-PR"/>
        </w:rPr>
        <w:t xml:space="preserve"> la</w:t>
      </w:r>
      <w:r w:rsidR="009E182A" w:rsidRPr="009E182A">
        <w:rPr>
          <w:rFonts w:ascii="Book Antiqua" w:eastAsia="MS Mincho" w:hAnsi="Book Antiqua"/>
          <w:sz w:val="24"/>
          <w:szCs w:val="24"/>
          <w:lang w:val="es-PR"/>
        </w:rPr>
        <w:t xml:space="preserve"> </w:t>
      </w:r>
      <w:r w:rsidR="0007011D" w:rsidRPr="0007011D">
        <w:rPr>
          <w:rFonts w:ascii="Book Antiqua" w:eastAsia="MS Mincho" w:hAnsi="Book Antiqua"/>
          <w:sz w:val="24"/>
          <w:szCs w:val="24"/>
          <w:lang w:val="es-PR"/>
        </w:rPr>
        <w:t xml:space="preserve">Ley Núm. 212 de 9 de agosto de 2008, conocida como Ley para Requerir que en Todo Contrato de Seguros de Salud, se Incluya dentro de su Póliza el Pago de la Cubierta de Servicios Clínicos para el Tratamiento de la Obesidad Mórbida y el Síndrome Metabólico con la Cirugía Bariátrica; analizar el proceso de autorización y aprobación por </w:t>
      </w:r>
      <w:r w:rsidR="0007011D" w:rsidRPr="0007011D">
        <w:rPr>
          <w:rFonts w:ascii="Book Antiqua" w:eastAsia="MS Mincho" w:hAnsi="Book Antiqua"/>
          <w:sz w:val="24"/>
          <w:szCs w:val="24"/>
          <w:lang w:val="es-PR"/>
        </w:rPr>
        <w:lastRenderedPageBreak/>
        <w:t>parte de los Planes Médicos, para los pacientes que necesitan este tipo de cirugía</w:t>
      </w:r>
      <w:r w:rsidR="0007011D">
        <w:rPr>
          <w:rFonts w:ascii="Book Antiqua" w:eastAsia="MS Mincho" w:hAnsi="Book Antiqua"/>
          <w:sz w:val="24"/>
          <w:szCs w:val="24"/>
          <w:lang w:val="es-PR"/>
        </w:rPr>
        <w:t xml:space="preserve">. </w:t>
      </w:r>
    </w:p>
    <w:p w14:paraId="528EA9F2" w14:textId="608C5F45" w:rsidR="003E7820" w:rsidRPr="003C2711" w:rsidRDefault="003E7820" w:rsidP="00BD6622">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Comisión de Salud</w:t>
      </w:r>
      <w:r w:rsidRPr="003C2711">
        <w:rPr>
          <w:rFonts w:ascii="Book Antiqua" w:eastAsia="MS Mincho" w:hAnsi="Book Antiqua"/>
          <w:sz w:val="24"/>
          <w:szCs w:val="24"/>
          <w:lang w:val="es-PR"/>
        </w:rPr>
        <w:t xml:space="preserve">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este estudio,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sidR="0007011D">
        <w:rPr>
          <w:rFonts w:ascii="Book Antiqua" w:eastAsia="MS Mincho" w:hAnsi="Book Antiqua"/>
          <w:sz w:val="24"/>
          <w:szCs w:val="24"/>
          <w:lang w:val="es-PR"/>
        </w:rPr>
        <w:t>8</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BD6622">
      <w:pPr>
        <w:widowControl w:val="0"/>
        <w:spacing w:after="0" w:line="480" w:lineRule="auto"/>
        <w:ind w:firstLine="720"/>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F5D94" w14:textId="77777777" w:rsidR="00214D74" w:rsidRDefault="00214D74">
      <w:pPr>
        <w:spacing w:after="0" w:line="240" w:lineRule="auto"/>
      </w:pPr>
      <w:r>
        <w:separator/>
      </w:r>
    </w:p>
  </w:endnote>
  <w:endnote w:type="continuationSeparator" w:id="0">
    <w:p w14:paraId="1FB4E070" w14:textId="77777777" w:rsidR="00214D74" w:rsidRDefault="00214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F9E2E" w14:textId="77777777" w:rsidR="00214D74" w:rsidRDefault="00214D74">
      <w:pPr>
        <w:spacing w:after="0" w:line="240" w:lineRule="auto"/>
      </w:pPr>
      <w:r>
        <w:separator/>
      </w:r>
    </w:p>
  </w:footnote>
  <w:footnote w:type="continuationSeparator" w:id="0">
    <w:p w14:paraId="1945EF0B" w14:textId="77777777" w:rsidR="00214D74" w:rsidRDefault="00214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5CBB7F" w14:textId="77777777" w:rsidR="00002690" w:rsidRDefault="000026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Encabezado"/>
      <w:framePr w:wrap="around" w:vAnchor="text" w:hAnchor="page" w:x="6011"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2C6AE82" w14:textId="77777777" w:rsidR="00002690" w:rsidRDefault="000026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F2BE9B0"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D6622">
      <w:rPr>
        <w:rStyle w:val="Nmerodepgina"/>
        <w:noProof/>
      </w:rPr>
      <w:t>2</w:t>
    </w:r>
    <w:r>
      <w:rPr>
        <w:rStyle w:val="Nmerodepgina"/>
      </w:rPr>
      <w:fldChar w:fldCharType="end"/>
    </w:r>
  </w:p>
  <w:p w14:paraId="60DF59C0" w14:textId="77777777" w:rsidR="00002690" w:rsidRDefault="000026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16397"/>
    <w:rsid w:val="0007011D"/>
    <w:rsid w:val="00140BBA"/>
    <w:rsid w:val="0017674F"/>
    <w:rsid w:val="002072B6"/>
    <w:rsid w:val="00214D74"/>
    <w:rsid w:val="002A0227"/>
    <w:rsid w:val="003C65C8"/>
    <w:rsid w:val="003E7820"/>
    <w:rsid w:val="004349A5"/>
    <w:rsid w:val="00473257"/>
    <w:rsid w:val="00521E8B"/>
    <w:rsid w:val="005253C3"/>
    <w:rsid w:val="00592027"/>
    <w:rsid w:val="005C42C3"/>
    <w:rsid w:val="005F7ADF"/>
    <w:rsid w:val="006051B3"/>
    <w:rsid w:val="00654548"/>
    <w:rsid w:val="00672984"/>
    <w:rsid w:val="006B58B3"/>
    <w:rsid w:val="006D7F2B"/>
    <w:rsid w:val="00721FBC"/>
    <w:rsid w:val="007440F8"/>
    <w:rsid w:val="007503EB"/>
    <w:rsid w:val="00972869"/>
    <w:rsid w:val="00995861"/>
    <w:rsid w:val="009D0C26"/>
    <w:rsid w:val="009E182A"/>
    <w:rsid w:val="009E2464"/>
    <w:rsid w:val="00A05582"/>
    <w:rsid w:val="00A47AFF"/>
    <w:rsid w:val="00A6433F"/>
    <w:rsid w:val="00A67B8B"/>
    <w:rsid w:val="00B96B8F"/>
    <w:rsid w:val="00B96E0A"/>
    <w:rsid w:val="00BD6622"/>
    <w:rsid w:val="00C83C8A"/>
    <w:rsid w:val="00C8462E"/>
    <w:rsid w:val="00C912E5"/>
    <w:rsid w:val="00CD6646"/>
    <w:rsid w:val="00D056D7"/>
    <w:rsid w:val="00D7112C"/>
    <w:rsid w:val="00D74913"/>
    <w:rsid w:val="00DA07B6"/>
    <w:rsid w:val="00E1419F"/>
    <w:rsid w:val="00E22078"/>
    <w:rsid w:val="00E84D9F"/>
    <w:rsid w:val="00EB7D3A"/>
    <w:rsid w:val="00EC61EE"/>
    <w:rsid w:val="00F0670C"/>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Ttulo1">
    <w:name w:val="heading 1"/>
    <w:basedOn w:val="Normal"/>
    <w:next w:val="Normal"/>
    <w:link w:val="Ttulo1C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1F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1F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1F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1F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1F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1F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1F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1FBC"/>
    <w:rPr>
      <w:rFonts w:eastAsiaTheme="majorEastAsia" w:cstheme="majorBidi"/>
      <w:color w:val="272727" w:themeColor="text1" w:themeTint="D8"/>
    </w:rPr>
  </w:style>
  <w:style w:type="paragraph" w:styleId="Ttulo">
    <w:name w:val="Title"/>
    <w:basedOn w:val="Normal"/>
    <w:next w:val="Normal"/>
    <w:link w:val="TtuloC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1F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1F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1FBC"/>
    <w:pPr>
      <w:spacing w:before="160"/>
      <w:jc w:val="center"/>
    </w:pPr>
    <w:rPr>
      <w:i/>
      <w:iCs/>
      <w:color w:val="404040" w:themeColor="text1" w:themeTint="BF"/>
    </w:rPr>
  </w:style>
  <w:style w:type="character" w:customStyle="1" w:styleId="CitaCar">
    <w:name w:val="Cita Car"/>
    <w:basedOn w:val="Fuentedeprrafopredeter"/>
    <w:link w:val="Cita"/>
    <w:uiPriority w:val="29"/>
    <w:rsid w:val="00721FBC"/>
    <w:rPr>
      <w:i/>
      <w:iCs/>
      <w:color w:val="404040" w:themeColor="text1" w:themeTint="BF"/>
    </w:rPr>
  </w:style>
  <w:style w:type="paragraph" w:styleId="Prrafodelista">
    <w:name w:val="List Paragraph"/>
    <w:basedOn w:val="Normal"/>
    <w:uiPriority w:val="34"/>
    <w:qFormat/>
    <w:rsid w:val="00721FBC"/>
    <w:pPr>
      <w:ind w:left="720"/>
      <w:contextualSpacing/>
    </w:pPr>
  </w:style>
  <w:style w:type="character" w:styleId="nfasisintenso">
    <w:name w:val="Intense Emphasis"/>
    <w:basedOn w:val="Fuentedeprrafopredeter"/>
    <w:uiPriority w:val="21"/>
    <w:qFormat/>
    <w:rsid w:val="00721FBC"/>
    <w:rPr>
      <w:i/>
      <w:iCs/>
      <w:color w:val="0F4761" w:themeColor="accent1" w:themeShade="BF"/>
    </w:rPr>
  </w:style>
  <w:style w:type="paragraph" w:styleId="Citadestacada">
    <w:name w:val="Intense Quote"/>
    <w:basedOn w:val="Normal"/>
    <w:next w:val="Normal"/>
    <w:link w:val="CitadestacadaC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1FBC"/>
    <w:rPr>
      <w:i/>
      <w:iCs/>
      <w:color w:val="0F4761" w:themeColor="accent1" w:themeShade="BF"/>
    </w:rPr>
  </w:style>
  <w:style w:type="character" w:styleId="Referenciaintensa">
    <w:name w:val="Intense Reference"/>
    <w:basedOn w:val="Fuentedeprrafopredeter"/>
    <w:uiPriority w:val="32"/>
    <w:qFormat/>
    <w:rsid w:val="00721FBC"/>
    <w:rPr>
      <w:b/>
      <w:bCs/>
      <w:smallCaps/>
      <w:color w:val="0F4761" w:themeColor="accent1" w:themeShade="BF"/>
      <w:spacing w:val="5"/>
    </w:rPr>
  </w:style>
  <w:style w:type="paragraph" w:styleId="Encabezado">
    <w:name w:val="header"/>
    <w:basedOn w:val="Normal"/>
    <w:link w:val="EncabezadoCar"/>
    <w:uiPriority w:val="99"/>
    <w:unhideWhenUsed/>
    <w:rsid w:val="003E782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E7820"/>
    <w:rPr>
      <w:rFonts w:ascii="Calibri" w:eastAsia="Calibri" w:hAnsi="Calibri" w:cs="Times New Roman"/>
      <w:kern w:val="0"/>
      <w:lang w:val="en-US"/>
      <w14:ligatures w14:val="none"/>
    </w:rPr>
  </w:style>
  <w:style w:type="character" w:styleId="Nmerodepgina">
    <w:name w:val="page number"/>
    <w:basedOn w:val="Fuentedeprrafopredeter"/>
    <w:rsid w:val="003E7820"/>
  </w:style>
  <w:style w:type="paragraph" w:styleId="Sangra2detindependiente">
    <w:name w:val="Body Text Indent 2"/>
    <w:basedOn w:val="Normal"/>
    <w:link w:val="Sangra2detindependienteC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Sangra2detindependienteCar">
    <w:name w:val="Sangría 2 de t. independiente Car"/>
    <w:basedOn w:val="Fuentedeprrafopredeter"/>
    <w:link w:val="Sangra2detindependiente"/>
    <w:uiPriority w:val="99"/>
    <w:rsid w:val="003E7820"/>
    <w:rPr>
      <w:rFonts w:ascii="Times New Roman" w:eastAsia="MS Mincho" w:hAnsi="Times New Roman" w:cs="Times New Roman"/>
      <w:kern w:val="0"/>
      <w:sz w:val="20"/>
      <w:szCs w:val="20"/>
      <w:lang w:val="en-US"/>
      <w14:ligatures w14:val="none"/>
    </w:rPr>
  </w:style>
  <w:style w:type="character" w:styleId="Nmerodelnea">
    <w:name w:val="line number"/>
    <w:basedOn w:val="Fuentedeprrafopredeter"/>
    <w:uiPriority w:val="99"/>
    <w:semiHidden/>
    <w:unhideWhenUsed/>
    <w:rsid w:val="003E7820"/>
  </w:style>
  <w:style w:type="paragraph" w:styleId="Piedepgina">
    <w:name w:val="footer"/>
    <w:basedOn w:val="Normal"/>
    <w:link w:val="PiedepginaCar"/>
    <w:uiPriority w:val="99"/>
    <w:unhideWhenUsed/>
    <w:rsid w:val="009E182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750</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Rocío Alayón Morell</cp:lastModifiedBy>
  <cp:revision>5</cp:revision>
  <dcterms:created xsi:type="dcterms:W3CDTF">2025-04-10T15:06:00Z</dcterms:created>
  <dcterms:modified xsi:type="dcterms:W3CDTF">2025-04-21T14:54:00Z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