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676B40CD" w:rsidR="007535BB" w:rsidRPr="00F126F3" w:rsidRDefault="007535BB" w:rsidP="007535BB">
      <w:pPr>
        <w:tabs>
          <w:tab w:val="center" w:pos="4680"/>
          <w:tab w:val="left" w:pos="7920"/>
        </w:tabs>
        <w:jc w:val="center"/>
        <w:rPr>
          <w:rFonts w:ascii="Book Antiqua" w:hAnsi="Book Antiqua"/>
          <w:sz w:val="28"/>
          <w:szCs w:val="28"/>
          <w:lang w:val="es-PR"/>
        </w:rPr>
      </w:pPr>
      <w:bookmarkStart w:id="0" w:name="_Hlk183042642"/>
      <w:bookmarkStart w:id="1" w:name="_Hlk183037667"/>
      <w:bookmarkStart w:id="2" w:name="_Hlk183038391"/>
      <w:r w:rsidRPr="00F126F3">
        <w:rPr>
          <w:rFonts w:ascii="Book Antiqua" w:hAnsi="Book Antiqua"/>
          <w:sz w:val="28"/>
          <w:szCs w:val="28"/>
          <w:lang w:val="es-PR"/>
        </w:rPr>
        <w:t>GOBIERNO DE PUERTO RICO</w:t>
      </w:r>
    </w:p>
    <w:p w14:paraId="24353140" w14:textId="77777777" w:rsidR="007535BB" w:rsidRPr="00F126F3" w:rsidRDefault="007535BB" w:rsidP="007535BB">
      <w:pPr>
        <w:jc w:val="center"/>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7535BB" w:rsidRPr="00F126F3" w14:paraId="4DE77E24" w14:textId="77777777" w:rsidTr="00D95836">
        <w:trPr>
          <w:trHeight w:val="900"/>
        </w:trPr>
        <w:tc>
          <w:tcPr>
            <w:tcW w:w="3170" w:type="dxa"/>
          </w:tcPr>
          <w:p w14:paraId="27AF3912" w14:textId="77777777" w:rsidR="007535BB" w:rsidRPr="00F126F3" w:rsidRDefault="007535BB" w:rsidP="00D95836">
            <w:pPr>
              <w:rPr>
                <w:rFonts w:ascii="Book Antiqua" w:hAnsi="Book Antiqua"/>
                <w:lang w:val="es-PR"/>
              </w:rPr>
            </w:pPr>
            <w:r w:rsidRPr="00F126F3">
              <w:rPr>
                <w:rFonts w:ascii="Book Antiqua" w:hAnsi="Book Antiqua"/>
                <w:lang w:val="es-PR"/>
              </w:rPr>
              <w:t>20</w:t>
            </w:r>
            <w:r w:rsidRPr="00F126F3">
              <w:rPr>
                <w:rFonts w:ascii="Book Antiqua" w:hAnsi="Book Antiqua"/>
                <w:vertAlign w:val="superscript"/>
                <w:lang w:val="es-PR"/>
              </w:rPr>
              <w:t>ma.</w:t>
            </w:r>
            <w:r w:rsidRPr="00F126F3">
              <w:rPr>
                <w:rFonts w:ascii="Book Antiqua" w:hAnsi="Book Antiqua"/>
                <w:lang w:val="es-PR"/>
              </w:rPr>
              <w:tab/>
              <w:t>Asamblea</w:t>
            </w:r>
          </w:p>
          <w:p w14:paraId="082D32B2" w14:textId="77777777" w:rsidR="007535BB" w:rsidRPr="00F126F3" w:rsidRDefault="007535BB" w:rsidP="00D95836">
            <w:pPr>
              <w:rPr>
                <w:rFonts w:ascii="Book Antiqua" w:hAnsi="Book Antiqua"/>
                <w:sz w:val="36"/>
                <w:lang w:val="es-PR"/>
              </w:rPr>
            </w:pPr>
            <w:r w:rsidRPr="00F126F3">
              <w:rPr>
                <w:rFonts w:ascii="Book Antiqua" w:hAnsi="Book Antiqua"/>
                <w:lang w:val="es-PR"/>
              </w:rPr>
              <w:t xml:space="preserve">         </w:t>
            </w:r>
            <w:r w:rsidRPr="00F126F3">
              <w:rPr>
                <w:rFonts w:ascii="Book Antiqua" w:hAnsi="Book Antiqua"/>
                <w:lang w:val="es-PR"/>
              </w:rPr>
              <w:tab/>
              <w:t xml:space="preserve">Legislativa                                                                                                          </w:t>
            </w:r>
          </w:p>
        </w:tc>
        <w:tc>
          <w:tcPr>
            <w:tcW w:w="3171" w:type="dxa"/>
          </w:tcPr>
          <w:p w14:paraId="48FE9142" w14:textId="77777777" w:rsidR="007535BB" w:rsidRPr="00F126F3" w:rsidRDefault="007535BB" w:rsidP="00D95836">
            <w:pPr>
              <w:jc w:val="center"/>
              <w:rPr>
                <w:rFonts w:ascii="Book Antiqua" w:hAnsi="Book Antiqua"/>
                <w:sz w:val="36"/>
                <w:lang w:val="es-PR"/>
              </w:rPr>
            </w:pPr>
          </w:p>
        </w:tc>
        <w:tc>
          <w:tcPr>
            <w:tcW w:w="3268" w:type="dxa"/>
          </w:tcPr>
          <w:p w14:paraId="69176C76" w14:textId="3E7D4CFB" w:rsidR="007535BB" w:rsidRPr="00F126F3" w:rsidRDefault="007535BB" w:rsidP="00D95836">
            <w:pPr>
              <w:rPr>
                <w:rFonts w:ascii="Book Antiqua" w:hAnsi="Book Antiqua"/>
                <w:lang w:val="es-PR"/>
              </w:rPr>
            </w:pPr>
            <w:r w:rsidRPr="00F126F3">
              <w:rPr>
                <w:rFonts w:ascii="Book Antiqua" w:hAnsi="Book Antiqua"/>
                <w:lang w:val="es-PR"/>
              </w:rPr>
              <w:tab/>
            </w:r>
            <w:r w:rsidR="00333AF4" w:rsidRPr="00F126F3">
              <w:rPr>
                <w:rFonts w:ascii="Book Antiqua" w:hAnsi="Book Antiqua"/>
                <w:lang w:val="es-PR"/>
              </w:rPr>
              <w:t>3</w:t>
            </w:r>
            <w:r w:rsidR="00B14970" w:rsidRPr="00F126F3">
              <w:rPr>
                <w:rFonts w:ascii="Book Antiqua" w:hAnsi="Book Antiqua"/>
                <w:vertAlign w:val="superscript"/>
                <w:lang w:val="es-PR"/>
              </w:rPr>
              <w:t>ra</w:t>
            </w:r>
            <w:r w:rsidRPr="00F126F3">
              <w:rPr>
                <w:rFonts w:ascii="Book Antiqua" w:hAnsi="Book Antiqua"/>
                <w:vertAlign w:val="superscript"/>
                <w:lang w:val="es-PR"/>
              </w:rPr>
              <w:t>.</w:t>
            </w:r>
            <w:r w:rsidRPr="00F126F3">
              <w:rPr>
                <w:rFonts w:ascii="Book Antiqua" w:hAnsi="Book Antiqua"/>
                <w:lang w:val="es-PR"/>
              </w:rPr>
              <w:t xml:space="preserve"> Sesión</w:t>
            </w:r>
          </w:p>
          <w:p w14:paraId="42A8E2C1" w14:textId="6033C9E1" w:rsidR="007535BB" w:rsidRPr="00F126F3" w:rsidRDefault="007535BB" w:rsidP="00D95836">
            <w:pPr>
              <w:rPr>
                <w:rFonts w:ascii="Book Antiqua" w:hAnsi="Book Antiqua"/>
                <w:lang w:val="es-PR"/>
              </w:rPr>
            </w:pPr>
            <w:r w:rsidRPr="00F126F3">
              <w:rPr>
                <w:rFonts w:ascii="Book Antiqua" w:hAnsi="Book Antiqua"/>
                <w:lang w:val="es-PR"/>
              </w:rPr>
              <w:tab/>
              <w:t xml:space="preserve">      Ordinaria</w:t>
            </w:r>
          </w:p>
          <w:p w14:paraId="640FD190" w14:textId="77777777" w:rsidR="007535BB" w:rsidRPr="00F126F3" w:rsidRDefault="007535BB" w:rsidP="00D95836">
            <w:pPr>
              <w:jc w:val="center"/>
              <w:rPr>
                <w:rFonts w:ascii="Book Antiqua" w:hAnsi="Book Antiqua"/>
                <w:sz w:val="36"/>
                <w:lang w:val="es-PR"/>
              </w:rPr>
            </w:pPr>
          </w:p>
        </w:tc>
      </w:tr>
    </w:tbl>
    <w:bookmarkEnd w:id="0"/>
    <w:bookmarkEnd w:id="1"/>
    <w:p w14:paraId="44DF1C72" w14:textId="50912508" w:rsidR="007535BB" w:rsidRPr="00F126F3" w:rsidRDefault="00333AF4" w:rsidP="0027212A">
      <w:pPr>
        <w:spacing w:line="360" w:lineRule="auto"/>
        <w:jc w:val="center"/>
        <w:rPr>
          <w:rFonts w:ascii="Book Antiqua" w:hAnsi="Book Antiqua"/>
          <w:b/>
          <w:sz w:val="36"/>
          <w:lang w:val="es-PR"/>
        </w:rPr>
      </w:pPr>
      <w:r w:rsidRPr="00F126F3">
        <w:rPr>
          <w:rFonts w:ascii="Book Antiqua" w:hAnsi="Book Antiqua"/>
          <w:b/>
          <w:sz w:val="36"/>
          <w:lang w:val="es-PR"/>
        </w:rPr>
        <w:t>CÁMARA DE REPRESENTANTES</w:t>
      </w:r>
    </w:p>
    <w:p w14:paraId="3E53146F" w14:textId="00601851" w:rsidR="007535BB" w:rsidRPr="003B56DB" w:rsidRDefault="007535BB" w:rsidP="0027212A">
      <w:pPr>
        <w:spacing w:line="360" w:lineRule="auto"/>
        <w:jc w:val="center"/>
        <w:rPr>
          <w:rFonts w:ascii="Book Antiqua" w:hAnsi="Book Antiqua"/>
          <w:bCs/>
          <w:sz w:val="52"/>
          <w:lang w:val="es-PR"/>
        </w:rPr>
      </w:pPr>
      <w:r w:rsidRPr="003B56DB">
        <w:rPr>
          <w:rFonts w:ascii="Book Antiqua" w:hAnsi="Book Antiqua"/>
          <w:bCs/>
          <w:sz w:val="52"/>
          <w:lang w:val="es-PR"/>
        </w:rPr>
        <w:t>P</w:t>
      </w:r>
      <w:r w:rsidR="008F38D2" w:rsidRPr="003B56DB">
        <w:rPr>
          <w:rFonts w:ascii="Book Antiqua" w:hAnsi="Book Antiqua"/>
          <w:bCs/>
          <w:sz w:val="52"/>
          <w:lang w:val="es-PR"/>
        </w:rPr>
        <w:t>royecto</w:t>
      </w:r>
      <w:r w:rsidRPr="003B56DB">
        <w:rPr>
          <w:rFonts w:ascii="Book Antiqua" w:hAnsi="Book Antiqua"/>
          <w:bCs/>
          <w:sz w:val="52"/>
          <w:lang w:val="es-PR"/>
        </w:rPr>
        <w:t xml:space="preserve"> del S</w:t>
      </w:r>
      <w:r w:rsidR="008F38D2" w:rsidRPr="003B56DB">
        <w:rPr>
          <w:rFonts w:ascii="Book Antiqua" w:hAnsi="Book Antiqua"/>
          <w:bCs/>
          <w:sz w:val="52"/>
          <w:lang w:val="es-PR"/>
        </w:rPr>
        <w:t>enado</w:t>
      </w:r>
      <w:r w:rsidRPr="003B56DB">
        <w:rPr>
          <w:rFonts w:ascii="Book Antiqua" w:hAnsi="Book Antiqua"/>
          <w:bCs/>
          <w:sz w:val="52"/>
          <w:lang w:val="es-PR"/>
        </w:rPr>
        <w:t xml:space="preserve"> </w:t>
      </w:r>
      <w:r w:rsidR="00FB15C0" w:rsidRPr="003B56DB">
        <w:rPr>
          <w:rFonts w:ascii="Book Antiqua" w:hAnsi="Book Antiqua"/>
          <w:bCs/>
          <w:sz w:val="52"/>
          <w:lang w:val="es-PR"/>
        </w:rPr>
        <w:t>530</w:t>
      </w:r>
    </w:p>
    <w:p w14:paraId="1443CA0F" w14:textId="11019321" w:rsidR="007535BB" w:rsidRPr="00F126F3" w:rsidRDefault="001B5218" w:rsidP="0027212A">
      <w:pPr>
        <w:spacing w:line="360" w:lineRule="auto"/>
        <w:jc w:val="center"/>
        <w:rPr>
          <w:rFonts w:ascii="Book Antiqua" w:hAnsi="Book Antiqua"/>
          <w:b/>
          <w:bCs/>
          <w:lang w:val="es-PR"/>
        </w:rPr>
      </w:pPr>
      <w:bookmarkStart w:id="3" w:name="_Hlk183037684"/>
      <w:r w:rsidRPr="003B56DB">
        <w:rPr>
          <w:rFonts w:ascii="Book Antiqua" w:hAnsi="Book Antiqua"/>
          <w:bCs/>
          <w:sz w:val="28"/>
          <w:szCs w:val="22"/>
          <w:lang w:val="es-PR"/>
        </w:rPr>
        <w:t xml:space="preserve">INFORME </w:t>
      </w:r>
      <w:r w:rsidR="00910639">
        <w:rPr>
          <w:rFonts w:ascii="Book Antiqua" w:hAnsi="Book Antiqua"/>
          <w:bCs/>
          <w:sz w:val="28"/>
          <w:szCs w:val="22"/>
          <w:lang w:val="es-PR"/>
        </w:rPr>
        <w:t>NEGA</w:t>
      </w:r>
      <w:r w:rsidRPr="003B56DB">
        <w:rPr>
          <w:rFonts w:ascii="Book Antiqua" w:hAnsi="Book Antiqua"/>
          <w:bCs/>
          <w:sz w:val="28"/>
          <w:szCs w:val="22"/>
          <w:lang w:val="es-PR"/>
        </w:rPr>
        <w:t>TIVO</w:t>
      </w:r>
      <w:r w:rsidRPr="00F126F3">
        <w:rPr>
          <w:rFonts w:ascii="Book Antiqua" w:hAnsi="Book Antiqua"/>
          <w:b/>
          <w:bCs/>
          <w:sz w:val="28"/>
          <w:szCs w:val="22"/>
          <w:lang w:val="es-PR"/>
        </w:rPr>
        <w:t xml:space="preserve"> </w:t>
      </w:r>
    </w:p>
    <w:p w14:paraId="07AB4BDD" w14:textId="4A898C57" w:rsidR="001B5218" w:rsidRPr="00F126F3" w:rsidRDefault="009B0C94" w:rsidP="0027212A">
      <w:pPr>
        <w:spacing w:line="360" w:lineRule="auto"/>
        <w:jc w:val="center"/>
        <w:rPr>
          <w:rFonts w:ascii="Book Antiqua" w:hAnsi="Book Antiqua"/>
          <w:lang w:val="es-PR"/>
        </w:rPr>
      </w:pPr>
      <w:proofErr w:type="gramStart"/>
      <w:r>
        <w:rPr>
          <w:rFonts w:ascii="Book Antiqua" w:hAnsi="Book Antiqua"/>
          <w:lang w:val="es-PR"/>
        </w:rPr>
        <w:t xml:space="preserve">23 </w:t>
      </w:r>
      <w:r w:rsidR="00897895" w:rsidRPr="00F126F3">
        <w:rPr>
          <w:rFonts w:ascii="Book Antiqua" w:hAnsi="Book Antiqua"/>
          <w:lang w:val="es-PR"/>
        </w:rPr>
        <w:t xml:space="preserve"> </w:t>
      </w:r>
      <w:r w:rsidR="006239E8" w:rsidRPr="00F126F3">
        <w:rPr>
          <w:rFonts w:ascii="Book Antiqua" w:hAnsi="Book Antiqua"/>
          <w:lang w:val="es-PR"/>
        </w:rPr>
        <w:t>de</w:t>
      </w:r>
      <w:proofErr w:type="gramEnd"/>
      <w:r w:rsidR="006239E8" w:rsidRPr="00F126F3">
        <w:rPr>
          <w:rFonts w:ascii="Book Antiqua" w:hAnsi="Book Antiqua"/>
          <w:lang w:val="es-PR"/>
        </w:rPr>
        <w:t xml:space="preserve"> </w:t>
      </w:r>
      <w:r w:rsidR="00333AF4" w:rsidRPr="00F126F3">
        <w:rPr>
          <w:rFonts w:ascii="Book Antiqua" w:hAnsi="Book Antiqua"/>
          <w:lang w:val="es-PR"/>
        </w:rPr>
        <w:t xml:space="preserve">enero </w:t>
      </w:r>
      <w:r w:rsidR="00D13D23" w:rsidRPr="00F126F3">
        <w:rPr>
          <w:rFonts w:ascii="Book Antiqua" w:hAnsi="Book Antiqua"/>
          <w:lang w:val="es-PR"/>
        </w:rPr>
        <w:t>de 202</w:t>
      </w:r>
      <w:r w:rsidR="00333AF4" w:rsidRPr="00F126F3">
        <w:rPr>
          <w:rFonts w:ascii="Book Antiqua" w:hAnsi="Book Antiqua"/>
          <w:lang w:val="es-PR"/>
        </w:rPr>
        <w:t>6</w:t>
      </w:r>
    </w:p>
    <w:bookmarkEnd w:id="2"/>
    <w:bookmarkEnd w:id="3"/>
    <w:p w14:paraId="518A096B" w14:textId="6DBE1F5F" w:rsidR="005B2884" w:rsidRPr="00F126F3" w:rsidRDefault="001B5218" w:rsidP="00D91310">
      <w:pPr>
        <w:tabs>
          <w:tab w:val="left" w:pos="-720"/>
        </w:tabs>
        <w:suppressAutoHyphens/>
        <w:spacing w:before="240" w:after="120" w:line="360" w:lineRule="auto"/>
        <w:rPr>
          <w:rFonts w:ascii="Book Antiqua" w:hAnsi="Book Antiqua"/>
          <w:szCs w:val="24"/>
          <w:lang w:val="es-PR"/>
        </w:rPr>
      </w:pPr>
      <w:r w:rsidRPr="00FE19D4">
        <w:rPr>
          <w:rFonts w:ascii="Book Antiqua" w:hAnsi="Book Antiqua"/>
          <w:bCs/>
          <w:szCs w:val="24"/>
          <w:lang w:val="es-PR"/>
        </w:rPr>
        <w:t>A</w:t>
      </w:r>
      <w:r w:rsidR="00F146E4" w:rsidRPr="00FE19D4">
        <w:rPr>
          <w:rFonts w:ascii="Book Antiqua" w:hAnsi="Book Antiqua"/>
          <w:bCs/>
          <w:szCs w:val="24"/>
          <w:lang w:val="es-PR"/>
        </w:rPr>
        <w:t xml:space="preserve"> LA CÁMARA DE REPRESENTANTES DE</w:t>
      </w:r>
      <w:r w:rsidRPr="00FE19D4">
        <w:rPr>
          <w:rFonts w:ascii="Book Antiqua" w:hAnsi="Book Antiqua"/>
          <w:bCs/>
          <w:szCs w:val="24"/>
          <w:lang w:val="es-PR"/>
        </w:rPr>
        <w:t xml:space="preserve"> PUERTO RICO</w:t>
      </w:r>
      <w:r w:rsidRPr="00F126F3">
        <w:rPr>
          <w:rFonts w:ascii="Book Antiqua" w:hAnsi="Book Antiqua"/>
          <w:b/>
          <w:szCs w:val="24"/>
          <w:lang w:val="es-PR"/>
        </w:rPr>
        <w:t xml:space="preserve"> </w:t>
      </w:r>
    </w:p>
    <w:p w14:paraId="37982730" w14:textId="77A21A06" w:rsidR="005B2884" w:rsidRPr="00F126F3" w:rsidRDefault="00A52CD9" w:rsidP="007E1AD6">
      <w:pPr>
        <w:suppressAutoHyphens/>
        <w:spacing w:after="240" w:line="288" w:lineRule="auto"/>
        <w:jc w:val="both"/>
        <w:rPr>
          <w:rFonts w:ascii="Book Antiqua" w:hAnsi="Book Antiqua"/>
          <w:spacing w:val="-3"/>
          <w:lang w:val="es-PR"/>
        </w:rPr>
      </w:pPr>
      <w:r w:rsidRPr="00F126F3">
        <w:rPr>
          <w:rFonts w:ascii="Book Antiqua" w:hAnsi="Book Antiqua"/>
          <w:spacing w:val="-3"/>
          <w:lang w:val="es-PR"/>
        </w:rPr>
        <w:t xml:space="preserve">      </w:t>
      </w:r>
      <w:r w:rsidR="009F427F" w:rsidRPr="00F126F3">
        <w:rPr>
          <w:rFonts w:ascii="Book Antiqua" w:hAnsi="Book Antiqua"/>
          <w:spacing w:val="-3"/>
          <w:lang w:val="es-PR"/>
        </w:rPr>
        <w:tab/>
      </w:r>
      <w:r w:rsidR="007E1AD6">
        <w:rPr>
          <w:rFonts w:ascii="Book Antiqua" w:hAnsi="Book Antiqua"/>
          <w:spacing w:val="-3"/>
          <w:lang w:val="es-PR"/>
        </w:rPr>
        <w:t>P</w:t>
      </w:r>
      <w:r w:rsidR="001B5218" w:rsidRPr="00F126F3">
        <w:rPr>
          <w:rFonts w:ascii="Book Antiqua" w:hAnsi="Book Antiqua"/>
          <w:spacing w:val="-3"/>
          <w:lang w:val="es-PR"/>
        </w:rPr>
        <w:t>revio estudio y consideración</w:t>
      </w:r>
      <w:r w:rsidR="009F427F" w:rsidRPr="00F126F3">
        <w:rPr>
          <w:rFonts w:ascii="Book Antiqua" w:hAnsi="Book Antiqua"/>
          <w:spacing w:val="-3"/>
          <w:lang w:val="es-PR"/>
        </w:rPr>
        <w:t xml:space="preserve"> del </w:t>
      </w:r>
      <w:r w:rsidR="00FB15C0" w:rsidRPr="00F126F3">
        <w:rPr>
          <w:rFonts w:ascii="Book Antiqua" w:hAnsi="Book Antiqua"/>
          <w:spacing w:val="-3"/>
          <w:lang w:val="es-PR"/>
        </w:rPr>
        <w:t>Proyecto del Senado</w:t>
      </w:r>
      <w:r w:rsidR="00F146E4" w:rsidRPr="00F126F3">
        <w:rPr>
          <w:rFonts w:ascii="Book Antiqua" w:hAnsi="Book Antiqua"/>
          <w:spacing w:val="-3"/>
          <w:lang w:val="es-PR"/>
        </w:rPr>
        <w:t xml:space="preserve"> </w:t>
      </w:r>
      <w:r w:rsidR="00FB15C0" w:rsidRPr="00F126F3">
        <w:rPr>
          <w:rFonts w:ascii="Book Antiqua" w:hAnsi="Book Antiqua"/>
          <w:spacing w:val="-3"/>
          <w:lang w:val="es-PR"/>
        </w:rPr>
        <w:t>530</w:t>
      </w:r>
      <w:r w:rsidR="00F146E4" w:rsidRPr="00F126F3">
        <w:rPr>
          <w:rFonts w:ascii="Book Antiqua" w:hAnsi="Book Antiqua"/>
          <w:spacing w:val="-3"/>
          <w:lang w:val="es-PR"/>
        </w:rPr>
        <w:t xml:space="preserve"> (P. del S. 530)</w:t>
      </w:r>
      <w:r w:rsidR="00FB15C0" w:rsidRPr="00F126F3">
        <w:rPr>
          <w:rFonts w:ascii="Book Antiqua" w:hAnsi="Book Antiqua"/>
          <w:spacing w:val="-3"/>
          <w:lang w:val="es-PR"/>
        </w:rPr>
        <w:t>,</w:t>
      </w:r>
      <w:r w:rsidR="007E1AD6">
        <w:rPr>
          <w:rFonts w:ascii="Book Antiqua" w:hAnsi="Book Antiqua"/>
          <w:spacing w:val="-3"/>
          <w:lang w:val="es-PR"/>
        </w:rPr>
        <w:t xml:space="preserve"> la Comisión de lo Jurídico </w:t>
      </w:r>
      <w:r w:rsidR="00407810">
        <w:rPr>
          <w:rFonts w:ascii="Book Antiqua" w:hAnsi="Book Antiqua"/>
          <w:spacing w:val="-3"/>
          <w:lang w:val="es-PR"/>
        </w:rPr>
        <w:t xml:space="preserve">no </w:t>
      </w:r>
      <w:r w:rsidR="009F427F" w:rsidRPr="00F126F3">
        <w:rPr>
          <w:rFonts w:ascii="Book Antiqua" w:hAnsi="Book Antiqua"/>
          <w:spacing w:val="-3"/>
          <w:lang w:val="es-PR"/>
        </w:rPr>
        <w:t>recomienda su</w:t>
      </w:r>
      <w:r w:rsidR="008E051A" w:rsidRPr="00F126F3">
        <w:rPr>
          <w:rFonts w:ascii="Book Antiqua" w:hAnsi="Book Antiqua"/>
          <w:spacing w:val="-3"/>
          <w:lang w:val="es-PR"/>
        </w:rPr>
        <w:t xml:space="preserve"> </w:t>
      </w:r>
      <w:r w:rsidR="001B5218" w:rsidRPr="00F126F3">
        <w:rPr>
          <w:rFonts w:ascii="Book Antiqua" w:hAnsi="Book Antiqua"/>
          <w:spacing w:val="-3"/>
          <w:lang w:val="es-PR"/>
        </w:rPr>
        <w:t>aprobación</w:t>
      </w:r>
      <w:r w:rsidR="00FB15C0" w:rsidRPr="00F126F3">
        <w:rPr>
          <w:rFonts w:ascii="Book Antiqua" w:hAnsi="Book Antiqua"/>
          <w:spacing w:val="-3"/>
          <w:lang w:val="es-PR"/>
        </w:rPr>
        <w:t>.</w:t>
      </w:r>
    </w:p>
    <w:p w14:paraId="632423B1" w14:textId="77777777" w:rsidR="0024131E" w:rsidRPr="00042598" w:rsidRDefault="001B5218" w:rsidP="00F146E4">
      <w:pPr>
        <w:tabs>
          <w:tab w:val="left" w:pos="-720"/>
        </w:tabs>
        <w:suppressAutoHyphens/>
        <w:spacing w:line="360" w:lineRule="auto"/>
        <w:jc w:val="center"/>
        <w:rPr>
          <w:rFonts w:ascii="Book Antiqua" w:hAnsi="Book Antiqua"/>
          <w:szCs w:val="24"/>
          <w:lang w:val="es-PR"/>
        </w:rPr>
      </w:pPr>
      <w:r w:rsidRPr="00042598">
        <w:rPr>
          <w:rFonts w:ascii="Book Antiqua" w:hAnsi="Book Antiqua"/>
          <w:szCs w:val="24"/>
          <w:lang w:val="es-PR"/>
        </w:rPr>
        <w:t xml:space="preserve">ALCANCE DE LA MEDIDA </w:t>
      </w:r>
    </w:p>
    <w:p w14:paraId="39274074" w14:textId="77777777" w:rsidR="00F07771" w:rsidRDefault="009F427F" w:rsidP="00042598">
      <w:pPr>
        <w:tabs>
          <w:tab w:val="left" w:pos="-720"/>
        </w:tabs>
        <w:suppressAutoHyphens/>
        <w:spacing w:line="288" w:lineRule="auto"/>
        <w:ind w:firstLine="360"/>
        <w:jc w:val="both"/>
        <w:rPr>
          <w:rFonts w:ascii="Book Antiqua" w:hAnsi="Book Antiqua"/>
          <w:color w:val="000000"/>
          <w:lang w:val="es-PR"/>
        </w:rPr>
      </w:pPr>
      <w:r w:rsidRPr="00F126F3">
        <w:rPr>
          <w:rFonts w:ascii="Book Antiqua" w:hAnsi="Book Antiqua"/>
          <w:lang w:val="es-PR"/>
        </w:rPr>
        <w:tab/>
      </w:r>
      <w:r w:rsidR="001B5218" w:rsidRPr="00F126F3">
        <w:rPr>
          <w:rFonts w:ascii="Book Antiqua" w:hAnsi="Book Antiqua"/>
          <w:lang w:val="es-PR"/>
        </w:rPr>
        <w:t>El</w:t>
      </w:r>
      <w:r w:rsidR="00F146E4" w:rsidRPr="00F126F3">
        <w:rPr>
          <w:rFonts w:ascii="Book Antiqua" w:hAnsi="Book Antiqua"/>
          <w:lang w:val="es-PR"/>
        </w:rPr>
        <w:t xml:space="preserve"> </w:t>
      </w:r>
      <w:r w:rsidRPr="00F126F3">
        <w:rPr>
          <w:rFonts w:ascii="Book Antiqua" w:hAnsi="Book Antiqua"/>
          <w:lang w:val="es-PR"/>
        </w:rPr>
        <w:t>P. del S.</w:t>
      </w:r>
      <w:r w:rsidR="001B5218" w:rsidRPr="00F126F3">
        <w:rPr>
          <w:rFonts w:ascii="Book Antiqua" w:hAnsi="Book Antiqua"/>
          <w:lang w:val="es-PR"/>
        </w:rPr>
        <w:t xml:space="preserve"> </w:t>
      </w:r>
      <w:r w:rsidR="00B14970" w:rsidRPr="00F126F3">
        <w:rPr>
          <w:rFonts w:ascii="Book Antiqua" w:hAnsi="Book Antiqua"/>
          <w:lang w:val="es-PR"/>
        </w:rPr>
        <w:t xml:space="preserve">530 </w:t>
      </w:r>
      <w:r w:rsidR="001B5218" w:rsidRPr="00F126F3">
        <w:rPr>
          <w:rFonts w:ascii="Book Antiqua" w:hAnsi="Book Antiqua"/>
          <w:lang w:val="es-PR"/>
        </w:rPr>
        <w:t xml:space="preserve">según </w:t>
      </w:r>
      <w:r w:rsidR="005354C6" w:rsidRPr="00F126F3">
        <w:rPr>
          <w:rFonts w:ascii="Book Antiqua" w:hAnsi="Book Antiqua"/>
          <w:lang w:val="es-PR"/>
        </w:rPr>
        <w:t>presentado</w:t>
      </w:r>
      <w:r w:rsidR="001B5218" w:rsidRPr="00F126F3">
        <w:rPr>
          <w:rFonts w:ascii="Book Antiqua" w:hAnsi="Book Antiqua"/>
          <w:lang w:val="es-PR"/>
        </w:rPr>
        <w:t>, tiene como propósito</w:t>
      </w:r>
      <w:bookmarkStart w:id="4" w:name="_Hlk194438498"/>
      <w:r w:rsidR="00A716DD" w:rsidRPr="00F126F3">
        <w:rPr>
          <w:rFonts w:ascii="Book Antiqua" w:hAnsi="Book Antiqua"/>
          <w:lang w:val="es-PR"/>
        </w:rPr>
        <w:t xml:space="preserve"> enmendar </w:t>
      </w:r>
      <w:r w:rsidR="008474F2">
        <w:rPr>
          <w:rFonts w:ascii="Book Antiqua" w:hAnsi="Book Antiqua"/>
          <w:lang w:val="es-PR"/>
        </w:rPr>
        <w:t>el</w:t>
      </w:r>
      <w:r w:rsidR="0053735D">
        <w:rPr>
          <w:rFonts w:ascii="Book Antiqua" w:hAnsi="Book Antiqua"/>
          <w:lang w:val="es-PR"/>
        </w:rPr>
        <w:t xml:space="preserve"> </w:t>
      </w:r>
      <w:r w:rsidR="00F146E4" w:rsidRPr="00F126F3">
        <w:rPr>
          <w:rFonts w:ascii="Book Antiqua" w:hAnsi="Book Antiqua"/>
          <w:color w:val="000000"/>
          <w:lang w:val="es-PR"/>
        </w:rPr>
        <w:t xml:space="preserve">inciso (b) del </w:t>
      </w:r>
      <w:r w:rsidR="001C58DB">
        <w:rPr>
          <w:rFonts w:ascii="Book Antiqua" w:hAnsi="Book Antiqua"/>
          <w:color w:val="000000"/>
          <w:lang w:val="es-PR"/>
        </w:rPr>
        <w:t>a</w:t>
      </w:r>
      <w:r w:rsidR="00F146E4" w:rsidRPr="00F126F3">
        <w:rPr>
          <w:rFonts w:ascii="Book Antiqua" w:hAnsi="Book Antiqua"/>
          <w:color w:val="000000"/>
          <w:lang w:val="es-PR"/>
        </w:rPr>
        <w:t>rtículo 73 de la Ley</w:t>
      </w:r>
      <w:r w:rsidR="001C58DB">
        <w:rPr>
          <w:rFonts w:ascii="Book Antiqua" w:hAnsi="Book Antiqua"/>
          <w:color w:val="000000"/>
          <w:lang w:val="es-PR"/>
        </w:rPr>
        <w:t xml:space="preserve"> Núm.</w:t>
      </w:r>
      <w:r w:rsidR="00F146E4" w:rsidRPr="00F126F3">
        <w:rPr>
          <w:rFonts w:ascii="Book Antiqua" w:hAnsi="Book Antiqua"/>
          <w:color w:val="000000"/>
          <w:lang w:val="es-PR"/>
        </w:rPr>
        <w:t xml:space="preserve"> 146-2012, según enmendada</w:t>
      </w:r>
      <w:r w:rsidR="0067097E">
        <w:rPr>
          <w:rFonts w:ascii="Book Antiqua" w:hAnsi="Book Antiqua"/>
          <w:color w:val="000000"/>
          <w:lang w:val="es-PR"/>
        </w:rPr>
        <w:t>.</w:t>
      </w:r>
      <w:r w:rsidR="001C58DB">
        <w:rPr>
          <w:rStyle w:val="FootnoteReference"/>
          <w:rFonts w:ascii="Book Antiqua" w:hAnsi="Book Antiqua"/>
          <w:color w:val="000000"/>
          <w:lang w:val="es-PR"/>
        </w:rPr>
        <w:footnoteReference w:id="1"/>
      </w:r>
      <w:r w:rsidR="00F146E4" w:rsidRPr="00F126F3">
        <w:rPr>
          <w:rFonts w:ascii="Book Antiqua" w:hAnsi="Book Antiqua"/>
          <w:color w:val="000000"/>
          <w:lang w:val="es-PR"/>
        </w:rPr>
        <w:t xml:space="preserve"> El propósito de la medida</w:t>
      </w:r>
      <w:r w:rsidR="00C02C38">
        <w:rPr>
          <w:rFonts w:ascii="Book Antiqua" w:hAnsi="Book Antiqua"/>
          <w:color w:val="000000"/>
          <w:lang w:val="es-PR"/>
        </w:rPr>
        <w:t xml:space="preserve"> es</w:t>
      </w:r>
      <w:r w:rsidR="00F146E4" w:rsidRPr="00F126F3">
        <w:rPr>
          <w:rFonts w:ascii="Book Antiqua" w:hAnsi="Book Antiqua"/>
          <w:color w:val="000000"/>
          <w:lang w:val="es-PR"/>
        </w:rPr>
        <w:t xml:space="preserve"> aument</w:t>
      </w:r>
      <w:r w:rsidR="00C02C38">
        <w:rPr>
          <w:rFonts w:ascii="Book Antiqua" w:hAnsi="Book Antiqua"/>
          <w:color w:val="000000"/>
          <w:lang w:val="es-PR"/>
        </w:rPr>
        <w:t>ar</w:t>
      </w:r>
      <w:r w:rsidR="00F146E4" w:rsidRPr="00F126F3">
        <w:rPr>
          <w:rFonts w:ascii="Book Antiqua" w:hAnsi="Book Antiqua"/>
          <w:color w:val="000000"/>
          <w:lang w:val="es-PR"/>
        </w:rPr>
        <w:t xml:space="preserve"> la pena hasta treinta años</w:t>
      </w:r>
      <w:r w:rsidR="00B14970" w:rsidRPr="00F126F3">
        <w:rPr>
          <w:rFonts w:ascii="Book Antiqua" w:hAnsi="Book Antiqua"/>
          <w:color w:val="000000"/>
          <w:lang w:val="es-PR"/>
        </w:rPr>
        <w:t>.</w:t>
      </w:r>
      <w:r w:rsidR="0053735D" w:rsidRPr="00F126F3">
        <w:rPr>
          <w:rStyle w:val="FootnoteReference"/>
          <w:rFonts w:ascii="Book Antiqua" w:hAnsi="Book Antiqua"/>
          <w:color w:val="000000"/>
          <w:lang w:val="es-PR"/>
        </w:rPr>
        <w:footnoteReference w:id="2"/>
      </w:r>
    </w:p>
    <w:p w14:paraId="5B8E661C" w14:textId="6E93DA36" w:rsidR="001C58DB" w:rsidRDefault="00B14970" w:rsidP="00042598">
      <w:pPr>
        <w:tabs>
          <w:tab w:val="left" w:pos="-720"/>
        </w:tabs>
        <w:suppressAutoHyphens/>
        <w:spacing w:line="288" w:lineRule="auto"/>
        <w:ind w:firstLine="360"/>
        <w:jc w:val="both"/>
        <w:rPr>
          <w:rFonts w:ascii="Book Antiqua" w:hAnsi="Book Antiqua"/>
          <w:color w:val="000000"/>
          <w:lang w:val="es-PR"/>
        </w:rPr>
      </w:pPr>
      <w:r w:rsidRPr="00F126F3">
        <w:rPr>
          <w:rFonts w:ascii="Book Antiqua" w:hAnsi="Book Antiqua"/>
          <w:color w:val="000000"/>
          <w:lang w:val="es-PR"/>
        </w:rPr>
        <w:t xml:space="preserve"> </w:t>
      </w:r>
    </w:p>
    <w:bookmarkEnd w:id="4"/>
    <w:p w14:paraId="6EE110C6" w14:textId="1FF925FF" w:rsidR="006F51A8" w:rsidRPr="00C3289F" w:rsidRDefault="009F427F" w:rsidP="00F146E4">
      <w:pPr>
        <w:tabs>
          <w:tab w:val="left" w:pos="-720"/>
        </w:tabs>
        <w:suppressAutoHyphens/>
        <w:spacing w:line="360" w:lineRule="auto"/>
        <w:ind w:firstLine="360"/>
        <w:jc w:val="center"/>
        <w:rPr>
          <w:rFonts w:ascii="Book Antiqua" w:hAnsi="Book Antiqua"/>
          <w:spacing w:val="12"/>
          <w:lang w:val="es-PR"/>
        </w:rPr>
      </w:pPr>
      <w:r w:rsidRPr="00C3289F">
        <w:rPr>
          <w:rFonts w:ascii="Book Antiqua" w:hAnsi="Book Antiqua"/>
          <w:spacing w:val="12"/>
          <w:lang w:val="es-PR"/>
        </w:rPr>
        <w:t>ANÁLISIS DE LA MEDIDA</w:t>
      </w:r>
    </w:p>
    <w:p w14:paraId="2EBBAFA9" w14:textId="77777777" w:rsidR="00016BD1" w:rsidRPr="00B96CF8" w:rsidRDefault="00016BD1" w:rsidP="00016BD1">
      <w:pPr>
        <w:tabs>
          <w:tab w:val="left" w:pos="-720"/>
        </w:tabs>
        <w:suppressAutoHyphens/>
        <w:spacing w:line="360" w:lineRule="auto"/>
        <w:jc w:val="center"/>
        <w:rPr>
          <w:rFonts w:ascii="Book Antiqua" w:hAnsi="Book Antiqua"/>
          <w:i/>
          <w:iCs/>
          <w:smallCaps/>
          <w:lang w:val="es-PR"/>
        </w:rPr>
      </w:pPr>
      <w:r w:rsidRPr="00B96CF8">
        <w:rPr>
          <w:rFonts w:ascii="Book Antiqua" w:hAnsi="Book Antiqua"/>
          <w:i/>
          <w:iCs/>
          <w:smallCaps/>
          <w:lang w:val="es-PR"/>
        </w:rPr>
        <w:t>La reincidencia</w:t>
      </w:r>
    </w:p>
    <w:p w14:paraId="714EC134" w14:textId="2829FB3A" w:rsidR="00016BD1" w:rsidRPr="00C3289F" w:rsidRDefault="00016BD1" w:rsidP="00C3289F">
      <w:pPr>
        <w:tabs>
          <w:tab w:val="left" w:pos="-720"/>
        </w:tabs>
        <w:suppressAutoHyphens/>
        <w:spacing w:line="288" w:lineRule="auto"/>
        <w:jc w:val="both"/>
        <w:rPr>
          <w:rFonts w:ascii="Book Antiqua" w:hAnsi="Book Antiqua"/>
          <w:color w:val="000000"/>
          <w:lang w:val="es-PR"/>
        </w:rPr>
      </w:pPr>
      <w:r w:rsidRPr="00F126F3">
        <w:rPr>
          <w:rFonts w:ascii="Book Antiqua" w:hAnsi="Book Antiqua"/>
          <w:lang w:val="es-PR"/>
        </w:rPr>
        <w:tab/>
      </w:r>
      <w:r w:rsidR="00D344EE" w:rsidRPr="00C3289F">
        <w:rPr>
          <w:rFonts w:ascii="Book Antiqua" w:hAnsi="Book Antiqua"/>
          <w:color w:val="000000"/>
          <w:lang w:val="es-PR"/>
        </w:rPr>
        <w:t>El concepto de “</w:t>
      </w:r>
      <w:r w:rsidRPr="00C3289F">
        <w:rPr>
          <w:rFonts w:ascii="Book Antiqua" w:hAnsi="Book Antiqua"/>
          <w:color w:val="000000"/>
          <w:lang w:val="es-PR"/>
        </w:rPr>
        <w:t>reincidencia</w:t>
      </w:r>
      <w:r w:rsidR="00D344EE" w:rsidRPr="00C3289F">
        <w:rPr>
          <w:rFonts w:ascii="Book Antiqua" w:hAnsi="Book Antiqua"/>
          <w:color w:val="000000"/>
          <w:lang w:val="es-PR"/>
        </w:rPr>
        <w:t>”</w:t>
      </w:r>
      <w:r w:rsidRPr="00C3289F">
        <w:rPr>
          <w:rFonts w:ascii="Book Antiqua" w:hAnsi="Book Antiqua"/>
          <w:color w:val="000000"/>
          <w:lang w:val="es-PR"/>
        </w:rPr>
        <w:t>, está definid</w:t>
      </w:r>
      <w:r w:rsidR="00D344EE" w:rsidRPr="00C3289F">
        <w:rPr>
          <w:rFonts w:ascii="Book Antiqua" w:hAnsi="Book Antiqua"/>
          <w:color w:val="000000"/>
          <w:lang w:val="es-PR"/>
        </w:rPr>
        <w:t>o</w:t>
      </w:r>
      <w:r w:rsidRPr="00C3289F">
        <w:rPr>
          <w:rFonts w:ascii="Book Antiqua" w:hAnsi="Book Antiqua"/>
          <w:color w:val="000000"/>
          <w:lang w:val="es-PR"/>
        </w:rPr>
        <w:t xml:space="preserve"> en nuestro estado de derecho como aquella “[c]</w:t>
      </w:r>
      <w:proofErr w:type="spellStart"/>
      <w:r w:rsidRPr="00C3289F">
        <w:rPr>
          <w:rFonts w:ascii="Book Antiqua" w:hAnsi="Book Antiqua"/>
          <w:color w:val="000000"/>
          <w:lang w:val="es-PR"/>
        </w:rPr>
        <w:t>ircunstancia</w:t>
      </w:r>
      <w:proofErr w:type="spellEnd"/>
      <w:r w:rsidRPr="00C3289F">
        <w:rPr>
          <w:rFonts w:ascii="Book Antiqua" w:hAnsi="Book Antiqua"/>
          <w:color w:val="000000"/>
          <w:lang w:val="es-PR"/>
        </w:rPr>
        <w:t xml:space="preserve"> agravante que se aplica si en el momento de cometer un delito el autor está condenado en sentencia firme, ejecutoriamente, por otro delito comprendido en el mismo título del Código Penal y de la misma naturaleza que el que se comete, siempre que el antecedente penal no esté cancelado o no sea cancelable.”</w:t>
      </w:r>
      <w:r w:rsidRPr="00C3289F">
        <w:rPr>
          <w:color w:val="000000"/>
        </w:rPr>
        <w:footnoteReference w:id="3"/>
      </w:r>
      <w:r w:rsidRPr="00C3289F">
        <w:rPr>
          <w:rFonts w:ascii="Book Antiqua" w:hAnsi="Book Antiqua"/>
          <w:color w:val="000000"/>
          <w:lang w:val="es-PR"/>
        </w:rPr>
        <w:t xml:space="preserve"> </w:t>
      </w:r>
    </w:p>
    <w:p w14:paraId="7556EDC9" w14:textId="47678E65" w:rsidR="00016BD1" w:rsidRPr="00C3289F" w:rsidRDefault="00016BD1" w:rsidP="00826AAB">
      <w:pPr>
        <w:tabs>
          <w:tab w:val="left" w:pos="-720"/>
        </w:tabs>
        <w:suppressAutoHyphens/>
        <w:spacing w:after="240" w:line="288" w:lineRule="auto"/>
        <w:jc w:val="both"/>
        <w:rPr>
          <w:rFonts w:ascii="Book Antiqua" w:hAnsi="Book Antiqua"/>
          <w:color w:val="000000"/>
          <w:lang w:val="es-PR"/>
        </w:rPr>
      </w:pPr>
      <w:r w:rsidRPr="00C3289F">
        <w:rPr>
          <w:rFonts w:ascii="Book Antiqua" w:hAnsi="Book Antiqua"/>
          <w:color w:val="000000"/>
          <w:lang w:val="es-PR"/>
        </w:rPr>
        <w:lastRenderedPageBreak/>
        <w:tab/>
        <w:t xml:space="preserve">Esta definición es importante cuando evaluamos el P. del S. 530 y las consideraciones de política pública que </w:t>
      </w:r>
      <w:r w:rsidR="00D344EE" w:rsidRPr="00C3289F">
        <w:rPr>
          <w:rFonts w:ascii="Book Antiqua" w:hAnsi="Book Antiqua"/>
          <w:color w:val="000000"/>
          <w:lang w:val="es-PR"/>
        </w:rPr>
        <w:t>el mismo implica</w:t>
      </w:r>
      <w:r w:rsidRPr="00C3289F">
        <w:rPr>
          <w:rFonts w:ascii="Book Antiqua" w:hAnsi="Book Antiqua"/>
          <w:color w:val="000000"/>
          <w:lang w:val="es-PR"/>
        </w:rPr>
        <w:t xml:space="preserve">. Como podemos observar, las aplicaciones de las severas penas que se recomiendan en este proyecto no son para personas que cometen su primera infracción o violación al derecho penal. Se trata de normas para aquellas personas que parecen ser </w:t>
      </w:r>
      <w:r w:rsidRPr="00190840">
        <w:rPr>
          <w:rFonts w:ascii="Book Antiqua" w:hAnsi="Book Antiqua"/>
          <w:i/>
          <w:iCs/>
          <w:color w:val="000000"/>
          <w:lang w:val="es-PR"/>
        </w:rPr>
        <w:t>criminales habituales</w:t>
      </w:r>
      <w:r w:rsidRPr="00C3289F">
        <w:rPr>
          <w:rFonts w:ascii="Book Antiqua" w:hAnsi="Book Antiqua"/>
          <w:color w:val="000000"/>
          <w:lang w:val="es-PR"/>
        </w:rPr>
        <w:t xml:space="preserve"> como antes se les conocía en nuestro derecho penal. </w:t>
      </w:r>
    </w:p>
    <w:p w14:paraId="22ED28A4" w14:textId="77777777" w:rsidR="00016BD1" w:rsidRPr="00B96CF8" w:rsidRDefault="00016BD1" w:rsidP="00016BD1">
      <w:pPr>
        <w:tabs>
          <w:tab w:val="left" w:pos="-720"/>
        </w:tabs>
        <w:suppressAutoHyphens/>
        <w:spacing w:line="360" w:lineRule="auto"/>
        <w:jc w:val="center"/>
        <w:rPr>
          <w:rFonts w:ascii="Book Antiqua" w:hAnsi="Book Antiqua"/>
          <w:i/>
          <w:iCs/>
          <w:smallCaps/>
          <w:lang w:val="es-PR"/>
        </w:rPr>
      </w:pPr>
      <w:r w:rsidRPr="00B96CF8">
        <w:rPr>
          <w:rFonts w:ascii="Book Antiqua" w:hAnsi="Book Antiqua"/>
          <w:i/>
          <w:iCs/>
          <w:smallCaps/>
          <w:lang w:val="es-PR"/>
        </w:rPr>
        <w:t>La reincidencia en Puerto Rico</w:t>
      </w:r>
    </w:p>
    <w:p w14:paraId="53BD393B" w14:textId="51BA0405" w:rsidR="00554426" w:rsidRPr="00F126F3" w:rsidRDefault="009F524F" w:rsidP="00826AAB">
      <w:pPr>
        <w:tabs>
          <w:tab w:val="left" w:pos="-720"/>
        </w:tabs>
        <w:suppressAutoHyphens/>
        <w:spacing w:line="288" w:lineRule="auto"/>
        <w:ind w:firstLine="360"/>
        <w:jc w:val="both"/>
        <w:rPr>
          <w:rFonts w:ascii="Book Antiqua" w:hAnsi="Book Antiqua"/>
          <w:lang w:val="es-PR"/>
        </w:rPr>
      </w:pPr>
      <w:r w:rsidRPr="00F126F3">
        <w:rPr>
          <w:rFonts w:ascii="Book Antiqua" w:hAnsi="Book Antiqua"/>
          <w:lang w:val="es-PR"/>
        </w:rPr>
        <w:tab/>
      </w:r>
      <w:r w:rsidR="00554426" w:rsidRPr="00F126F3">
        <w:rPr>
          <w:rFonts w:ascii="Book Antiqua" w:hAnsi="Book Antiqua"/>
          <w:lang w:val="es-PR"/>
        </w:rPr>
        <w:t>En el Código Penal de Puerto Rico</w:t>
      </w:r>
      <w:r w:rsidR="00D344EE" w:rsidRPr="00F126F3">
        <w:rPr>
          <w:rFonts w:ascii="Book Antiqua" w:hAnsi="Book Antiqua"/>
          <w:lang w:val="es-PR"/>
        </w:rPr>
        <w:t xml:space="preserve"> </w:t>
      </w:r>
      <w:r w:rsidR="00554426" w:rsidRPr="00F126F3">
        <w:rPr>
          <w:rFonts w:ascii="Book Antiqua" w:hAnsi="Book Antiqua"/>
          <w:lang w:val="es-PR"/>
        </w:rPr>
        <w:t>la reincidencia se refiere a la comisión repetida de delitos graves después de haber sido previamente convicto y sentenciado</w:t>
      </w:r>
      <w:r w:rsidR="00D344EE" w:rsidRPr="00F126F3">
        <w:rPr>
          <w:rFonts w:ascii="Book Antiqua" w:hAnsi="Book Antiqua"/>
          <w:lang w:val="es-PR"/>
        </w:rPr>
        <w:t xml:space="preserve"> por un delito previamente</w:t>
      </w:r>
      <w:r w:rsidR="00554426" w:rsidRPr="00F126F3">
        <w:rPr>
          <w:rFonts w:ascii="Book Antiqua" w:hAnsi="Book Antiqua"/>
          <w:lang w:val="es-PR"/>
        </w:rPr>
        <w:t xml:space="preserve">. </w:t>
      </w:r>
      <w:r w:rsidR="00016BD1" w:rsidRPr="00F126F3">
        <w:rPr>
          <w:rFonts w:ascii="Book Antiqua" w:hAnsi="Book Antiqua"/>
          <w:lang w:val="es-PR"/>
        </w:rPr>
        <w:t>Nuestro</w:t>
      </w:r>
      <w:r w:rsidR="00554426" w:rsidRPr="00F126F3">
        <w:rPr>
          <w:rFonts w:ascii="Book Antiqua" w:hAnsi="Book Antiqua"/>
          <w:lang w:val="es-PR"/>
        </w:rPr>
        <w:t xml:space="preserve"> </w:t>
      </w:r>
      <w:r w:rsidR="00016BD1" w:rsidRPr="00F126F3">
        <w:rPr>
          <w:rFonts w:ascii="Book Antiqua" w:hAnsi="Book Antiqua"/>
          <w:lang w:val="es-PR"/>
        </w:rPr>
        <w:t xml:space="preserve">estado de derecho penal </w:t>
      </w:r>
      <w:r w:rsidR="00554426" w:rsidRPr="00F126F3">
        <w:rPr>
          <w:rFonts w:ascii="Book Antiqua" w:hAnsi="Book Antiqua"/>
          <w:lang w:val="es-PR"/>
        </w:rPr>
        <w:t>establece diferentes grados de reincidencia, cada uno con sus propias implicaciones en la pena impuesta.</w:t>
      </w:r>
    </w:p>
    <w:p w14:paraId="64464B9C" w14:textId="1F402CE8" w:rsidR="008475D7" w:rsidRDefault="00554426" w:rsidP="00826AAB">
      <w:pPr>
        <w:tabs>
          <w:tab w:val="left" w:pos="-720"/>
        </w:tabs>
        <w:suppressAutoHyphens/>
        <w:spacing w:line="288" w:lineRule="auto"/>
        <w:ind w:firstLine="360"/>
        <w:jc w:val="both"/>
        <w:rPr>
          <w:rFonts w:ascii="Book Antiqua" w:hAnsi="Book Antiqua"/>
          <w:lang w:val="es-PR"/>
        </w:rPr>
      </w:pPr>
      <w:r w:rsidRPr="00F126F3">
        <w:rPr>
          <w:rFonts w:ascii="Book Antiqua" w:hAnsi="Book Antiqua"/>
          <w:lang w:val="es-PR"/>
        </w:rPr>
        <w:tab/>
      </w:r>
      <w:r w:rsidR="00016BD1" w:rsidRPr="00F126F3">
        <w:rPr>
          <w:rFonts w:ascii="Book Antiqua" w:hAnsi="Book Antiqua"/>
          <w:lang w:val="es-PR"/>
        </w:rPr>
        <w:t>En la actualidad, e</w:t>
      </w:r>
      <w:r w:rsidRPr="00F126F3">
        <w:rPr>
          <w:rFonts w:ascii="Book Antiqua" w:hAnsi="Book Antiqua"/>
          <w:lang w:val="es-PR"/>
        </w:rPr>
        <w:t xml:space="preserve">xisten tres grados principales de reincidencia. Primero, la reincidencia simple ocurre cuando una persona, habiendo sido convicta y sentenciada por un delito grave, incurre nuevamente en otro delito grave. En estos casos, la pena fija dispuesta por ley para el delito cometido podrá aumentarse hasta un </w:t>
      </w:r>
      <w:r w:rsidR="00E20D6B" w:rsidRPr="00F126F3">
        <w:rPr>
          <w:rFonts w:ascii="Book Antiqua" w:hAnsi="Book Antiqua"/>
          <w:lang w:val="es-PR"/>
        </w:rPr>
        <w:t>25%</w:t>
      </w:r>
      <w:r w:rsidRPr="00F126F3">
        <w:rPr>
          <w:rFonts w:ascii="Book Antiqua" w:hAnsi="Book Antiqua"/>
          <w:lang w:val="es-PR"/>
        </w:rPr>
        <w:t xml:space="preserve">. Segundo, la reincidencia agravada se configura cuando una persona ha sido convicta y sentenciada anteriormente por dos o más delitos graves, cometidos y juzgados en tiempos diversos e independientes, y luego incurre nuevamente en otro delito grave. Según la ley vigente, la pena fija para el nuevo delito podrá aumentarse en un </w:t>
      </w:r>
      <w:r w:rsidR="00E20D6B" w:rsidRPr="00F126F3">
        <w:rPr>
          <w:rFonts w:ascii="Book Antiqua" w:hAnsi="Book Antiqua"/>
          <w:lang w:val="es-PR"/>
        </w:rPr>
        <w:t>50%</w:t>
      </w:r>
      <w:r w:rsidRPr="00F126F3">
        <w:rPr>
          <w:rFonts w:ascii="Book Antiqua" w:hAnsi="Book Antiqua"/>
          <w:lang w:val="es-PR"/>
        </w:rPr>
        <w:t>.</w:t>
      </w:r>
    </w:p>
    <w:p w14:paraId="6856632B" w14:textId="13077F69" w:rsidR="00016BD1" w:rsidRDefault="00554426" w:rsidP="00826AAB">
      <w:pPr>
        <w:tabs>
          <w:tab w:val="left" w:pos="-720"/>
        </w:tabs>
        <w:suppressAutoHyphens/>
        <w:spacing w:line="288" w:lineRule="auto"/>
        <w:ind w:firstLine="360"/>
        <w:jc w:val="both"/>
        <w:rPr>
          <w:rFonts w:ascii="Book Antiqua" w:hAnsi="Book Antiqua"/>
          <w:lang w:val="es-PR"/>
        </w:rPr>
      </w:pPr>
      <w:r w:rsidRPr="00F126F3">
        <w:rPr>
          <w:rFonts w:ascii="Book Antiqua" w:hAnsi="Book Antiqua"/>
          <w:lang w:val="es-PR"/>
        </w:rPr>
        <w:t xml:space="preserve"> </w:t>
      </w:r>
      <w:r w:rsidR="008475D7">
        <w:rPr>
          <w:rFonts w:ascii="Book Antiqua" w:hAnsi="Book Antiqua"/>
          <w:lang w:val="es-PR"/>
        </w:rPr>
        <w:tab/>
      </w:r>
      <w:r w:rsidRPr="00F126F3">
        <w:rPr>
          <w:rFonts w:ascii="Book Antiqua" w:hAnsi="Book Antiqua"/>
          <w:lang w:val="es-PR"/>
        </w:rPr>
        <w:t>Finalmente, la reincidencia habitual se da cuando una persona ha sido convicta y sentenciada por dos o más delitos graves, cometidos y juzgados en tiempos diversos e independientes, y posteriormente comete cualquier delito grave cuya pena fija de reclusión sea mayor de 20 años, o ciertos delitos específicos relacionados con la Ley de Explosivos, la Ley contra el Crimen Organizado, y artículos específicos de la Ley de Sustancias Controladas y la Ley de Armas. Para la reincidencia habitual, la pena a aplicar será de 99 años.</w:t>
      </w:r>
      <w:r w:rsidR="00016BD1" w:rsidRPr="00F126F3">
        <w:rPr>
          <w:rFonts w:ascii="Book Antiqua" w:hAnsi="Book Antiqua"/>
          <w:lang w:val="es-PR"/>
        </w:rPr>
        <w:t xml:space="preserve"> Los últimos dos tipos de reincidencia </w:t>
      </w:r>
      <w:r w:rsidR="00F22B8F">
        <w:rPr>
          <w:rFonts w:ascii="Book Antiqua" w:hAnsi="Book Antiqua"/>
          <w:lang w:val="es-PR"/>
        </w:rPr>
        <w:t>—</w:t>
      </w:r>
      <w:r w:rsidR="00016BD1" w:rsidRPr="00F126F3">
        <w:rPr>
          <w:rFonts w:ascii="Book Antiqua" w:hAnsi="Book Antiqua"/>
          <w:lang w:val="es-PR"/>
        </w:rPr>
        <w:t xml:space="preserve">contenidos en los incisos (b) y (c) del </w:t>
      </w:r>
      <w:r w:rsidR="00F22B8F">
        <w:rPr>
          <w:rFonts w:ascii="Book Antiqua" w:hAnsi="Book Antiqua"/>
          <w:lang w:val="es-PR"/>
        </w:rPr>
        <w:t>a</w:t>
      </w:r>
      <w:r w:rsidR="00016BD1" w:rsidRPr="00F126F3">
        <w:rPr>
          <w:rFonts w:ascii="Book Antiqua" w:hAnsi="Book Antiqua"/>
          <w:lang w:val="es-PR"/>
        </w:rPr>
        <w:t>rt. 73 del Código Penal</w:t>
      </w:r>
      <w:r w:rsidR="00F22B8F">
        <w:rPr>
          <w:rFonts w:ascii="Book Antiqua" w:hAnsi="Book Antiqua"/>
          <w:lang w:val="es-PR"/>
        </w:rPr>
        <w:t>—</w:t>
      </w:r>
      <w:r w:rsidR="00016BD1" w:rsidRPr="00F126F3">
        <w:rPr>
          <w:rFonts w:ascii="Book Antiqua" w:hAnsi="Book Antiqua"/>
          <w:lang w:val="es-PR"/>
        </w:rPr>
        <w:t xml:space="preserve"> son precisamente los que pretendemos enmendar en el P. del S. 530, de conformidad con el </w:t>
      </w:r>
      <w:proofErr w:type="spellStart"/>
      <w:r w:rsidR="00016BD1" w:rsidRPr="00F126F3">
        <w:rPr>
          <w:rFonts w:ascii="Book Antiqua" w:hAnsi="Book Antiqua"/>
          <w:lang w:val="es-PR"/>
        </w:rPr>
        <w:t>entirillado</w:t>
      </w:r>
      <w:proofErr w:type="spellEnd"/>
      <w:r w:rsidR="00016BD1" w:rsidRPr="00F126F3">
        <w:rPr>
          <w:rFonts w:ascii="Book Antiqua" w:hAnsi="Book Antiqua"/>
          <w:lang w:val="es-PR"/>
        </w:rPr>
        <w:t xml:space="preserve"> electrónico que acompañamos. </w:t>
      </w:r>
    </w:p>
    <w:p w14:paraId="5224402A" w14:textId="77777777" w:rsidR="0051181E" w:rsidRDefault="0051181E" w:rsidP="00826AAB">
      <w:pPr>
        <w:tabs>
          <w:tab w:val="left" w:pos="-720"/>
        </w:tabs>
        <w:suppressAutoHyphens/>
        <w:spacing w:line="288" w:lineRule="auto"/>
        <w:ind w:firstLine="360"/>
        <w:jc w:val="both"/>
        <w:rPr>
          <w:rFonts w:ascii="Book Antiqua" w:hAnsi="Book Antiqua"/>
          <w:lang w:val="es-PR"/>
        </w:rPr>
      </w:pPr>
    </w:p>
    <w:p w14:paraId="498FA962" w14:textId="77777777" w:rsidR="0051181E" w:rsidRDefault="0051181E" w:rsidP="00826AAB">
      <w:pPr>
        <w:tabs>
          <w:tab w:val="left" w:pos="-720"/>
        </w:tabs>
        <w:suppressAutoHyphens/>
        <w:spacing w:line="288" w:lineRule="auto"/>
        <w:ind w:firstLine="360"/>
        <w:jc w:val="both"/>
        <w:rPr>
          <w:rFonts w:ascii="Book Antiqua" w:hAnsi="Book Antiqua"/>
          <w:lang w:val="es-PR"/>
        </w:rPr>
      </w:pPr>
    </w:p>
    <w:p w14:paraId="74E5411F" w14:textId="77777777" w:rsidR="0051181E" w:rsidRDefault="0051181E" w:rsidP="00826AAB">
      <w:pPr>
        <w:tabs>
          <w:tab w:val="left" w:pos="-720"/>
        </w:tabs>
        <w:suppressAutoHyphens/>
        <w:spacing w:line="288" w:lineRule="auto"/>
        <w:ind w:firstLine="360"/>
        <w:jc w:val="both"/>
        <w:rPr>
          <w:rFonts w:ascii="Book Antiqua" w:hAnsi="Book Antiqua"/>
          <w:lang w:val="es-PR"/>
        </w:rPr>
      </w:pPr>
    </w:p>
    <w:p w14:paraId="174A7DAC" w14:textId="77777777" w:rsidR="0051181E" w:rsidRPr="00F126F3" w:rsidRDefault="0051181E" w:rsidP="00826AAB">
      <w:pPr>
        <w:tabs>
          <w:tab w:val="left" w:pos="-720"/>
        </w:tabs>
        <w:suppressAutoHyphens/>
        <w:spacing w:line="288" w:lineRule="auto"/>
        <w:ind w:firstLine="360"/>
        <w:jc w:val="both"/>
        <w:rPr>
          <w:rFonts w:ascii="Book Antiqua" w:hAnsi="Book Antiqua"/>
          <w:lang w:val="es-PR"/>
        </w:rPr>
      </w:pPr>
    </w:p>
    <w:p w14:paraId="58D83850" w14:textId="17FC5198" w:rsidR="00016BD1" w:rsidRPr="00F126F3" w:rsidRDefault="00972019" w:rsidP="001001E9">
      <w:pPr>
        <w:tabs>
          <w:tab w:val="left" w:pos="-720"/>
        </w:tabs>
        <w:suppressAutoHyphens/>
        <w:spacing w:after="240" w:line="288" w:lineRule="auto"/>
        <w:ind w:firstLine="360"/>
        <w:jc w:val="both"/>
        <w:rPr>
          <w:rFonts w:ascii="Book Antiqua" w:hAnsi="Book Antiqua"/>
          <w:lang w:val="es-PR"/>
        </w:rPr>
      </w:pPr>
      <w:r w:rsidRPr="00F126F3">
        <w:rPr>
          <w:rFonts w:ascii="Book Antiqua" w:hAnsi="Book Antiqua"/>
          <w:lang w:val="es-PR"/>
        </w:rPr>
        <w:lastRenderedPageBreak/>
        <w:tab/>
      </w:r>
      <w:r w:rsidR="00016BD1" w:rsidRPr="00F126F3">
        <w:rPr>
          <w:rFonts w:ascii="Book Antiqua" w:hAnsi="Book Antiqua"/>
          <w:lang w:val="es-PR"/>
        </w:rPr>
        <w:t>Además, para poder</w:t>
      </w:r>
      <w:r w:rsidR="00554426" w:rsidRPr="00F126F3">
        <w:rPr>
          <w:rFonts w:ascii="Book Antiqua" w:hAnsi="Book Antiqua"/>
          <w:lang w:val="es-PR"/>
        </w:rPr>
        <w:t xml:space="preserve"> determinar la reincidencia, </w:t>
      </w:r>
      <w:r w:rsidR="00016BD1" w:rsidRPr="00F126F3">
        <w:rPr>
          <w:rFonts w:ascii="Book Antiqua" w:hAnsi="Book Antiqua"/>
          <w:lang w:val="es-PR"/>
        </w:rPr>
        <w:t>el tribunal sentenciador deberá</w:t>
      </w:r>
      <w:r w:rsidR="00554426" w:rsidRPr="00F126F3">
        <w:rPr>
          <w:rFonts w:ascii="Book Antiqua" w:hAnsi="Book Antiqua"/>
          <w:lang w:val="es-PR"/>
        </w:rPr>
        <w:t xml:space="preserve"> </w:t>
      </w:r>
      <w:r w:rsidR="00D344EE" w:rsidRPr="00F126F3">
        <w:rPr>
          <w:rFonts w:ascii="Book Antiqua" w:hAnsi="Book Antiqua"/>
          <w:lang w:val="es-PR"/>
        </w:rPr>
        <w:t xml:space="preserve">tomar en consideración </w:t>
      </w:r>
      <w:r w:rsidR="00554426" w:rsidRPr="00F126F3">
        <w:rPr>
          <w:rFonts w:ascii="Book Antiqua" w:hAnsi="Book Antiqua"/>
          <w:lang w:val="es-PR"/>
        </w:rPr>
        <w:t>varias normas</w:t>
      </w:r>
      <w:r w:rsidR="00016BD1" w:rsidRPr="00F126F3">
        <w:rPr>
          <w:rFonts w:ascii="Book Antiqua" w:hAnsi="Book Antiqua"/>
          <w:lang w:val="es-PR"/>
        </w:rPr>
        <w:t>, la mayoría de ellas procesales, pero también sustantivas</w:t>
      </w:r>
      <w:r w:rsidR="00554426" w:rsidRPr="00F126F3">
        <w:rPr>
          <w:rFonts w:ascii="Book Antiqua" w:hAnsi="Book Antiqua"/>
          <w:lang w:val="es-PR"/>
        </w:rPr>
        <w:t xml:space="preserve">. No se tomará en consideración un delito anterior si entre </w:t>
      </w:r>
      <w:r w:rsidR="00C94B00">
        <w:rPr>
          <w:rFonts w:ascii="Book Antiqua" w:hAnsi="Book Antiqua"/>
          <w:lang w:val="es-PR"/>
        </w:rPr>
        <w:t>e</w:t>
      </w:r>
      <w:r w:rsidR="00554426" w:rsidRPr="00F126F3">
        <w:rPr>
          <w:rFonts w:ascii="Book Antiqua" w:hAnsi="Book Antiqua"/>
          <w:lang w:val="es-PR"/>
        </w:rPr>
        <w:t xml:space="preserve">ste y el siguiente han transcurrido 10 años desde que la persona terminó de cumplir la sentencia por dicho delito. Se considerarán las </w:t>
      </w:r>
      <w:r w:rsidR="00016BD1" w:rsidRPr="00F126F3">
        <w:rPr>
          <w:rFonts w:ascii="Book Antiqua" w:hAnsi="Book Antiqua"/>
          <w:lang w:val="es-PR"/>
        </w:rPr>
        <w:t xml:space="preserve">sentencias </w:t>
      </w:r>
      <w:r w:rsidR="00554426" w:rsidRPr="00F126F3">
        <w:rPr>
          <w:rFonts w:ascii="Book Antiqua" w:hAnsi="Book Antiqua"/>
          <w:lang w:val="es-PR"/>
        </w:rPr>
        <w:t xml:space="preserve">bajo el Código Penal </w:t>
      </w:r>
      <w:r w:rsidR="00016BD1" w:rsidRPr="00F126F3">
        <w:rPr>
          <w:rFonts w:ascii="Book Antiqua" w:hAnsi="Book Antiqua"/>
          <w:lang w:val="es-PR"/>
        </w:rPr>
        <w:t xml:space="preserve">de 2004, </w:t>
      </w:r>
      <w:r w:rsidR="00554426" w:rsidRPr="00F126F3">
        <w:rPr>
          <w:rFonts w:ascii="Book Antiqua" w:hAnsi="Book Antiqua"/>
          <w:lang w:val="es-PR"/>
        </w:rPr>
        <w:t>o bajo leyes especiales si</w:t>
      </w:r>
      <w:r w:rsidR="00016BD1" w:rsidRPr="00F126F3">
        <w:rPr>
          <w:rFonts w:ascii="Book Antiqua" w:hAnsi="Book Antiqua"/>
          <w:lang w:val="es-PR"/>
        </w:rPr>
        <w:t xml:space="preserve"> éstas fueron po</w:t>
      </w:r>
      <w:r w:rsidR="000F15A6">
        <w:rPr>
          <w:rFonts w:ascii="Book Antiqua" w:hAnsi="Book Antiqua"/>
          <w:lang w:val="es-PR"/>
        </w:rPr>
        <w:t>r</w:t>
      </w:r>
      <w:r w:rsidR="00016BD1" w:rsidRPr="00F126F3">
        <w:rPr>
          <w:rFonts w:ascii="Book Antiqua" w:hAnsi="Book Antiqua"/>
          <w:lang w:val="es-PR"/>
        </w:rPr>
        <w:t xml:space="preserve"> violaciones penales </w:t>
      </w:r>
      <w:r w:rsidR="00554426" w:rsidRPr="00F126F3">
        <w:rPr>
          <w:rFonts w:ascii="Book Antiqua" w:hAnsi="Book Antiqua"/>
          <w:lang w:val="es-PR"/>
        </w:rPr>
        <w:t xml:space="preserve">clasificadas como delito grave. También se considerará cualquier </w:t>
      </w:r>
      <w:r w:rsidR="00016BD1" w:rsidRPr="00F126F3">
        <w:rPr>
          <w:rFonts w:ascii="Book Antiqua" w:hAnsi="Book Antiqua"/>
          <w:lang w:val="es-PR"/>
        </w:rPr>
        <w:t xml:space="preserve">sentencia </w:t>
      </w:r>
      <w:r w:rsidR="00554426" w:rsidRPr="00F126F3">
        <w:rPr>
          <w:rFonts w:ascii="Book Antiqua" w:hAnsi="Book Antiqua"/>
          <w:lang w:val="es-PR"/>
        </w:rPr>
        <w:t>en jurisdicciones ajenas a Puerto Rico por un hecho que constituya un delito grave en Puerto Rico</w:t>
      </w:r>
      <w:r w:rsidR="00016BD1" w:rsidRPr="00F126F3">
        <w:rPr>
          <w:rFonts w:ascii="Book Antiqua" w:hAnsi="Book Antiqua"/>
          <w:lang w:val="es-PR"/>
        </w:rPr>
        <w:t>.</w:t>
      </w:r>
      <w:r w:rsidR="00472390">
        <w:rPr>
          <w:rFonts w:ascii="Book Antiqua" w:hAnsi="Book Antiqua"/>
          <w:lang w:val="es-PR"/>
        </w:rPr>
        <w:t xml:space="preserve"> </w:t>
      </w:r>
    </w:p>
    <w:p w14:paraId="49E78D74" w14:textId="6A7E80CC" w:rsidR="00547C79" w:rsidRPr="00B96CF8" w:rsidRDefault="000B55E0" w:rsidP="00B96CF8">
      <w:pPr>
        <w:tabs>
          <w:tab w:val="left" w:pos="-720"/>
        </w:tabs>
        <w:suppressAutoHyphens/>
        <w:spacing w:after="120" w:line="288" w:lineRule="auto"/>
        <w:ind w:firstLine="360"/>
        <w:jc w:val="center"/>
        <w:rPr>
          <w:rFonts w:ascii="Book Antiqua" w:hAnsi="Book Antiqua"/>
          <w:lang w:val="es-PR"/>
        </w:rPr>
      </w:pPr>
      <w:r w:rsidRPr="00B96CF8">
        <w:rPr>
          <w:rFonts w:ascii="Book Antiqua" w:hAnsi="Book Antiqua"/>
          <w:i/>
          <w:iCs/>
          <w:smallCaps/>
          <w:lang w:val="es-PR"/>
        </w:rPr>
        <w:t xml:space="preserve">Análisis de </w:t>
      </w:r>
      <w:r w:rsidR="004D6E6B">
        <w:rPr>
          <w:rFonts w:ascii="Book Antiqua" w:hAnsi="Book Antiqua"/>
          <w:i/>
          <w:iCs/>
          <w:smallCaps/>
          <w:lang w:val="es-PR"/>
        </w:rPr>
        <w:t>p</w:t>
      </w:r>
      <w:r w:rsidRPr="00B96CF8">
        <w:rPr>
          <w:rFonts w:ascii="Book Antiqua" w:hAnsi="Book Antiqua"/>
          <w:i/>
          <w:iCs/>
          <w:smallCaps/>
          <w:lang w:val="es-PR"/>
        </w:rPr>
        <w:t xml:space="preserve">onencias y </w:t>
      </w:r>
      <w:r w:rsidR="004D6E6B">
        <w:rPr>
          <w:rFonts w:ascii="Book Antiqua" w:hAnsi="Book Antiqua"/>
          <w:i/>
          <w:iCs/>
          <w:smallCaps/>
          <w:lang w:val="es-PR"/>
        </w:rPr>
        <w:t>d</w:t>
      </w:r>
      <w:r w:rsidRPr="00B96CF8">
        <w:rPr>
          <w:rFonts w:ascii="Book Antiqua" w:hAnsi="Book Antiqua"/>
          <w:i/>
          <w:iCs/>
          <w:smallCaps/>
          <w:lang w:val="es-PR"/>
        </w:rPr>
        <w:t>ocumentos</w:t>
      </w:r>
    </w:p>
    <w:p w14:paraId="6E5BF8E1" w14:textId="7E097D68" w:rsidR="00D9121C" w:rsidRPr="00F126F3" w:rsidRDefault="009F524F" w:rsidP="001C58DB">
      <w:pPr>
        <w:tabs>
          <w:tab w:val="left" w:pos="-720"/>
        </w:tabs>
        <w:suppressAutoHyphens/>
        <w:spacing w:line="288" w:lineRule="auto"/>
        <w:ind w:firstLine="360"/>
        <w:jc w:val="both"/>
        <w:rPr>
          <w:rFonts w:ascii="Book Antiqua" w:hAnsi="Book Antiqua"/>
          <w:spacing w:val="-3"/>
          <w:lang w:val="es-PR"/>
        </w:rPr>
      </w:pPr>
      <w:r w:rsidRPr="00F126F3">
        <w:rPr>
          <w:rFonts w:ascii="Book Antiqua" w:hAnsi="Book Antiqua"/>
          <w:lang w:val="es-PR"/>
        </w:rPr>
        <w:tab/>
      </w:r>
      <w:r w:rsidR="000B55E0" w:rsidRPr="00F126F3">
        <w:rPr>
          <w:rFonts w:ascii="Book Antiqua" w:hAnsi="Book Antiqua"/>
          <w:lang w:val="es-PR"/>
        </w:rPr>
        <w:t>Como</w:t>
      </w:r>
      <w:r w:rsidR="009154BD" w:rsidRPr="00F126F3">
        <w:rPr>
          <w:rFonts w:ascii="Book Antiqua" w:hAnsi="Book Antiqua"/>
          <w:spacing w:val="-3"/>
          <w:lang w:val="es-PR"/>
        </w:rPr>
        <w:t xml:space="preserve"> parte del estudio y evaluación del </w:t>
      </w:r>
      <w:r w:rsidR="003D2A51" w:rsidRPr="00F126F3">
        <w:rPr>
          <w:rFonts w:ascii="Book Antiqua" w:hAnsi="Book Antiqua"/>
          <w:spacing w:val="-3"/>
          <w:lang w:val="es-PR"/>
        </w:rPr>
        <w:t>P. del S. 530</w:t>
      </w:r>
      <w:r w:rsidR="00D9121C" w:rsidRPr="00F126F3">
        <w:rPr>
          <w:rFonts w:ascii="Book Antiqua" w:hAnsi="Book Antiqua"/>
          <w:spacing w:val="-3"/>
          <w:lang w:val="es-PR"/>
        </w:rPr>
        <w:t xml:space="preserve">, </w:t>
      </w:r>
      <w:r w:rsidR="003270C4" w:rsidRPr="00F126F3">
        <w:rPr>
          <w:rFonts w:ascii="Book Antiqua" w:hAnsi="Book Antiqua"/>
          <w:spacing w:val="-3"/>
          <w:lang w:val="es-PR"/>
        </w:rPr>
        <w:t xml:space="preserve">evaluamos los memoriales de: (1) </w:t>
      </w:r>
      <w:r w:rsidR="00D9121C" w:rsidRPr="00F126F3">
        <w:rPr>
          <w:rFonts w:ascii="Book Antiqua" w:hAnsi="Book Antiqua"/>
          <w:spacing w:val="-3"/>
          <w:lang w:val="es-PR"/>
        </w:rPr>
        <w:t xml:space="preserve">Departamento de </w:t>
      </w:r>
      <w:r w:rsidR="005A4243" w:rsidRPr="00F126F3">
        <w:rPr>
          <w:rFonts w:ascii="Book Antiqua" w:hAnsi="Book Antiqua"/>
          <w:spacing w:val="-3"/>
          <w:lang w:val="es-PR"/>
        </w:rPr>
        <w:t>Corrección</w:t>
      </w:r>
      <w:r w:rsidR="00D9121C" w:rsidRPr="00F126F3">
        <w:rPr>
          <w:rFonts w:ascii="Book Antiqua" w:hAnsi="Book Antiqua"/>
          <w:spacing w:val="-3"/>
          <w:lang w:val="es-PR"/>
        </w:rPr>
        <w:t xml:space="preserve"> y </w:t>
      </w:r>
      <w:r w:rsidR="005A4243" w:rsidRPr="00F126F3">
        <w:rPr>
          <w:rFonts w:ascii="Book Antiqua" w:hAnsi="Book Antiqua"/>
          <w:spacing w:val="-3"/>
          <w:lang w:val="es-PR"/>
        </w:rPr>
        <w:t>Rehabilitación</w:t>
      </w:r>
      <w:r w:rsidR="00D9121C" w:rsidRPr="00F126F3">
        <w:rPr>
          <w:rFonts w:ascii="Book Antiqua" w:hAnsi="Book Antiqua"/>
          <w:spacing w:val="-3"/>
          <w:lang w:val="es-PR"/>
        </w:rPr>
        <w:t xml:space="preserve"> </w:t>
      </w:r>
      <w:r w:rsidR="003270C4" w:rsidRPr="00F126F3">
        <w:rPr>
          <w:rFonts w:ascii="Book Antiqua" w:hAnsi="Book Antiqua"/>
          <w:spacing w:val="-3"/>
          <w:lang w:val="es-PR"/>
        </w:rPr>
        <w:t>(2) Sociedad para la Asistencia Legal y (3) Informe de la Oficina de Presupuesto de la Asamblea Legislativa de Puerto Rico (OPAL)</w:t>
      </w:r>
      <w:r w:rsidR="00D9121C" w:rsidRPr="00F126F3">
        <w:rPr>
          <w:rFonts w:ascii="Book Antiqua" w:hAnsi="Book Antiqua"/>
          <w:spacing w:val="-3"/>
          <w:lang w:val="es-PR"/>
        </w:rPr>
        <w:t>.</w:t>
      </w:r>
      <w:r w:rsidR="003270C4" w:rsidRPr="00F126F3">
        <w:rPr>
          <w:rFonts w:ascii="Book Antiqua" w:hAnsi="Book Antiqua"/>
          <w:spacing w:val="-3"/>
          <w:lang w:val="es-PR"/>
        </w:rPr>
        <w:t xml:space="preserve"> Además, evaluamos los informes que presentó la Comisión de lo Jurídico del Senado de Puerto Rico y artículos de revistas jurídicas </w:t>
      </w:r>
      <w:r w:rsidR="001001E9">
        <w:rPr>
          <w:rFonts w:ascii="Book Antiqua" w:hAnsi="Book Antiqua"/>
          <w:spacing w:val="-3"/>
          <w:lang w:val="es-PR"/>
        </w:rPr>
        <w:t>—</w:t>
      </w:r>
      <w:r w:rsidR="003270C4" w:rsidRPr="00F126F3">
        <w:rPr>
          <w:rFonts w:ascii="Book Antiqua" w:hAnsi="Book Antiqua"/>
          <w:spacing w:val="-3"/>
          <w:lang w:val="es-PR"/>
        </w:rPr>
        <w:t xml:space="preserve">estos últimos, muy ilustrativos sobre los intereses que están en pugna en el tema de la reincidencia. </w:t>
      </w:r>
    </w:p>
    <w:p w14:paraId="0DBC1E10" w14:textId="77777777" w:rsidR="0037138C" w:rsidRDefault="005A4243" w:rsidP="004A2D18">
      <w:pPr>
        <w:tabs>
          <w:tab w:val="left" w:pos="-720"/>
        </w:tabs>
        <w:suppressAutoHyphens/>
        <w:spacing w:after="240" w:line="288" w:lineRule="auto"/>
        <w:jc w:val="both"/>
        <w:rPr>
          <w:rFonts w:ascii="Book Antiqua" w:hAnsi="Book Antiqua"/>
          <w:lang w:val="es-PR"/>
        </w:rPr>
      </w:pPr>
      <w:r w:rsidRPr="00F126F3">
        <w:rPr>
          <w:rFonts w:ascii="Book Antiqua" w:hAnsi="Book Antiqua"/>
          <w:lang w:val="es-PR"/>
        </w:rPr>
        <w:tab/>
        <w:t>A</w:t>
      </w:r>
      <w:r w:rsidR="003270C4" w:rsidRPr="00F126F3">
        <w:rPr>
          <w:rFonts w:ascii="Book Antiqua" w:hAnsi="Book Antiqua"/>
          <w:lang w:val="es-PR"/>
        </w:rPr>
        <w:t xml:space="preserve"> continuación, resumimos los puntos más importantes de este análisis, de conformidad con el orden antes planteado.</w:t>
      </w:r>
    </w:p>
    <w:p w14:paraId="075E660E" w14:textId="2560C062" w:rsidR="0031145E" w:rsidRDefault="00867243" w:rsidP="0037138C">
      <w:pPr>
        <w:tabs>
          <w:tab w:val="left" w:pos="-720"/>
        </w:tabs>
        <w:suppressAutoHyphens/>
        <w:spacing w:line="288" w:lineRule="auto"/>
        <w:jc w:val="both"/>
        <w:rPr>
          <w:rFonts w:ascii="Book Antiqua" w:hAnsi="Book Antiqua"/>
          <w:lang w:val="es-PR"/>
        </w:rPr>
      </w:pPr>
      <w:r w:rsidRPr="00F126F3">
        <w:rPr>
          <w:rFonts w:ascii="Book Antiqua" w:hAnsi="Book Antiqua"/>
          <w:lang w:val="es-PR"/>
        </w:rPr>
        <w:tab/>
      </w:r>
      <w:r w:rsidR="0031145E" w:rsidRPr="00F126F3">
        <w:rPr>
          <w:rFonts w:ascii="Book Antiqua" w:hAnsi="Book Antiqua"/>
          <w:lang w:val="es-PR"/>
        </w:rPr>
        <w:t xml:space="preserve">El </w:t>
      </w:r>
      <w:r w:rsidR="0031145E" w:rsidRPr="004A2D18">
        <w:rPr>
          <w:rFonts w:ascii="Book Antiqua" w:hAnsi="Book Antiqua"/>
          <w:b/>
          <w:bCs/>
          <w:lang w:val="es-PR"/>
        </w:rPr>
        <w:t>Departamento de Corrección y Rehabilitación</w:t>
      </w:r>
      <w:r w:rsidR="0031145E" w:rsidRPr="00F126F3">
        <w:rPr>
          <w:rFonts w:ascii="Book Antiqua" w:hAnsi="Book Antiqua"/>
          <w:lang w:val="es-PR"/>
        </w:rPr>
        <w:t xml:space="preserve"> (DCR) </w:t>
      </w:r>
      <w:r w:rsidR="003270C4" w:rsidRPr="00F126F3">
        <w:rPr>
          <w:rFonts w:ascii="Book Antiqua" w:hAnsi="Book Antiqua"/>
          <w:lang w:val="es-PR"/>
        </w:rPr>
        <w:t>no tiene objeciones al</w:t>
      </w:r>
      <w:r w:rsidR="0031145E" w:rsidRPr="00F126F3">
        <w:rPr>
          <w:rFonts w:ascii="Book Antiqua" w:hAnsi="Book Antiqua"/>
          <w:lang w:val="es-PR"/>
        </w:rPr>
        <w:t xml:space="preserve"> aumento de 30 años a la pena fija dispuesta por ley para los casos de reincidencia agravada</w:t>
      </w:r>
      <w:r w:rsidR="00F84593">
        <w:rPr>
          <w:rFonts w:ascii="Book Antiqua" w:hAnsi="Book Antiqua"/>
          <w:lang w:val="es-PR"/>
        </w:rPr>
        <w:t>.</w:t>
      </w:r>
      <w:r w:rsidR="003270C4" w:rsidRPr="00F126F3">
        <w:rPr>
          <w:rStyle w:val="FootnoteReference"/>
          <w:rFonts w:ascii="Book Antiqua" w:hAnsi="Book Antiqua"/>
          <w:lang w:val="es-PR"/>
        </w:rPr>
        <w:footnoteReference w:id="4"/>
      </w:r>
      <w:r w:rsidR="0031145E" w:rsidRPr="00F126F3">
        <w:rPr>
          <w:rFonts w:ascii="Book Antiqua" w:hAnsi="Book Antiqua"/>
          <w:lang w:val="es-PR"/>
        </w:rPr>
        <w:t xml:space="preserve"> El DCR considera que este incremento </w:t>
      </w:r>
      <w:r w:rsidR="008D7A58">
        <w:rPr>
          <w:rFonts w:ascii="Book Antiqua" w:hAnsi="Book Antiqua"/>
          <w:lang w:val="es-PR"/>
        </w:rPr>
        <w:t>—</w:t>
      </w:r>
      <w:r w:rsidR="0031145E" w:rsidRPr="00F126F3">
        <w:rPr>
          <w:rFonts w:ascii="Book Antiqua" w:hAnsi="Book Antiqua"/>
          <w:lang w:val="es-PR"/>
        </w:rPr>
        <w:t>significativamente mayor que el aumento de 10 años que podría aplicarse bajo el estatuto penal vigente</w:t>
      </w:r>
      <w:r w:rsidR="008D7A58">
        <w:rPr>
          <w:rFonts w:ascii="Book Antiqua" w:hAnsi="Book Antiqua"/>
          <w:lang w:val="es-PR"/>
        </w:rPr>
        <w:t>—</w:t>
      </w:r>
      <w:r w:rsidR="0031145E" w:rsidRPr="00F126F3">
        <w:rPr>
          <w:rFonts w:ascii="Book Antiqua" w:hAnsi="Book Antiqua"/>
          <w:lang w:val="es-PR"/>
        </w:rPr>
        <w:t xml:space="preserve"> serviría como disua</w:t>
      </w:r>
      <w:r w:rsidR="008D7A58">
        <w:rPr>
          <w:rFonts w:ascii="Book Antiqua" w:hAnsi="Book Antiqua"/>
          <w:lang w:val="es-PR"/>
        </w:rPr>
        <w:t>s</w:t>
      </w:r>
      <w:r w:rsidR="0031145E" w:rsidRPr="00F126F3">
        <w:rPr>
          <w:rFonts w:ascii="Book Antiqua" w:hAnsi="Book Antiqua"/>
          <w:lang w:val="es-PR"/>
        </w:rPr>
        <w:t>i</w:t>
      </w:r>
      <w:r w:rsidR="008D7A58">
        <w:rPr>
          <w:rFonts w:ascii="Book Antiqua" w:hAnsi="Book Antiqua"/>
          <w:lang w:val="es-PR"/>
        </w:rPr>
        <w:t>vo para</w:t>
      </w:r>
      <w:r w:rsidR="0031145E" w:rsidRPr="00F126F3">
        <w:rPr>
          <w:rFonts w:ascii="Book Antiqua" w:hAnsi="Book Antiqua"/>
          <w:lang w:val="es-PR"/>
        </w:rPr>
        <w:t xml:space="preserve"> la comisión de delitos graves de manera reiterada. Además, creen que enviaría un mensaje claro a la comunidad, </w:t>
      </w:r>
      <w:r w:rsidR="004C04DB">
        <w:rPr>
          <w:rFonts w:ascii="Book Antiqua" w:hAnsi="Book Antiqua"/>
          <w:lang w:val="es-PR"/>
        </w:rPr>
        <w:t xml:space="preserve">lo cual </w:t>
      </w:r>
      <w:r w:rsidR="0031145E" w:rsidRPr="00F126F3">
        <w:rPr>
          <w:rFonts w:ascii="Book Antiqua" w:hAnsi="Book Antiqua"/>
          <w:lang w:val="es-PR"/>
        </w:rPr>
        <w:t>ayuda</w:t>
      </w:r>
      <w:r w:rsidR="004C04DB">
        <w:rPr>
          <w:rFonts w:ascii="Book Antiqua" w:hAnsi="Book Antiqua"/>
          <w:lang w:val="es-PR"/>
        </w:rPr>
        <w:t>ría</w:t>
      </w:r>
      <w:r w:rsidR="0031145E" w:rsidRPr="00F126F3">
        <w:rPr>
          <w:rFonts w:ascii="Book Antiqua" w:hAnsi="Book Antiqua"/>
          <w:lang w:val="es-PR"/>
        </w:rPr>
        <w:t xml:space="preserve"> a desvanecer el sentimiento de impunidad y frustración que experimentan los ciudadanos y las víctimas de delitos.</w:t>
      </w:r>
    </w:p>
    <w:p w14:paraId="717352AD" w14:textId="77777777" w:rsidR="0051181E" w:rsidRDefault="0051181E" w:rsidP="0037138C">
      <w:pPr>
        <w:tabs>
          <w:tab w:val="left" w:pos="-720"/>
        </w:tabs>
        <w:suppressAutoHyphens/>
        <w:spacing w:line="288" w:lineRule="auto"/>
        <w:jc w:val="both"/>
        <w:rPr>
          <w:rFonts w:ascii="Book Antiqua" w:hAnsi="Book Antiqua"/>
          <w:lang w:val="es-PR"/>
        </w:rPr>
      </w:pPr>
    </w:p>
    <w:p w14:paraId="22907567" w14:textId="77777777" w:rsidR="0051181E" w:rsidRDefault="0051181E" w:rsidP="0037138C">
      <w:pPr>
        <w:tabs>
          <w:tab w:val="left" w:pos="-720"/>
        </w:tabs>
        <w:suppressAutoHyphens/>
        <w:spacing w:line="288" w:lineRule="auto"/>
        <w:jc w:val="both"/>
        <w:rPr>
          <w:rFonts w:ascii="Book Antiqua" w:hAnsi="Book Antiqua"/>
          <w:lang w:val="es-PR"/>
        </w:rPr>
      </w:pPr>
    </w:p>
    <w:p w14:paraId="0F9BB7B4" w14:textId="77777777" w:rsidR="008D7A58" w:rsidRDefault="008D7A58" w:rsidP="0037138C">
      <w:pPr>
        <w:tabs>
          <w:tab w:val="left" w:pos="-720"/>
        </w:tabs>
        <w:suppressAutoHyphens/>
        <w:spacing w:line="288" w:lineRule="auto"/>
        <w:jc w:val="both"/>
        <w:rPr>
          <w:rFonts w:ascii="Book Antiqua" w:hAnsi="Book Antiqua"/>
          <w:lang w:val="es-PR"/>
        </w:rPr>
      </w:pPr>
    </w:p>
    <w:p w14:paraId="392BB83D" w14:textId="77777777" w:rsidR="0051181E" w:rsidRDefault="0051181E" w:rsidP="0037138C">
      <w:pPr>
        <w:tabs>
          <w:tab w:val="left" w:pos="-720"/>
        </w:tabs>
        <w:suppressAutoHyphens/>
        <w:spacing w:line="288" w:lineRule="auto"/>
        <w:jc w:val="both"/>
        <w:rPr>
          <w:rFonts w:ascii="Book Antiqua" w:hAnsi="Book Antiqua"/>
          <w:lang w:val="es-PR"/>
        </w:rPr>
      </w:pPr>
    </w:p>
    <w:p w14:paraId="283FCBCB" w14:textId="77777777" w:rsidR="0051181E" w:rsidRDefault="0051181E" w:rsidP="0037138C">
      <w:pPr>
        <w:tabs>
          <w:tab w:val="left" w:pos="-720"/>
        </w:tabs>
        <w:suppressAutoHyphens/>
        <w:spacing w:line="288" w:lineRule="auto"/>
        <w:jc w:val="both"/>
        <w:rPr>
          <w:rFonts w:ascii="Book Antiqua" w:hAnsi="Book Antiqua"/>
          <w:lang w:val="es-PR"/>
        </w:rPr>
      </w:pPr>
    </w:p>
    <w:p w14:paraId="0CB5CFB0" w14:textId="77777777" w:rsidR="0051181E" w:rsidRPr="00F126F3" w:rsidRDefault="0051181E" w:rsidP="0037138C">
      <w:pPr>
        <w:tabs>
          <w:tab w:val="left" w:pos="-720"/>
        </w:tabs>
        <w:suppressAutoHyphens/>
        <w:spacing w:line="288" w:lineRule="auto"/>
        <w:jc w:val="both"/>
        <w:rPr>
          <w:rFonts w:ascii="Book Antiqua" w:hAnsi="Book Antiqua"/>
          <w:lang w:val="es-PR"/>
        </w:rPr>
      </w:pPr>
    </w:p>
    <w:p w14:paraId="1B5E4F9A" w14:textId="038CAA27" w:rsidR="00E06433" w:rsidRDefault="0031145E" w:rsidP="00D81D5E">
      <w:pPr>
        <w:tabs>
          <w:tab w:val="left" w:pos="-720"/>
        </w:tabs>
        <w:suppressAutoHyphens/>
        <w:spacing w:after="240" w:line="288" w:lineRule="auto"/>
        <w:jc w:val="both"/>
        <w:rPr>
          <w:rFonts w:ascii="Book Antiqua" w:hAnsi="Book Antiqua"/>
          <w:lang w:val="es-PR"/>
        </w:rPr>
      </w:pPr>
      <w:r w:rsidRPr="00F126F3">
        <w:rPr>
          <w:rFonts w:ascii="Book Antiqua" w:hAnsi="Book Antiqua"/>
          <w:lang w:val="es-PR"/>
        </w:rPr>
        <w:lastRenderedPageBreak/>
        <w:tab/>
        <w:t xml:space="preserve">No obstante, el DCR enfatiza una recomendación: que los 30 años adicionales propuestos en el P. del S. 530 sean cumplidos de forma </w:t>
      </w:r>
      <w:r w:rsidR="0026288C" w:rsidRPr="00F126F3">
        <w:rPr>
          <w:rFonts w:ascii="Book Antiqua" w:hAnsi="Book Antiqua"/>
          <w:lang w:val="es-PR"/>
        </w:rPr>
        <w:t>“</w:t>
      </w:r>
      <w:r w:rsidRPr="00F126F3">
        <w:rPr>
          <w:rFonts w:ascii="Book Antiqua" w:hAnsi="Book Antiqua"/>
          <w:lang w:val="es-PR"/>
        </w:rPr>
        <w:t>natural</w:t>
      </w:r>
      <w:r w:rsidR="0026288C" w:rsidRPr="00F126F3">
        <w:rPr>
          <w:rFonts w:ascii="Book Antiqua" w:hAnsi="Book Antiqua"/>
          <w:lang w:val="es-PR"/>
        </w:rPr>
        <w:t>”</w:t>
      </w:r>
      <w:r w:rsidRPr="00F126F3">
        <w:rPr>
          <w:rFonts w:ascii="Book Antiqua" w:hAnsi="Book Antiqua"/>
          <w:lang w:val="es-PR"/>
        </w:rPr>
        <w:t>. La razón para esta recomendación es que, de no ser así, el término propuesto se beneficiaría de las bonificaciones establecidas por la Ley</w:t>
      </w:r>
      <w:r w:rsidR="001B52C7">
        <w:rPr>
          <w:rFonts w:ascii="Book Antiqua" w:hAnsi="Book Antiqua"/>
          <w:lang w:val="es-PR"/>
        </w:rPr>
        <w:t xml:space="preserve"> Núm.</w:t>
      </w:r>
      <w:r w:rsidRPr="00F126F3">
        <w:rPr>
          <w:rFonts w:ascii="Book Antiqua" w:hAnsi="Book Antiqua"/>
          <w:lang w:val="es-PR"/>
        </w:rPr>
        <w:t xml:space="preserve"> 87-2020. El DCR ilustra esta preocupación con </w:t>
      </w:r>
      <w:r w:rsidR="00426598">
        <w:rPr>
          <w:rFonts w:ascii="Book Antiqua" w:hAnsi="Book Antiqua"/>
          <w:lang w:val="es-PR"/>
        </w:rPr>
        <w:t>el</w:t>
      </w:r>
      <w:r w:rsidRPr="00F126F3">
        <w:rPr>
          <w:rFonts w:ascii="Book Antiqua" w:hAnsi="Book Antiqua"/>
          <w:lang w:val="es-PR"/>
        </w:rPr>
        <w:t xml:space="preserve"> ejemplo</w:t>
      </w:r>
      <w:r w:rsidR="00426598">
        <w:rPr>
          <w:rFonts w:ascii="Book Antiqua" w:hAnsi="Book Antiqua"/>
          <w:lang w:val="es-PR"/>
        </w:rPr>
        <w:t xml:space="preserve"> de</w:t>
      </w:r>
      <w:r w:rsidRPr="00F126F3">
        <w:rPr>
          <w:rFonts w:ascii="Book Antiqua" w:hAnsi="Book Antiqua"/>
          <w:lang w:val="es-PR"/>
        </w:rPr>
        <w:t xml:space="preserve"> una condena de 30 años por un delito bajo la Ley de Sustancias Controladas</w:t>
      </w:r>
      <w:r w:rsidR="00426598">
        <w:rPr>
          <w:rFonts w:ascii="Book Antiqua" w:hAnsi="Book Antiqua"/>
          <w:lang w:val="es-PR"/>
        </w:rPr>
        <w:t>.</w:t>
      </w:r>
      <w:r w:rsidRPr="00F126F3">
        <w:rPr>
          <w:rFonts w:ascii="Book Antiqua" w:hAnsi="Book Antiqua"/>
          <w:lang w:val="es-PR"/>
        </w:rPr>
        <w:t xml:space="preserve"> </w:t>
      </w:r>
      <w:r w:rsidR="00426598">
        <w:rPr>
          <w:rFonts w:ascii="Book Antiqua" w:hAnsi="Book Antiqua"/>
          <w:lang w:val="es-PR"/>
        </w:rPr>
        <w:t>S</w:t>
      </w:r>
      <w:r w:rsidRPr="00F126F3">
        <w:rPr>
          <w:rFonts w:ascii="Book Antiqua" w:hAnsi="Book Antiqua"/>
          <w:lang w:val="es-PR"/>
        </w:rPr>
        <w:t xml:space="preserve">i se aplican las bonificaciones de 13 días por mes por buena conducta y hasta 10 días adicionales por mes por estudios y trabajo </w:t>
      </w:r>
      <w:r w:rsidR="00426598">
        <w:rPr>
          <w:rFonts w:ascii="Book Antiqua" w:hAnsi="Book Antiqua"/>
          <w:lang w:val="es-PR"/>
        </w:rPr>
        <w:t xml:space="preserve">—para un total de </w:t>
      </w:r>
      <w:r w:rsidRPr="00F126F3">
        <w:rPr>
          <w:rFonts w:ascii="Book Antiqua" w:hAnsi="Book Antiqua"/>
          <w:lang w:val="es-PR"/>
        </w:rPr>
        <w:t>23 días bonificados</w:t>
      </w:r>
      <w:r w:rsidR="00426598">
        <w:rPr>
          <w:rFonts w:ascii="Book Antiqua" w:hAnsi="Book Antiqua"/>
          <w:lang w:val="es-PR"/>
        </w:rPr>
        <w:t>—</w:t>
      </w:r>
      <w:r w:rsidRPr="00F126F3">
        <w:rPr>
          <w:rFonts w:ascii="Book Antiqua" w:hAnsi="Book Antiqua"/>
          <w:lang w:val="es-PR"/>
        </w:rPr>
        <w:t xml:space="preserve"> resultaría en que el sentenciado cumpliría solo 7 días de cada mes de sentencia efectiva, lo que significaría cumplir únicamente 17 años de una sentencia de 30 años, sin considerar otros beneficios por programas de estudio o trabajo. Por lo tanto, para que el propósito del aumento de la pena se cumpla plenamente, la DCR insiste en que el término adicional debe ser de cumplimiento natural.</w:t>
      </w:r>
    </w:p>
    <w:p w14:paraId="43DB7229" w14:textId="3E3F1219" w:rsidR="00945BC1" w:rsidRPr="00F126F3" w:rsidRDefault="003270C4" w:rsidP="00EE095D">
      <w:pPr>
        <w:tabs>
          <w:tab w:val="left" w:pos="-720"/>
        </w:tabs>
        <w:suppressAutoHyphens/>
        <w:spacing w:after="160" w:line="288" w:lineRule="auto"/>
        <w:jc w:val="both"/>
        <w:rPr>
          <w:rFonts w:ascii="Book Antiqua" w:hAnsi="Book Antiqua"/>
          <w:lang w:val="es-PR"/>
        </w:rPr>
      </w:pPr>
      <w:r w:rsidRPr="00F126F3">
        <w:rPr>
          <w:rFonts w:ascii="Book Antiqua" w:hAnsi="Book Antiqua"/>
          <w:lang w:val="es-PR"/>
        </w:rPr>
        <w:tab/>
      </w:r>
      <w:r w:rsidR="004D6E6B">
        <w:rPr>
          <w:rFonts w:ascii="Book Antiqua" w:hAnsi="Book Antiqua"/>
          <w:lang w:val="es-PR"/>
        </w:rPr>
        <w:t>L</w:t>
      </w:r>
      <w:r w:rsidRPr="00F126F3">
        <w:rPr>
          <w:rFonts w:ascii="Book Antiqua" w:hAnsi="Book Antiqua"/>
          <w:lang w:val="es-PR"/>
        </w:rPr>
        <w:t xml:space="preserve">a </w:t>
      </w:r>
      <w:r w:rsidRPr="00E06433">
        <w:rPr>
          <w:rFonts w:ascii="Book Antiqua" w:hAnsi="Book Antiqua"/>
          <w:b/>
          <w:bCs/>
          <w:lang w:val="es-PR"/>
        </w:rPr>
        <w:t>Sociedad para la Asistencia Legal de Puerto Rico</w:t>
      </w:r>
      <w:r w:rsidRPr="00F126F3">
        <w:rPr>
          <w:rFonts w:ascii="Book Antiqua" w:hAnsi="Book Antiqua"/>
          <w:lang w:val="es-PR"/>
        </w:rPr>
        <w:t xml:space="preserve"> (SAL) no favorece el P. del S. 530.</w:t>
      </w:r>
      <w:r w:rsidRPr="00F126F3">
        <w:rPr>
          <w:rStyle w:val="FootnoteReference"/>
          <w:rFonts w:ascii="Book Antiqua" w:hAnsi="Book Antiqua"/>
          <w:lang w:val="es-PR"/>
        </w:rPr>
        <w:footnoteReference w:id="5"/>
      </w:r>
      <w:r w:rsidRPr="00F126F3">
        <w:rPr>
          <w:rFonts w:ascii="Book Antiqua" w:hAnsi="Book Antiqua"/>
          <w:lang w:val="es-PR"/>
        </w:rPr>
        <w:t xml:space="preserve"> E</w:t>
      </w:r>
      <w:r w:rsidR="00945BC1" w:rsidRPr="00F126F3">
        <w:rPr>
          <w:rFonts w:ascii="Book Antiqua" w:hAnsi="Book Antiqua"/>
          <w:lang w:val="es-PR"/>
        </w:rPr>
        <w:t>n apoyo a su posición, la SAL nos recuerda que:</w:t>
      </w:r>
    </w:p>
    <w:p w14:paraId="18BF01FA" w14:textId="042EB11B" w:rsidR="003270C4" w:rsidRPr="009B658C" w:rsidRDefault="00945BC1" w:rsidP="00EE095D">
      <w:pPr>
        <w:tabs>
          <w:tab w:val="left" w:pos="-720"/>
        </w:tabs>
        <w:suppressAutoHyphens/>
        <w:spacing w:after="160"/>
        <w:ind w:left="720" w:right="403"/>
        <w:jc w:val="both"/>
        <w:rPr>
          <w:rFonts w:ascii="Book Antiqua" w:hAnsi="Book Antiqua"/>
          <w:szCs w:val="24"/>
          <w:lang w:val="es-PR"/>
        </w:rPr>
      </w:pPr>
      <w:r w:rsidRPr="00F126F3">
        <w:rPr>
          <w:rFonts w:ascii="Book Antiqua" w:hAnsi="Book Antiqua"/>
          <w:lang w:val="es-PR"/>
        </w:rPr>
        <w:tab/>
      </w:r>
      <w:r w:rsidRPr="009B658C">
        <w:rPr>
          <w:rFonts w:ascii="Book Antiqua" w:hAnsi="Book Antiqua"/>
          <w:szCs w:val="24"/>
          <w:lang w:val="es-PR"/>
        </w:rPr>
        <w:t>La reincidencia es una circunstancia agravante que aumenta la pena de un delito. Aquel que ha cometido un delito grave y nuevamente incurre en otro delito grave será expuesto a ser sentenciado bajo las distintas modalidades de reincidencia detalladas en el Código Penal. Incluir la reincidencia como circunstancia agravante suponía tener el efecto de mitigar el sentir social de peligrosidad de aquella persona reincidente al tenerlos excluidos del resto de la población [en la libre comunidad] por un tiempo considerablemente mayor. Sin embargo, legislar para incluir la figura de la reincidencia en el Código Penal presupone la ineficacia de la imposición de una pena previa.</w:t>
      </w:r>
      <w:r w:rsidR="004D541A">
        <w:rPr>
          <w:rStyle w:val="FootnoteReference"/>
          <w:rFonts w:ascii="Book Antiqua" w:hAnsi="Book Antiqua"/>
          <w:szCs w:val="24"/>
          <w:lang w:val="es-PR"/>
        </w:rPr>
        <w:footnoteReference w:id="6"/>
      </w:r>
      <w:r w:rsidRPr="009B658C">
        <w:rPr>
          <w:rFonts w:ascii="Book Antiqua" w:hAnsi="Book Antiqua"/>
          <w:szCs w:val="24"/>
          <w:lang w:val="es-PR"/>
        </w:rPr>
        <w:t xml:space="preserve"> </w:t>
      </w:r>
    </w:p>
    <w:p w14:paraId="2BF88B2E" w14:textId="598DA70D" w:rsidR="003270C4" w:rsidRPr="00F126F3" w:rsidRDefault="00945BC1" w:rsidP="009B658C">
      <w:pPr>
        <w:tabs>
          <w:tab w:val="left" w:pos="-720"/>
        </w:tabs>
        <w:suppressAutoHyphens/>
        <w:spacing w:line="288" w:lineRule="auto"/>
        <w:jc w:val="both"/>
        <w:rPr>
          <w:rFonts w:ascii="Book Antiqua" w:hAnsi="Book Antiqua"/>
          <w:lang w:val="es-PR"/>
        </w:rPr>
      </w:pPr>
      <w:r w:rsidRPr="00F126F3">
        <w:rPr>
          <w:rFonts w:ascii="Book Antiqua" w:hAnsi="Book Antiqua"/>
          <w:lang w:val="es-PR"/>
        </w:rPr>
        <w:tab/>
        <w:t>La SAL reconoce la facultad exclusiva de esta Asamblea Legislativa para establecer las penas por las conductas que considera delito. Sin embargo, entiende que este poder del Estado “no debe infringir sobre los derechos constitucionales que le cobijan al que se enfrenta a nuestro sistema judicial, aunque el mismo lo haga en más de una ocasión.”</w:t>
      </w:r>
    </w:p>
    <w:p w14:paraId="1B39CB33" w14:textId="31A28436" w:rsidR="006B4D16" w:rsidRDefault="00945BC1" w:rsidP="009B658C">
      <w:pPr>
        <w:tabs>
          <w:tab w:val="left" w:pos="-720"/>
        </w:tabs>
        <w:suppressAutoHyphens/>
        <w:spacing w:line="288" w:lineRule="auto"/>
        <w:jc w:val="both"/>
        <w:rPr>
          <w:rFonts w:ascii="Book Antiqua" w:hAnsi="Book Antiqua"/>
          <w:lang w:val="es-PR"/>
        </w:rPr>
      </w:pPr>
      <w:r w:rsidRPr="00F126F3">
        <w:rPr>
          <w:rFonts w:ascii="Book Antiqua" w:hAnsi="Book Antiqua"/>
          <w:lang w:val="es-PR"/>
        </w:rPr>
        <w:lastRenderedPageBreak/>
        <w:tab/>
        <w:t xml:space="preserve">La SAL hace un análisis sobre la estructura y contenido del </w:t>
      </w:r>
      <w:r w:rsidR="00D750F8">
        <w:rPr>
          <w:rFonts w:ascii="Book Antiqua" w:hAnsi="Book Antiqua"/>
          <w:lang w:val="es-PR"/>
        </w:rPr>
        <w:t>a</w:t>
      </w:r>
      <w:r w:rsidRPr="00F126F3">
        <w:rPr>
          <w:rFonts w:ascii="Book Antiqua" w:hAnsi="Book Antiqua"/>
          <w:lang w:val="es-PR"/>
        </w:rPr>
        <w:t>rt. 73 del Código Penal de Puerto Rico, y entiende que el mismo no ha cumplido con su propósito original, desde que está en nuestro estado de derecho hace unos 12 años aproximadamente.</w:t>
      </w:r>
      <w:r w:rsidRPr="00F126F3">
        <w:rPr>
          <w:rStyle w:val="FootnoteReference"/>
          <w:rFonts w:ascii="Book Antiqua" w:hAnsi="Book Antiqua"/>
          <w:lang w:val="es-PR"/>
        </w:rPr>
        <w:footnoteReference w:id="7"/>
      </w:r>
      <w:r w:rsidRPr="00F126F3">
        <w:rPr>
          <w:rFonts w:ascii="Book Antiqua" w:hAnsi="Book Antiqua"/>
          <w:lang w:val="es-PR"/>
        </w:rPr>
        <w:t xml:space="preserve">  Como cuestión de hecho, esta entidad sin fines de lucro que se encarga de que se hagan valer los  derechos constitucionales y la defensa de personas acusadas de delito nos indica que está en contra de “la mano dura contra el crimen”, que entienden es uno de los </w:t>
      </w:r>
      <w:r w:rsidR="008F7F1E" w:rsidRPr="00F126F3">
        <w:rPr>
          <w:rFonts w:ascii="Book Antiqua" w:hAnsi="Book Antiqua"/>
          <w:lang w:val="es-PR"/>
        </w:rPr>
        <w:t>motivadores de esta legislación.</w:t>
      </w:r>
    </w:p>
    <w:p w14:paraId="538FD7B1" w14:textId="0690705F" w:rsidR="008F7F1E" w:rsidRPr="00F126F3" w:rsidRDefault="008F7F1E" w:rsidP="003D3BA0">
      <w:pPr>
        <w:tabs>
          <w:tab w:val="left" w:pos="-720"/>
        </w:tabs>
        <w:suppressAutoHyphens/>
        <w:spacing w:after="240" w:line="288" w:lineRule="auto"/>
        <w:jc w:val="both"/>
        <w:rPr>
          <w:rFonts w:ascii="Book Antiqua" w:hAnsi="Book Antiqua"/>
          <w:lang w:val="es-PR"/>
        </w:rPr>
      </w:pPr>
      <w:r w:rsidRPr="00F126F3">
        <w:rPr>
          <w:rFonts w:ascii="Book Antiqua" w:hAnsi="Book Antiqua"/>
          <w:lang w:val="es-PR"/>
        </w:rPr>
        <w:tab/>
        <w:t xml:space="preserve">Nos señalan </w:t>
      </w:r>
      <w:r w:rsidR="00472390">
        <w:rPr>
          <w:rFonts w:ascii="Book Antiqua" w:hAnsi="Book Antiqua"/>
          <w:lang w:val="es-PR"/>
        </w:rPr>
        <w:t>—</w:t>
      </w:r>
      <w:r w:rsidRPr="00F126F3">
        <w:rPr>
          <w:rFonts w:ascii="Book Antiqua" w:hAnsi="Book Antiqua"/>
          <w:lang w:val="es-PR"/>
        </w:rPr>
        <w:t>en conclusión</w:t>
      </w:r>
      <w:r w:rsidR="00472390">
        <w:rPr>
          <w:rFonts w:ascii="Book Antiqua" w:hAnsi="Book Antiqua"/>
          <w:lang w:val="es-PR"/>
        </w:rPr>
        <w:t>—</w:t>
      </w:r>
      <w:r w:rsidRPr="00F126F3">
        <w:rPr>
          <w:rFonts w:ascii="Book Antiqua" w:hAnsi="Book Antiqua"/>
          <w:lang w:val="es-PR"/>
        </w:rPr>
        <w:t xml:space="preserve"> que “el efecto de esta medida sería aumentar drásticamente la población carcelaria provocando que el Estado repita los errores que terminaron en el caso Morales Feliciano [sobre condiciones carcelarias de sobrepoblación] y en el hacinamiento carcelario que se tuvo que atender por muchos años. El aumento drástico en el sistema de penas no fue, no </w:t>
      </w:r>
      <w:proofErr w:type="gramStart"/>
      <w:r w:rsidRPr="00F126F3">
        <w:rPr>
          <w:rFonts w:ascii="Book Antiqua" w:hAnsi="Book Antiqua"/>
          <w:lang w:val="es-PR"/>
        </w:rPr>
        <w:t>es[</w:t>
      </w:r>
      <w:proofErr w:type="gramEnd"/>
      <w:r w:rsidRPr="00F126F3">
        <w:rPr>
          <w:rFonts w:ascii="Book Antiqua" w:hAnsi="Book Antiqua"/>
          <w:lang w:val="es-PR"/>
        </w:rPr>
        <w:t>,] ni será la alternativa para reducir la incidencia criminal. Necesitamos más oferta educativa y menos cárceles.”</w:t>
      </w:r>
    </w:p>
    <w:p w14:paraId="3DFCAF21" w14:textId="34C232F6" w:rsidR="008F7F1E" w:rsidRPr="0031331A" w:rsidRDefault="008F7F1E" w:rsidP="006E2652">
      <w:pPr>
        <w:tabs>
          <w:tab w:val="left" w:pos="-720"/>
        </w:tabs>
        <w:suppressAutoHyphens/>
        <w:spacing w:after="120" w:line="288" w:lineRule="auto"/>
        <w:jc w:val="center"/>
        <w:rPr>
          <w:rFonts w:ascii="Book Antiqua" w:hAnsi="Book Antiqua"/>
          <w:i/>
          <w:iCs/>
          <w:smallCaps/>
          <w:lang w:val="es-PR"/>
        </w:rPr>
      </w:pPr>
      <w:r w:rsidRPr="00F126F3">
        <w:rPr>
          <w:rFonts w:ascii="Book Antiqua" w:hAnsi="Book Antiqua"/>
          <w:lang w:val="es-PR"/>
        </w:rPr>
        <w:tab/>
      </w:r>
      <w:r w:rsidRPr="0031331A">
        <w:rPr>
          <w:rFonts w:ascii="Book Antiqua" w:hAnsi="Book Antiqua"/>
          <w:i/>
          <w:iCs/>
          <w:smallCaps/>
          <w:lang w:val="es-PR"/>
        </w:rPr>
        <w:t>El Proyecto del Senado 530: la expansión del castigo y el desvío del mandato rehabilitador castigo y el desvío del mandato rehabilitador en el Derecho Penal puertorriqueño en el Derecho Penal puertorriqueño</w:t>
      </w:r>
    </w:p>
    <w:p w14:paraId="7FF9C4B8" w14:textId="0CF19D4C" w:rsidR="00391809" w:rsidRPr="00F126F3" w:rsidRDefault="008F7F1E" w:rsidP="003D3BA0">
      <w:pPr>
        <w:tabs>
          <w:tab w:val="left" w:pos="-720"/>
        </w:tabs>
        <w:suppressAutoHyphens/>
        <w:spacing w:line="288" w:lineRule="auto"/>
        <w:jc w:val="both"/>
        <w:rPr>
          <w:rFonts w:ascii="Book Antiqua" w:hAnsi="Book Antiqua"/>
          <w:lang w:val="es-PR"/>
        </w:rPr>
      </w:pPr>
      <w:r w:rsidRPr="00F126F3">
        <w:rPr>
          <w:rFonts w:ascii="Book Antiqua" w:hAnsi="Book Antiqua"/>
          <w:lang w:val="es-PR"/>
        </w:rPr>
        <w:tab/>
        <w:t xml:space="preserve">Sobre este proyecto, se publicó un extenso artículo jurídico, que analiza los contornos de la legislación y presenta una muy fundamentada opinión en contra de su aprobación. Escrito por Alondra Belaval Seda y publicado por la Revista </w:t>
      </w:r>
      <w:r w:rsidR="00391809" w:rsidRPr="00F126F3">
        <w:rPr>
          <w:rFonts w:ascii="Book Antiqua" w:hAnsi="Book Antiqua"/>
          <w:lang w:val="es-PR"/>
        </w:rPr>
        <w:t>Jurídica</w:t>
      </w:r>
      <w:r w:rsidRPr="00F126F3">
        <w:rPr>
          <w:rFonts w:ascii="Book Antiqua" w:hAnsi="Book Antiqua"/>
          <w:lang w:val="es-PR"/>
        </w:rPr>
        <w:t xml:space="preserve"> IN R</w:t>
      </w:r>
      <w:r w:rsidR="00391809" w:rsidRPr="00F126F3">
        <w:rPr>
          <w:rFonts w:ascii="Book Antiqua" w:hAnsi="Book Antiqua"/>
          <w:lang w:val="es-PR"/>
        </w:rPr>
        <w:t>EV</w:t>
      </w:r>
      <w:r w:rsidRPr="00F126F3">
        <w:rPr>
          <w:rFonts w:ascii="Book Antiqua" w:hAnsi="Book Antiqua"/>
          <w:lang w:val="es-PR"/>
        </w:rPr>
        <w:t xml:space="preserve">, de la </w:t>
      </w:r>
      <w:r w:rsidR="003D0043" w:rsidRPr="00F126F3">
        <w:rPr>
          <w:rFonts w:ascii="Book Antiqua" w:hAnsi="Book Antiqua"/>
          <w:lang w:val="es-PR"/>
        </w:rPr>
        <w:t>Escuela de Derecho de la Universidad de Puerto Rico</w:t>
      </w:r>
      <w:r w:rsidRPr="00F126F3">
        <w:rPr>
          <w:rFonts w:ascii="Book Antiqua" w:hAnsi="Book Antiqua"/>
          <w:lang w:val="es-PR"/>
        </w:rPr>
        <w:t>, nos señala múltiples argumentos sobre la medida</w:t>
      </w:r>
      <w:r w:rsidR="00C80DB5">
        <w:rPr>
          <w:rFonts w:ascii="Book Antiqua" w:hAnsi="Book Antiqua"/>
          <w:lang w:val="es-PR"/>
        </w:rPr>
        <w:t>.</w:t>
      </w:r>
      <w:r w:rsidRPr="00F126F3">
        <w:rPr>
          <w:rFonts w:ascii="Book Antiqua" w:hAnsi="Book Antiqua"/>
          <w:lang w:val="es-PR"/>
        </w:rPr>
        <w:t xml:space="preserve"> </w:t>
      </w:r>
      <w:r w:rsidR="00C80DB5">
        <w:rPr>
          <w:rFonts w:ascii="Book Antiqua" w:hAnsi="Book Antiqua"/>
          <w:lang w:val="es-PR"/>
        </w:rPr>
        <w:t>A</w:t>
      </w:r>
      <w:r w:rsidRPr="00F126F3">
        <w:rPr>
          <w:rFonts w:ascii="Book Antiqua" w:hAnsi="Book Antiqua"/>
          <w:lang w:val="es-PR"/>
        </w:rPr>
        <w:t xml:space="preserve"> la vez, establec</w:t>
      </w:r>
      <w:r w:rsidR="00C80DB5">
        <w:rPr>
          <w:rFonts w:ascii="Book Antiqua" w:hAnsi="Book Antiqua"/>
          <w:lang w:val="es-PR"/>
        </w:rPr>
        <w:t>e</w:t>
      </w:r>
      <w:r w:rsidRPr="00F126F3">
        <w:rPr>
          <w:rFonts w:ascii="Book Antiqua" w:hAnsi="Book Antiqua"/>
          <w:lang w:val="es-PR"/>
        </w:rPr>
        <w:t xml:space="preserve"> los razonamientos que motivan a esta </w:t>
      </w:r>
      <w:r w:rsidR="00F126F3" w:rsidRPr="00F126F3">
        <w:rPr>
          <w:rFonts w:ascii="Book Antiqua" w:hAnsi="Book Antiqua"/>
          <w:lang w:val="es-PR"/>
        </w:rPr>
        <w:t>Asamblea</w:t>
      </w:r>
      <w:r w:rsidRPr="00F126F3">
        <w:rPr>
          <w:rFonts w:ascii="Book Antiqua" w:hAnsi="Book Antiqua"/>
          <w:lang w:val="es-PR"/>
        </w:rPr>
        <w:t xml:space="preserve"> Legislativa</w:t>
      </w:r>
      <w:r w:rsidR="00E226FE">
        <w:rPr>
          <w:rFonts w:ascii="Book Antiqua" w:hAnsi="Book Antiqua"/>
          <w:lang w:val="es-PR"/>
        </w:rPr>
        <w:t>.</w:t>
      </w:r>
      <w:r w:rsidRPr="00F126F3">
        <w:rPr>
          <w:rStyle w:val="FootnoteReference"/>
          <w:rFonts w:ascii="Book Antiqua" w:hAnsi="Book Antiqua"/>
          <w:lang w:val="es-PR"/>
        </w:rPr>
        <w:footnoteReference w:id="8"/>
      </w:r>
      <w:r w:rsidRPr="00F126F3">
        <w:rPr>
          <w:rFonts w:ascii="Book Antiqua" w:hAnsi="Book Antiqua"/>
          <w:lang w:val="es-PR"/>
        </w:rPr>
        <w:t xml:space="preserve"> </w:t>
      </w:r>
    </w:p>
    <w:p w14:paraId="2315BCEF" w14:textId="77777777" w:rsidR="0051181E" w:rsidRDefault="003D0043" w:rsidP="003D3BA0">
      <w:pPr>
        <w:tabs>
          <w:tab w:val="left" w:pos="-720"/>
        </w:tabs>
        <w:suppressAutoHyphens/>
        <w:spacing w:after="160" w:line="288" w:lineRule="auto"/>
        <w:jc w:val="both"/>
        <w:rPr>
          <w:rFonts w:ascii="Book Antiqua" w:hAnsi="Book Antiqua"/>
          <w:lang w:val="es-PR"/>
        </w:rPr>
      </w:pPr>
      <w:r w:rsidRPr="00F126F3">
        <w:rPr>
          <w:rFonts w:ascii="Book Antiqua" w:hAnsi="Book Antiqua"/>
          <w:lang w:val="es-PR"/>
        </w:rPr>
        <w:tab/>
      </w:r>
      <w:r w:rsidR="00E226FE">
        <w:rPr>
          <w:rFonts w:ascii="Book Antiqua" w:hAnsi="Book Antiqua"/>
          <w:lang w:val="es-PR"/>
        </w:rPr>
        <w:t>L</w:t>
      </w:r>
      <w:r w:rsidRPr="00F126F3">
        <w:rPr>
          <w:rFonts w:ascii="Book Antiqua" w:hAnsi="Book Antiqua"/>
          <w:lang w:val="es-PR"/>
        </w:rPr>
        <w:t xml:space="preserve">a autora reacciona a la doctrina de los “tres strikes”, que motivó la aprobación del lenguaje del </w:t>
      </w:r>
      <w:r w:rsidR="00E226FE">
        <w:rPr>
          <w:rFonts w:ascii="Book Antiqua" w:hAnsi="Book Antiqua"/>
          <w:lang w:val="es-PR"/>
        </w:rPr>
        <w:t>a</w:t>
      </w:r>
      <w:r w:rsidRPr="00F126F3">
        <w:rPr>
          <w:rFonts w:ascii="Book Antiqua" w:hAnsi="Book Antiqua"/>
          <w:lang w:val="es-PR"/>
        </w:rPr>
        <w:t>rt. 73 del Código Penal, y que de cierto motiva la presentación del P. del S. 530. La autora del artículo nos indica que, a su parecer, la presentación de esta legislación está más motivada por razones políticas que en “estudios empíricos y académicos”. Desde su punto de vista:</w:t>
      </w:r>
    </w:p>
    <w:p w14:paraId="6A154D57" w14:textId="76512C19" w:rsidR="003D0043" w:rsidRPr="00F126F3" w:rsidRDefault="003D0043" w:rsidP="003D3BA0">
      <w:pPr>
        <w:tabs>
          <w:tab w:val="left" w:pos="-720"/>
        </w:tabs>
        <w:suppressAutoHyphens/>
        <w:spacing w:after="160" w:line="288" w:lineRule="auto"/>
        <w:jc w:val="both"/>
        <w:rPr>
          <w:rFonts w:ascii="Book Antiqua" w:hAnsi="Book Antiqua"/>
          <w:lang w:val="es-PR"/>
        </w:rPr>
      </w:pPr>
      <w:r w:rsidRPr="00F126F3">
        <w:rPr>
          <w:rFonts w:ascii="Book Antiqua" w:hAnsi="Book Antiqua"/>
          <w:lang w:val="es-PR"/>
        </w:rPr>
        <w:t xml:space="preserve"> </w:t>
      </w:r>
    </w:p>
    <w:p w14:paraId="53FA1234" w14:textId="77777777" w:rsidR="003D0043" w:rsidRPr="003D3BA0" w:rsidRDefault="003D0043" w:rsidP="003D3BA0">
      <w:pPr>
        <w:tabs>
          <w:tab w:val="left" w:pos="-720"/>
        </w:tabs>
        <w:suppressAutoHyphens/>
        <w:ind w:left="720"/>
        <w:jc w:val="both"/>
        <w:rPr>
          <w:rFonts w:ascii="Book Antiqua" w:hAnsi="Book Antiqua"/>
          <w:szCs w:val="24"/>
          <w:lang w:val="es-PR"/>
        </w:rPr>
      </w:pPr>
      <w:r w:rsidRPr="003D3BA0">
        <w:rPr>
          <w:rFonts w:ascii="Book Antiqua" w:hAnsi="Book Antiqua"/>
          <w:szCs w:val="24"/>
          <w:lang w:val="es-PR"/>
        </w:rPr>
        <w:lastRenderedPageBreak/>
        <w:t>Este desplazamiento cobra particular relevancia cuando se articula desde el paradigma de </w:t>
      </w:r>
      <w:proofErr w:type="spellStart"/>
      <w:r w:rsidRPr="003D3BA0">
        <w:rPr>
          <w:rFonts w:ascii="Book Antiqua" w:hAnsi="Book Antiqua"/>
          <w:i/>
          <w:iCs/>
          <w:szCs w:val="24"/>
          <w:lang w:val="es-PR"/>
        </w:rPr>
        <w:t>three</w:t>
      </w:r>
      <w:proofErr w:type="spellEnd"/>
      <w:r w:rsidRPr="003D3BA0">
        <w:rPr>
          <w:rFonts w:ascii="Book Antiqua" w:hAnsi="Book Antiqua"/>
          <w:i/>
          <w:iCs/>
          <w:szCs w:val="24"/>
          <w:lang w:val="es-PR"/>
        </w:rPr>
        <w:t xml:space="preserve"> strikes, </w:t>
      </w:r>
      <w:proofErr w:type="spellStart"/>
      <w:r w:rsidRPr="003D3BA0">
        <w:rPr>
          <w:rFonts w:ascii="Book Antiqua" w:hAnsi="Book Antiqua"/>
          <w:i/>
          <w:iCs/>
          <w:szCs w:val="24"/>
          <w:lang w:val="es-PR"/>
        </w:rPr>
        <w:t>you’re</w:t>
      </w:r>
      <w:proofErr w:type="spellEnd"/>
      <w:r w:rsidRPr="003D3BA0">
        <w:rPr>
          <w:rFonts w:ascii="Book Antiqua" w:hAnsi="Book Antiqua"/>
          <w:i/>
          <w:iCs/>
          <w:szCs w:val="24"/>
          <w:lang w:val="es-PR"/>
        </w:rPr>
        <w:t xml:space="preserve"> </w:t>
      </w:r>
      <w:proofErr w:type="spellStart"/>
      <w:r w:rsidRPr="003D3BA0">
        <w:rPr>
          <w:rFonts w:ascii="Book Antiqua" w:hAnsi="Book Antiqua"/>
          <w:i/>
          <w:iCs/>
          <w:szCs w:val="24"/>
          <w:lang w:val="es-PR"/>
        </w:rPr>
        <w:t>out</w:t>
      </w:r>
      <w:proofErr w:type="spellEnd"/>
      <w:r w:rsidRPr="003D3BA0">
        <w:rPr>
          <w:rFonts w:ascii="Book Antiqua" w:hAnsi="Book Antiqua"/>
          <w:szCs w:val="24"/>
          <w:lang w:val="es-PR"/>
        </w:rPr>
        <w:t>, cuyo origen y efectos merecen un análisis para extraer lecciones críticas de esta política. Dicho modelo se consolidó en Estados Unidos para la década de 1990, en un contexto de temor social ante la criminalidad, en donde existía gran presión pública para recibir respuestas contundentes de parte del Estado. En ese sentido, California fue el laboratorio emblemático con la Proposición 184 de 1994, la cual estableció que un tercer delito grave, de cualquier naturaleza, podría implicar una condena de hasta veinticinco años o incluso cadena perpetua automática.</w:t>
      </w:r>
      <w:bookmarkStart w:id="5" w:name="_ftnref13"/>
      <w:r w:rsidRPr="003D3BA0">
        <w:rPr>
          <w:rFonts w:ascii="Book Antiqua" w:hAnsi="Book Antiqua"/>
          <w:szCs w:val="24"/>
          <w:lang w:val="es-PR"/>
        </w:rPr>
        <w:fldChar w:fldCharType="begin"/>
      </w:r>
      <w:r w:rsidRPr="003D3BA0">
        <w:rPr>
          <w:rFonts w:ascii="Book Antiqua" w:hAnsi="Book Antiqua"/>
          <w:szCs w:val="24"/>
          <w:lang w:val="es-PR"/>
        </w:rPr>
        <w:instrText>HYPERLINK "https://derecho.uprrp.edu/inrev/2025/11/11/el-proyecto-del-senado-530-la-expansion-del-castigo-y-el-desvio-del-mandato-rehabilitador-en-el-derecho-penal-puertorriqueno/" \l "_ftn13"</w:instrText>
      </w:r>
      <w:r w:rsidRPr="003D3BA0">
        <w:rPr>
          <w:rFonts w:ascii="Book Antiqua" w:hAnsi="Book Antiqua"/>
          <w:szCs w:val="24"/>
          <w:lang w:val="es-PR"/>
        </w:rPr>
      </w:r>
      <w:r w:rsidRPr="003D3BA0">
        <w:rPr>
          <w:rFonts w:ascii="Book Antiqua" w:hAnsi="Book Antiqua"/>
          <w:szCs w:val="24"/>
          <w:lang w:val="es-PR"/>
        </w:rPr>
        <w:fldChar w:fldCharType="separate"/>
      </w:r>
      <w:r w:rsidRPr="003D3BA0">
        <w:rPr>
          <w:rStyle w:val="Hyperlink"/>
          <w:rFonts w:ascii="Book Antiqua" w:hAnsi="Book Antiqua"/>
          <w:szCs w:val="24"/>
          <w:vertAlign w:val="superscript"/>
          <w:lang w:val="es-PR"/>
        </w:rPr>
        <w:t>[13]</w:t>
      </w:r>
      <w:r w:rsidRPr="003D3BA0">
        <w:rPr>
          <w:rFonts w:ascii="Book Antiqua" w:hAnsi="Book Antiqua"/>
          <w:szCs w:val="24"/>
          <w:lang w:val="es-PR"/>
        </w:rPr>
        <w:fldChar w:fldCharType="end"/>
      </w:r>
      <w:bookmarkEnd w:id="5"/>
      <w:r w:rsidRPr="003D3BA0">
        <w:rPr>
          <w:rFonts w:ascii="Book Antiqua" w:hAnsi="Book Antiqua"/>
          <w:szCs w:val="24"/>
          <w:lang w:val="es-PR"/>
        </w:rPr>
        <w:t> Ese modelo fue rápidamente replicado por múltiples estados e incluso fue integrado a la legislación federal. El propósito de dicha legislación era doble: incapacitar a delincuentes reincidentes y disuadirlos mediante sanciones extremas. Sin embargo, luego de décadas de su implementación, queda claro que los resultados prácticos no estuvieron a la altura de las expectativas políticas.</w:t>
      </w:r>
    </w:p>
    <w:p w14:paraId="4DFC2318" w14:textId="40CBE5DF" w:rsidR="003D0043" w:rsidRPr="003D3BA0" w:rsidRDefault="003D0043" w:rsidP="003D3BA0">
      <w:pPr>
        <w:tabs>
          <w:tab w:val="left" w:pos="-720"/>
        </w:tabs>
        <w:suppressAutoHyphens/>
        <w:spacing w:after="160"/>
        <w:ind w:left="720"/>
        <w:jc w:val="both"/>
        <w:rPr>
          <w:rFonts w:ascii="Book Antiqua" w:hAnsi="Book Antiqua"/>
          <w:szCs w:val="24"/>
          <w:lang w:val="es-PR"/>
        </w:rPr>
      </w:pPr>
      <w:r w:rsidRPr="003D3BA0">
        <w:rPr>
          <w:rFonts w:ascii="Book Antiqua" w:hAnsi="Book Antiqua"/>
          <w:szCs w:val="24"/>
          <w:lang w:val="es-PR"/>
        </w:rPr>
        <w:t>Desde su implementación, las leyes </w:t>
      </w:r>
      <w:proofErr w:type="spellStart"/>
      <w:r w:rsidRPr="003D3BA0">
        <w:rPr>
          <w:rFonts w:ascii="Book Antiqua" w:hAnsi="Book Antiqua"/>
          <w:i/>
          <w:iCs/>
          <w:szCs w:val="24"/>
          <w:lang w:val="es-PR"/>
        </w:rPr>
        <w:t>three</w:t>
      </w:r>
      <w:proofErr w:type="spellEnd"/>
      <w:r w:rsidRPr="003D3BA0">
        <w:rPr>
          <w:rFonts w:ascii="Book Antiqua" w:hAnsi="Book Antiqua"/>
          <w:i/>
          <w:iCs/>
          <w:szCs w:val="24"/>
          <w:lang w:val="es-PR"/>
        </w:rPr>
        <w:t xml:space="preserve"> strikes</w:t>
      </w:r>
      <w:r w:rsidRPr="003D3BA0">
        <w:rPr>
          <w:rFonts w:ascii="Book Antiqua" w:hAnsi="Book Antiqua"/>
          <w:szCs w:val="24"/>
          <w:lang w:val="es-PR"/>
        </w:rPr>
        <w:t> mostraron tener efectos colaterales importantes: (1) un alza considerable en las poblaciones de personas privadas de su libertad; (2) congestión judicial; (3) elevación dramática de costos correccionales, y (4) una aplicación desigual de las leyes entre condados e instituciones del Estado. Los datos empíricos han arrojado hallazgos que han resultado en debates importantes e incluso en conclusiones neutrales o negativas respecto a la reducción de la comisión de los delitos que estas leyes pretendían disminuir. Si bien se observó una disminución en el crimen, varios estudios sostienen que esta se debió mayormente a cambios demográficos, reformas de políticas policiacas y otras reformas paralelas más que a la ley </w:t>
      </w:r>
      <w:proofErr w:type="spellStart"/>
      <w:r w:rsidRPr="003D3BA0">
        <w:rPr>
          <w:rFonts w:ascii="Book Antiqua" w:hAnsi="Book Antiqua"/>
          <w:i/>
          <w:iCs/>
          <w:szCs w:val="24"/>
          <w:lang w:val="es-PR"/>
        </w:rPr>
        <w:t>three</w:t>
      </w:r>
      <w:proofErr w:type="spellEnd"/>
      <w:r w:rsidRPr="003D3BA0">
        <w:rPr>
          <w:rFonts w:ascii="Book Antiqua" w:hAnsi="Book Antiqua"/>
          <w:i/>
          <w:iCs/>
          <w:szCs w:val="24"/>
          <w:lang w:val="es-PR"/>
        </w:rPr>
        <w:t xml:space="preserve"> strikes</w:t>
      </w:r>
      <w:r w:rsidRPr="003D3BA0">
        <w:rPr>
          <w:rFonts w:ascii="Book Antiqua" w:hAnsi="Book Antiqua"/>
          <w:szCs w:val="24"/>
          <w:lang w:val="es-PR"/>
        </w:rPr>
        <w:t> en sí misma.</w:t>
      </w:r>
      <w:r w:rsidR="003D3BA0">
        <w:rPr>
          <w:rStyle w:val="FootnoteReference"/>
          <w:rFonts w:ascii="Book Antiqua" w:hAnsi="Book Antiqua"/>
          <w:szCs w:val="24"/>
          <w:lang w:val="es-PR"/>
        </w:rPr>
        <w:footnoteReference w:id="9"/>
      </w:r>
      <w:r w:rsidRPr="003D3BA0">
        <w:rPr>
          <w:rFonts w:ascii="Book Antiqua" w:hAnsi="Book Antiqua"/>
          <w:szCs w:val="24"/>
          <w:lang w:val="es-PR"/>
        </w:rPr>
        <w:t xml:space="preserve"> </w:t>
      </w:r>
    </w:p>
    <w:p w14:paraId="191E7A35" w14:textId="6F870535" w:rsidR="003D0043" w:rsidRPr="00F126F3" w:rsidRDefault="003D0043" w:rsidP="003D3BA0">
      <w:pPr>
        <w:tabs>
          <w:tab w:val="left" w:pos="-720"/>
        </w:tabs>
        <w:suppressAutoHyphens/>
        <w:spacing w:line="288" w:lineRule="auto"/>
        <w:jc w:val="both"/>
        <w:rPr>
          <w:rFonts w:ascii="Book Antiqua" w:hAnsi="Book Antiqua"/>
          <w:lang w:val="es-PR"/>
        </w:rPr>
      </w:pPr>
      <w:r w:rsidRPr="00F126F3">
        <w:rPr>
          <w:rFonts w:ascii="Book Antiqua" w:hAnsi="Book Antiqua"/>
          <w:lang w:val="es-PR"/>
        </w:rPr>
        <w:tab/>
        <w:t xml:space="preserve">La autora del artículo continúa citando la experiencia jurídica en otros estados de la Unión, así como un resumen de la jurisprudencia normativa sobre el tema de reincidencia, que es el caso del Tribunal Supremo de Estados Unidos conocido como </w:t>
      </w:r>
      <w:r w:rsidRPr="00F126F3">
        <w:rPr>
          <w:rFonts w:ascii="Book Antiqua" w:hAnsi="Book Antiqua"/>
          <w:i/>
          <w:iCs/>
          <w:lang w:val="es-PR"/>
        </w:rPr>
        <w:t>Ewing v. California</w:t>
      </w:r>
      <w:r w:rsidR="00AA3EFB">
        <w:rPr>
          <w:rFonts w:ascii="Book Antiqua" w:hAnsi="Book Antiqua"/>
          <w:i/>
          <w:iCs/>
          <w:lang w:val="es-PR"/>
        </w:rPr>
        <w:t>.</w:t>
      </w:r>
      <w:r w:rsidR="00AA3EFB">
        <w:rPr>
          <w:rStyle w:val="FootnoteReference"/>
          <w:rFonts w:ascii="Book Antiqua" w:hAnsi="Book Antiqua"/>
          <w:i/>
          <w:iCs/>
          <w:lang w:val="es-PR"/>
        </w:rPr>
        <w:footnoteReference w:id="10"/>
      </w:r>
      <w:r w:rsidRPr="00F126F3">
        <w:rPr>
          <w:rFonts w:ascii="Book Antiqua" w:hAnsi="Book Antiqua"/>
          <w:lang w:val="es-PR"/>
        </w:rPr>
        <w:t xml:space="preserve"> Ella entiende que, contrario a lo que establece el proyecto y que llevó al Senado a su aprobación, la jurisprudencia justifica un acercamiento menos punitivo cuando las personas son sentenciadas en múltiples ocasiones por múltiple comisión de delito. </w:t>
      </w:r>
    </w:p>
    <w:p w14:paraId="2EDF99E6" w14:textId="238A88ED" w:rsidR="003D0043" w:rsidRDefault="003D0043" w:rsidP="003D3BA0">
      <w:pPr>
        <w:tabs>
          <w:tab w:val="left" w:pos="-720"/>
        </w:tabs>
        <w:suppressAutoHyphens/>
        <w:spacing w:after="160" w:line="288" w:lineRule="auto"/>
        <w:jc w:val="both"/>
        <w:rPr>
          <w:rFonts w:ascii="Book Antiqua" w:hAnsi="Book Antiqua"/>
          <w:lang w:val="es-PR"/>
        </w:rPr>
      </w:pPr>
      <w:r w:rsidRPr="00F126F3">
        <w:rPr>
          <w:rFonts w:ascii="Book Antiqua" w:hAnsi="Book Antiqua"/>
          <w:lang w:val="es-PR"/>
        </w:rPr>
        <w:tab/>
        <w:t>En conclusión, nos plantea que:</w:t>
      </w:r>
    </w:p>
    <w:p w14:paraId="0FB077A9" w14:textId="77777777" w:rsidR="0051181E" w:rsidRDefault="0051181E" w:rsidP="003D3BA0">
      <w:pPr>
        <w:tabs>
          <w:tab w:val="left" w:pos="-720"/>
        </w:tabs>
        <w:suppressAutoHyphens/>
        <w:spacing w:after="160" w:line="288" w:lineRule="auto"/>
        <w:jc w:val="both"/>
        <w:rPr>
          <w:rFonts w:ascii="Book Antiqua" w:hAnsi="Book Antiqua"/>
          <w:lang w:val="es-PR"/>
        </w:rPr>
      </w:pPr>
    </w:p>
    <w:p w14:paraId="7E2B669D" w14:textId="77777777" w:rsidR="0051181E" w:rsidRPr="00F126F3" w:rsidRDefault="0051181E" w:rsidP="003D3BA0">
      <w:pPr>
        <w:tabs>
          <w:tab w:val="left" w:pos="-720"/>
        </w:tabs>
        <w:suppressAutoHyphens/>
        <w:spacing w:after="160" w:line="288" w:lineRule="auto"/>
        <w:jc w:val="both"/>
        <w:rPr>
          <w:rFonts w:ascii="Book Antiqua" w:hAnsi="Book Antiqua"/>
          <w:lang w:val="es-PR"/>
        </w:rPr>
      </w:pPr>
    </w:p>
    <w:p w14:paraId="5FF64DC7" w14:textId="77777777" w:rsidR="003D0043" w:rsidRPr="003D3BA0" w:rsidRDefault="003D0043" w:rsidP="003D3BA0">
      <w:pPr>
        <w:tabs>
          <w:tab w:val="left" w:pos="-720"/>
        </w:tabs>
        <w:suppressAutoHyphens/>
        <w:ind w:left="720"/>
        <w:jc w:val="both"/>
        <w:rPr>
          <w:rFonts w:ascii="Book Antiqua" w:hAnsi="Book Antiqua"/>
          <w:szCs w:val="24"/>
          <w:lang w:val="es-PR"/>
        </w:rPr>
      </w:pPr>
      <w:r w:rsidRPr="003D3BA0">
        <w:rPr>
          <w:rFonts w:ascii="Book Antiqua" w:hAnsi="Book Antiqua"/>
          <w:szCs w:val="24"/>
          <w:lang w:val="es-PR"/>
        </w:rPr>
        <w:lastRenderedPageBreak/>
        <w:t>Del análisis llevado a cabo emergen lecciones pertinentes para Puerto Rico. Primero, las leyes </w:t>
      </w:r>
      <w:proofErr w:type="spellStart"/>
      <w:r w:rsidRPr="003D3BA0">
        <w:rPr>
          <w:rFonts w:ascii="Book Antiqua" w:hAnsi="Book Antiqua"/>
          <w:i/>
          <w:iCs/>
          <w:szCs w:val="24"/>
          <w:lang w:val="es-PR"/>
        </w:rPr>
        <w:t>three</w:t>
      </w:r>
      <w:proofErr w:type="spellEnd"/>
      <w:r w:rsidRPr="003D3BA0">
        <w:rPr>
          <w:rFonts w:ascii="Book Antiqua" w:hAnsi="Book Antiqua"/>
          <w:i/>
          <w:iCs/>
          <w:szCs w:val="24"/>
          <w:lang w:val="es-PR"/>
        </w:rPr>
        <w:t xml:space="preserve"> strikes</w:t>
      </w:r>
      <w:r w:rsidRPr="003D3BA0">
        <w:rPr>
          <w:rFonts w:ascii="Book Antiqua" w:hAnsi="Book Antiqua"/>
          <w:szCs w:val="24"/>
          <w:lang w:val="es-PR"/>
        </w:rPr>
        <w:t> no han demostrado una eficacia robusta y sostenible por sí solas; su éxito aparente muchas veces ha sido atribuible a otros factores sistémicos. Segundo, la aplicación rígida sin ponderación individual conlleva riesgos de arbitrariedad y disparidad, particularmente en sociedades con desigualdades económicas marcadas. Tercero, los costos institucionales y presupuestarios derivados de sanciones extensas terminan sustituyendo la inversión en prevención, educación y rehabilitación. Cuarto, aunque la doctrina constitucional permite márgenes amplios, no exime a las legislaciones futuras de exposición a impugnaciones cuando el castigo automático se excede en desproporción manifiesta. Estas advertencias son particularmente pertinentes en el contexto puertorriqueño, donde los recursos correccionales y el acceso a justicia ya enfrentan limitaciones estructurales.</w:t>
      </w:r>
    </w:p>
    <w:p w14:paraId="32F42952" w14:textId="77777777" w:rsidR="003D0043" w:rsidRPr="003D3BA0" w:rsidRDefault="003D0043" w:rsidP="003D3BA0">
      <w:pPr>
        <w:tabs>
          <w:tab w:val="left" w:pos="-720"/>
        </w:tabs>
        <w:suppressAutoHyphens/>
        <w:ind w:left="720"/>
        <w:jc w:val="both"/>
        <w:rPr>
          <w:rFonts w:ascii="Book Antiqua" w:hAnsi="Book Antiqua"/>
          <w:szCs w:val="24"/>
          <w:lang w:val="es-PR"/>
        </w:rPr>
      </w:pPr>
      <w:r w:rsidRPr="003D3BA0">
        <w:rPr>
          <w:rFonts w:ascii="Book Antiqua" w:hAnsi="Book Antiqua"/>
          <w:szCs w:val="24"/>
          <w:lang w:val="es-PR"/>
        </w:rPr>
        <w:t>El P. del S. 530 representa, entonces, una versión criolla de la ideología </w:t>
      </w:r>
      <w:proofErr w:type="spellStart"/>
      <w:r w:rsidRPr="003D3BA0">
        <w:rPr>
          <w:rFonts w:ascii="Book Antiqua" w:hAnsi="Book Antiqua"/>
          <w:i/>
          <w:iCs/>
          <w:szCs w:val="24"/>
          <w:lang w:val="es-PR"/>
        </w:rPr>
        <w:t>three</w:t>
      </w:r>
      <w:proofErr w:type="spellEnd"/>
      <w:r w:rsidRPr="003D3BA0">
        <w:rPr>
          <w:rFonts w:ascii="Book Antiqua" w:hAnsi="Book Antiqua"/>
          <w:i/>
          <w:iCs/>
          <w:szCs w:val="24"/>
          <w:lang w:val="es-PR"/>
        </w:rPr>
        <w:t xml:space="preserve"> strikes, </w:t>
      </w:r>
      <w:proofErr w:type="spellStart"/>
      <w:r w:rsidRPr="003D3BA0">
        <w:rPr>
          <w:rFonts w:ascii="Book Antiqua" w:hAnsi="Book Antiqua"/>
          <w:i/>
          <w:iCs/>
          <w:szCs w:val="24"/>
          <w:lang w:val="es-PR"/>
        </w:rPr>
        <w:t>you’re</w:t>
      </w:r>
      <w:proofErr w:type="spellEnd"/>
      <w:r w:rsidRPr="003D3BA0">
        <w:rPr>
          <w:rFonts w:ascii="Book Antiqua" w:hAnsi="Book Antiqua"/>
          <w:i/>
          <w:iCs/>
          <w:szCs w:val="24"/>
          <w:lang w:val="es-PR"/>
        </w:rPr>
        <w:t xml:space="preserve"> </w:t>
      </w:r>
      <w:proofErr w:type="spellStart"/>
      <w:r w:rsidRPr="003D3BA0">
        <w:rPr>
          <w:rFonts w:ascii="Book Antiqua" w:hAnsi="Book Antiqua"/>
          <w:i/>
          <w:iCs/>
          <w:szCs w:val="24"/>
          <w:lang w:val="es-PR"/>
        </w:rPr>
        <w:t>out</w:t>
      </w:r>
      <w:proofErr w:type="spellEnd"/>
      <w:r w:rsidRPr="003D3BA0">
        <w:rPr>
          <w:rFonts w:ascii="Book Antiqua" w:hAnsi="Book Antiqua"/>
          <w:szCs w:val="24"/>
          <w:lang w:val="es-PR"/>
        </w:rPr>
        <w:t>: sustituye la razonabilidad penal por la amenaza del castigo máximo sin consideración al contexto del individuo ni del delito concreto. Su aprobación sin vistas públicas, sin participación de expertos y juristas y mediante un debate legislativo apresurado, revela una decisión política más simbólica que técnica. Al despojar de discreción judicial y fijar un suplemento draconiano de treinta años, el proyecto compromete los principios de proporcionalidad y justicia individual, pilares esenciales del estado de derecho, así como el llamado constitucional a la rehabilitación y reinserción social. Más aún, su misma lógica contradice los resultados que establecen claramente que el endurecimiento automático de penas resulta insuficiente para atender las raíces del delito y que la disuasión no opera con la simplicidad que la retórica punitiva propone.</w:t>
      </w:r>
    </w:p>
    <w:p w14:paraId="61AE1E23" w14:textId="50627517" w:rsidR="003D0043" w:rsidRPr="003D3BA0" w:rsidRDefault="003D0043" w:rsidP="003D3BA0">
      <w:pPr>
        <w:tabs>
          <w:tab w:val="left" w:pos="-720"/>
        </w:tabs>
        <w:suppressAutoHyphens/>
        <w:spacing w:after="160"/>
        <w:ind w:left="720"/>
        <w:jc w:val="both"/>
        <w:rPr>
          <w:rFonts w:ascii="Book Antiqua" w:hAnsi="Book Antiqua"/>
          <w:szCs w:val="24"/>
          <w:lang w:val="es-PR"/>
        </w:rPr>
      </w:pPr>
      <w:r w:rsidRPr="003D3BA0">
        <w:rPr>
          <w:rFonts w:ascii="Book Antiqua" w:hAnsi="Book Antiqua"/>
          <w:szCs w:val="24"/>
          <w:lang w:val="es-PR"/>
        </w:rPr>
        <w:t xml:space="preserve">Las raíces de los crímenes más serios son conocidas y aceptadas por la comunidad académica y los profesionales que atienden dichas situaciones. </w:t>
      </w:r>
      <w:r w:rsidRPr="003D3BA0">
        <w:rPr>
          <w:rFonts w:ascii="Book Antiqua" w:hAnsi="Book Antiqua"/>
          <w:b/>
          <w:bCs/>
          <w:szCs w:val="24"/>
          <w:lang w:val="es-PR"/>
        </w:rPr>
        <w:t>No dudo de la motivación genuina de algunas legisladoras de proteger la convivencia social, reducir la violencia y facilitar la reinserción humana, pero en este caso evidentemente nos encaminamos en la dirección incorrecta.</w:t>
      </w:r>
      <w:r w:rsidRPr="003D3BA0">
        <w:rPr>
          <w:rFonts w:ascii="Book Antiqua" w:hAnsi="Book Antiqua"/>
          <w:szCs w:val="24"/>
          <w:lang w:val="es-PR"/>
        </w:rPr>
        <w:t xml:space="preserve"> Por eso, la respuesta punitiva solo nos acerca a un marco ideológico que busca castigar con el efecto del abandono a las comunidades empobrecidas del país en el proceso.</w:t>
      </w:r>
      <w:r w:rsidR="003D3BA0">
        <w:rPr>
          <w:rStyle w:val="FootnoteReference"/>
          <w:rFonts w:ascii="Book Antiqua" w:hAnsi="Book Antiqua"/>
          <w:szCs w:val="24"/>
          <w:lang w:val="es-PR"/>
        </w:rPr>
        <w:footnoteReference w:id="11"/>
      </w:r>
      <w:r w:rsidRPr="003D3BA0">
        <w:rPr>
          <w:rFonts w:ascii="Book Antiqua" w:hAnsi="Book Antiqua"/>
          <w:szCs w:val="24"/>
          <w:lang w:val="es-PR"/>
        </w:rPr>
        <w:t xml:space="preserve"> </w:t>
      </w:r>
    </w:p>
    <w:p w14:paraId="22DBD382" w14:textId="1DCF4412" w:rsidR="00C2490A" w:rsidRDefault="003D3BA0" w:rsidP="003D3BA0">
      <w:pPr>
        <w:tabs>
          <w:tab w:val="left" w:pos="-720"/>
        </w:tabs>
        <w:suppressAutoHyphens/>
        <w:spacing w:line="288" w:lineRule="auto"/>
        <w:jc w:val="both"/>
        <w:rPr>
          <w:rFonts w:ascii="Book Antiqua" w:hAnsi="Book Antiqua"/>
          <w:lang w:val="es-PR"/>
        </w:rPr>
      </w:pPr>
      <w:r>
        <w:rPr>
          <w:rFonts w:ascii="Book Antiqua" w:hAnsi="Book Antiqua"/>
          <w:lang w:val="es-PR"/>
        </w:rPr>
        <w:tab/>
      </w:r>
      <w:r w:rsidR="00F43ADF">
        <w:rPr>
          <w:rFonts w:ascii="Book Antiqua" w:hAnsi="Book Antiqua"/>
          <w:lang w:val="es-PR"/>
        </w:rPr>
        <w:t>E</w:t>
      </w:r>
      <w:r w:rsidR="006818DD" w:rsidRPr="00F126F3">
        <w:rPr>
          <w:rFonts w:ascii="Book Antiqua" w:hAnsi="Book Antiqua"/>
          <w:lang w:val="es-PR"/>
        </w:rPr>
        <w:t xml:space="preserve">stos planteamientos, así como otros que señalaremos más adelante, nos motivan a entender que el término seleccionado por el Senado </w:t>
      </w:r>
      <w:r w:rsidR="00F43ADF">
        <w:rPr>
          <w:rFonts w:ascii="Book Antiqua" w:hAnsi="Book Antiqua"/>
          <w:lang w:val="es-PR"/>
        </w:rPr>
        <w:t>fue</w:t>
      </w:r>
      <w:r w:rsidR="006818DD" w:rsidRPr="00F126F3">
        <w:rPr>
          <w:rFonts w:ascii="Book Antiqua" w:hAnsi="Book Antiqua"/>
          <w:lang w:val="es-PR"/>
        </w:rPr>
        <w:t xml:space="preserve"> muy alto. Treinta años parecen ser más de un tercio de la edad promedio de una persona en Puerto Rico. </w:t>
      </w:r>
    </w:p>
    <w:p w14:paraId="456E8B46" w14:textId="77777777" w:rsidR="00CA6920" w:rsidRDefault="00CA6920" w:rsidP="003D3BA0">
      <w:pPr>
        <w:tabs>
          <w:tab w:val="left" w:pos="-720"/>
        </w:tabs>
        <w:suppressAutoHyphens/>
        <w:spacing w:line="288" w:lineRule="auto"/>
        <w:jc w:val="both"/>
        <w:rPr>
          <w:rFonts w:ascii="Book Antiqua" w:hAnsi="Book Antiqua"/>
          <w:lang w:val="es-PR"/>
        </w:rPr>
      </w:pPr>
    </w:p>
    <w:p w14:paraId="3EAC6953" w14:textId="77777777" w:rsidR="00CA6920" w:rsidRDefault="00CA6920" w:rsidP="003D3BA0">
      <w:pPr>
        <w:tabs>
          <w:tab w:val="left" w:pos="-720"/>
        </w:tabs>
        <w:suppressAutoHyphens/>
        <w:spacing w:line="288" w:lineRule="auto"/>
        <w:jc w:val="both"/>
        <w:rPr>
          <w:rFonts w:ascii="Book Antiqua" w:hAnsi="Book Antiqua"/>
          <w:lang w:val="es-PR"/>
        </w:rPr>
      </w:pPr>
    </w:p>
    <w:p w14:paraId="5928C3F9" w14:textId="0794A0F9" w:rsidR="003A06E8" w:rsidRPr="00C2490A" w:rsidRDefault="003A06E8" w:rsidP="006E2652">
      <w:pPr>
        <w:tabs>
          <w:tab w:val="left" w:pos="-720"/>
        </w:tabs>
        <w:suppressAutoHyphens/>
        <w:spacing w:line="288" w:lineRule="auto"/>
        <w:jc w:val="center"/>
        <w:rPr>
          <w:rFonts w:ascii="Book Antiqua" w:hAnsi="Book Antiqua"/>
          <w:i/>
          <w:iCs/>
          <w:smallCaps/>
          <w:lang w:val="es-PR"/>
        </w:rPr>
      </w:pPr>
      <w:r w:rsidRPr="00C2490A">
        <w:rPr>
          <w:rFonts w:ascii="Book Antiqua" w:hAnsi="Book Antiqua"/>
          <w:i/>
          <w:iCs/>
          <w:smallCaps/>
          <w:lang w:val="es-PR"/>
        </w:rPr>
        <w:lastRenderedPageBreak/>
        <w:t>IMPACTO FISCAL</w:t>
      </w:r>
    </w:p>
    <w:p w14:paraId="08AD226F" w14:textId="1F6EC277" w:rsidR="003A06E8" w:rsidRDefault="003A06E8" w:rsidP="00325144">
      <w:pPr>
        <w:tabs>
          <w:tab w:val="left" w:pos="-720"/>
        </w:tabs>
        <w:suppressAutoHyphens/>
        <w:spacing w:after="240" w:line="288" w:lineRule="auto"/>
        <w:jc w:val="both"/>
        <w:rPr>
          <w:rFonts w:ascii="Book Antiqua" w:hAnsi="Book Antiqua"/>
          <w:lang w:val="es-PR"/>
        </w:rPr>
      </w:pPr>
      <w:r w:rsidRPr="00F126F3">
        <w:rPr>
          <w:rFonts w:ascii="Book Antiqua" w:hAnsi="Book Antiqua"/>
          <w:lang w:val="es-PR"/>
        </w:rPr>
        <w:tab/>
        <w:t>De conformidad con las disposiciones de la Ley Federal conocida como PROMESA</w:t>
      </w:r>
      <w:r w:rsidR="008C5091">
        <w:rPr>
          <w:rFonts w:ascii="Book Antiqua" w:hAnsi="Book Antiqua"/>
          <w:lang w:val="es-PR"/>
        </w:rPr>
        <w:t>,</w:t>
      </w:r>
      <w:r w:rsidRPr="00F126F3">
        <w:rPr>
          <w:rStyle w:val="FootnoteReference"/>
          <w:rFonts w:ascii="Book Antiqua" w:hAnsi="Book Antiqua"/>
          <w:lang w:val="es-PR"/>
        </w:rPr>
        <w:footnoteReference w:id="12"/>
      </w:r>
      <w:r w:rsidRPr="00F126F3">
        <w:rPr>
          <w:rFonts w:ascii="Book Antiqua" w:hAnsi="Book Antiqua"/>
          <w:lang w:val="es-PR"/>
        </w:rPr>
        <w:t xml:space="preserve"> esta Asamblea Legislativa tiene la obligación de </w:t>
      </w:r>
      <w:r w:rsidR="00325144">
        <w:rPr>
          <w:rFonts w:ascii="Book Antiqua" w:hAnsi="Book Antiqua"/>
          <w:lang w:val="es-PR"/>
        </w:rPr>
        <w:t>auscultar el impacto fiscal de la legislación ante su consideración.</w:t>
      </w:r>
      <w:r w:rsidRPr="00F126F3">
        <w:rPr>
          <w:rFonts w:ascii="Book Antiqua" w:hAnsi="Book Antiqua"/>
          <w:lang w:val="es-PR"/>
        </w:rPr>
        <w:t xml:space="preserve"> </w:t>
      </w:r>
      <w:r w:rsidR="0055386A">
        <w:rPr>
          <w:rFonts w:ascii="Book Antiqua" w:hAnsi="Book Antiqua"/>
          <w:lang w:val="es-PR"/>
        </w:rPr>
        <w:t xml:space="preserve">Tal impacto debe ser </w:t>
      </w:r>
      <w:r w:rsidRPr="00F126F3">
        <w:rPr>
          <w:rFonts w:ascii="Book Antiqua" w:hAnsi="Book Antiqua"/>
          <w:lang w:val="es-PR"/>
        </w:rPr>
        <w:t xml:space="preserve">consistente con el Plan Fiscal Certificado del Gobierno de Puerto Rico. </w:t>
      </w:r>
      <w:r w:rsidR="003A5592">
        <w:rPr>
          <w:rFonts w:ascii="Book Antiqua" w:hAnsi="Book Antiqua"/>
          <w:lang w:val="es-PR"/>
        </w:rPr>
        <w:t>L</w:t>
      </w:r>
      <w:r w:rsidR="003A5592" w:rsidRPr="00F126F3">
        <w:rPr>
          <w:rFonts w:ascii="Book Antiqua" w:hAnsi="Book Antiqua"/>
          <w:lang w:val="es-PR"/>
        </w:rPr>
        <w:t>a Oficina de Presupuesto de la Asamblea Legislativa (OPAL)</w:t>
      </w:r>
      <w:r w:rsidR="003A5592">
        <w:rPr>
          <w:rFonts w:ascii="Book Antiqua" w:hAnsi="Book Antiqua"/>
          <w:lang w:val="es-PR"/>
        </w:rPr>
        <w:t xml:space="preserve"> </w:t>
      </w:r>
      <w:r w:rsidR="00107E60">
        <w:rPr>
          <w:rFonts w:ascii="Book Antiqua" w:hAnsi="Book Antiqua"/>
          <w:lang w:val="es-PR"/>
        </w:rPr>
        <w:t xml:space="preserve">evaluó </w:t>
      </w:r>
      <w:r w:rsidR="003A5592">
        <w:rPr>
          <w:rFonts w:ascii="Book Antiqua" w:hAnsi="Book Antiqua"/>
          <w:lang w:val="es-PR"/>
        </w:rPr>
        <w:t>esta medida y c</w:t>
      </w:r>
      <w:r w:rsidR="00107E60">
        <w:rPr>
          <w:rFonts w:ascii="Book Antiqua" w:hAnsi="Book Antiqua"/>
          <w:lang w:val="es-PR"/>
        </w:rPr>
        <w:t xml:space="preserve">oncluyó que la misma no tendría </w:t>
      </w:r>
      <w:r w:rsidRPr="00774F0C">
        <w:rPr>
          <w:rFonts w:ascii="Book Antiqua" w:hAnsi="Book Antiqua"/>
          <w:lang w:val="es-PR"/>
        </w:rPr>
        <w:t>impacto fiscal</w:t>
      </w:r>
      <w:r w:rsidRPr="00F126F3">
        <w:rPr>
          <w:rFonts w:ascii="Book Antiqua" w:hAnsi="Book Antiqua"/>
          <w:lang w:val="es-PR"/>
        </w:rPr>
        <w:t>.</w:t>
      </w:r>
      <w:r w:rsidRPr="00F126F3">
        <w:rPr>
          <w:rStyle w:val="FootnoteReference"/>
          <w:rFonts w:ascii="Book Antiqua" w:hAnsi="Book Antiqua"/>
          <w:lang w:val="es-PR"/>
        </w:rPr>
        <w:footnoteReference w:id="13"/>
      </w:r>
    </w:p>
    <w:p w14:paraId="482AC70D" w14:textId="77777777" w:rsidR="0096171F" w:rsidRPr="00C2490A" w:rsidRDefault="0096171F" w:rsidP="00F146E4">
      <w:pPr>
        <w:tabs>
          <w:tab w:val="left" w:pos="-720"/>
        </w:tabs>
        <w:suppressAutoHyphens/>
        <w:spacing w:line="360" w:lineRule="auto"/>
        <w:ind w:firstLine="360"/>
        <w:jc w:val="center"/>
        <w:rPr>
          <w:rFonts w:ascii="Book Antiqua" w:hAnsi="Book Antiqua"/>
          <w:spacing w:val="12"/>
          <w:lang w:val="es-PR"/>
        </w:rPr>
      </w:pPr>
      <w:r w:rsidRPr="00C2490A">
        <w:rPr>
          <w:rFonts w:ascii="Book Antiqua" w:hAnsi="Book Antiqua"/>
          <w:spacing w:val="12"/>
          <w:lang w:val="es-PR"/>
        </w:rPr>
        <w:t>C</w:t>
      </w:r>
      <w:r w:rsidR="002C402D" w:rsidRPr="00C2490A">
        <w:rPr>
          <w:rFonts w:ascii="Book Antiqua" w:hAnsi="Book Antiqua"/>
          <w:spacing w:val="12"/>
          <w:lang w:val="es-PR"/>
        </w:rPr>
        <w:t xml:space="preserve">ONCLUSIÓN </w:t>
      </w:r>
    </w:p>
    <w:p w14:paraId="5771FC5E" w14:textId="60EC7C8C" w:rsidR="0064375F" w:rsidRDefault="00006DDC" w:rsidP="003D3BA0">
      <w:pPr>
        <w:tabs>
          <w:tab w:val="left" w:pos="-720"/>
        </w:tabs>
        <w:suppressAutoHyphens/>
        <w:spacing w:line="288" w:lineRule="auto"/>
        <w:ind w:firstLine="360"/>
        <w:jc w:val="both"/>
        <w:rPr>
          <w:rFonts w:ascii="Book Antiqua" w:hAnsi="Book Antiqua"/>
          <w:lang w:val="es-PR"/>
        </w:rPr>
      </w:pPr>
      <w:r w:rsidRPr="00F126F3">
        <w:rPr>
          <w:rFonts w:ascii="Book Antiqua" w:hAnsi="Book Antiqua"/>
          <w:lang w:val="es-PR"/>
        </w:rPr>
        <w:tab/>
      </w:r>
      <w:r w:rsidR="007D616C">
        <w:rPr>
          <w:rFonts w:ascii="Book Antiqua" w:hAnsi="Book Antiqua"/>
          <w:lang w:val="es-PR"/>
        </w:rPr>
        <w:t>P</w:t>
      </w:r>
      <w:r w:rsidR="00267DD5" w:rsidRPr="00F126F3">
        <w:rPr>
          <w:rFonts w:ascii="Book Antiqua" w:hAnsi="Book Antiqua"/>
          <w:lang w:val="es-PR"/>
        </w:rPr>
        <w:t xml:space="preserve">udiera decirse que el núcleo de </w:t>
      </w:r>
      <w:r w:rsidR="007D616C">
        <w:rPr>
          <w:rFonts w:ascii="Book Antiqua" w:hAnsi="Book Antiqua"/>
          <w:lang w:val="es-PR"/>
        </w:rPr>
        <w:t>la</w:t>
      </w:r>
      <w:r w:rsidR="00267DD5" w:rsidRPr="00F126F3">
        <w:rPr>
          <w:rFonts w:ascii="Book Antiqua" w:hAnsi="Book Antiqua"/>
          <w:lang w:val="es-PR"/>
        </w:rPr>
        <w:t xml:space="preserve"> preocupación</w:t>
      </w:r>
      <w:r w:rsidR="007D616C">
        <w:rPr>
          <w:rFonts w:ascii="Book Antiqua" w:hAnsi="Book Antiqua"/>
          <w:lang w:val="es-PR"/>
        </w:rPr>
        <w:t xml:space="preserve"> pa</w:t>
      </w:r>
      <w:r w:rsidR="00D24CA2">
        <w:rPr>
          <w:rFonts w:ascii="Book Antiqua" w:hAnsi="Book Antiqua"/>
          <w:lang w:val="es-PR"/>
        </w:rPr>
        <w:t>r</w:t>
      </w:r>
      <w:r w:rsidR="007D616C">
        <w:rPr>
          <w:rFonts w:ascii="Book Antiqua" w:hAnsi="Book Antiqua"/>
          <w:lang w:val="es-PR"/>
        </w:rPr>
        <w:t>a esta medida</w:t>
      </w:r>
      <w:r w:rsidR="00267DD5" w:rsidRPr="00F126F3">
        <w:rPr>
          <w:rFonts w:ascii="Book Antiqua" w:hAnsi="Book Antiqua"/>
          <w:lang w:val="es-PR"/>
        </w:rPr>
        <w:t xml:space="preserve"> pudiera ser el </w:t>
      </w:r>
      <w:r w:rsidR="0064375F" w:rsidRPr="00F126F3">
        <w:rPr>
          <w:rFonts w:ascii="Book Antiqua" w:hAnsi="Book Antiqua"/>
          <w:lang w:val="es-PR"/>
        </w:rPr>
        <w:t xml:space="preserve">sentimiento de impunidad que </w:t>
      </w:r>
      <w:r w:rsidR="00267DD5" w:rsidRPr="00F126F3">
        <w:rPr>
          <w:rFonts w:ascii="Book Antiqua" w:hAnsi="Book Antiqua"/>
          <w:lang w:val="es-PR"/>
        </w:rPr>
        <w:t xml:space="preserve">permea en muchas partes de nuestra sociedad, sobre las personas que cometen delitos graves, en particular delitos violentos y que </w:t>
      </w:r>
      <w:r w:rsidR="0064375F" w:rsidRPr="00F126F3">
        <w:rPr>
          <w:rFonts w:ascii="Book Antiqua" w:hAnsi="Book Antiqua"/>
          <w:lang w:val="es-PR"/>
        </w:rPr>
        <w:t>afect</w:t>
      </w:r>
      <w:r w:rsidR="00267DD5" w:rsidRPr="00F126F3">
        <w:rPr>
          <w:rFonts w:ascii="Book Antiqua" w:hAnsi="Book Antiqua"/>
          <w:lang w:val="es-PR"/>
        </w:rPr>
        <w:t>an</w:t>
      </w:r>
      <w:r w:rsidR="0064375F" w:rsidRPr="00F126F3">
        <w:rPr>
          <w:rFonts w:ascii="Book Antiqua" w:hAnsi="Book Antiqua"/>
          <w:lang w:val="es-PR"/>
        </w:rPr>
        <w:t xml:space="preserve"> a nuestra sociedad. </w:t>
      </w:r>
    </w:p>
    <w:p w14:paraId="42738C65" w14:textId="639B7A40" w:rsidR="00B70684" w:rsidRPr="00F126F3" w:rsidRDefault="001D5BFB" w:rsidP="007D616C">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r>
      <w:r w:rsidR="00B70684" w:rsidRPr="00F126F3">
        <w:rPr>
          <w:rFonts w:ascii="Book Antiqua" w:hAnsi="Book Antiqua"/>
          <w:lang w:val="es-PR"/>
        </w:rPr>
        <w:t>Estamos conscientes del debate que este aumento a las penas puede producir. Como ya se ha dicho en otros ámbitos:</w:t>
      </w:r>
    </w:p>
    <w:p w14:paraId="68FAB282" w14:textId="396FEB20" w:rsidR="00B70684" w:rsidRPr="003D3BA0" w:rsidRDefault="00B70684" w:rsidP="00C35472">
      <w:pPr>
        <w:tabs>
          <w:tab w:val="left" w:pos="-720"/>
        </w:tabs>
        <w:suppressAutoHyphens/>
        <w:spacing w:after="160"/>
        <w:ind w:left="720" w:right="403"/>
        <w:jc w:val="both"/>
        <w:rPr>
          <w:rFonts w:ascii="Book Antiqua" w:hAnsi="Book Antiqua"/>
          <w:szCs w:val="24"/>
          <w:lang w:val="es-PR"/>
        </w:rPr>
      </w:pPr>
      <w:r w:rsidRPr="003D3BA0">
        <w:rPr>
          <w:rFonts w:ascii="Book Antiqua" w:hAnsi="Book Antiqua"/>
          <w:szCs w:val="24"/>
          <w:lang w:val="es-PR"/>
        </w:rPr>
        <w:t xml:space="preserve">En el caso de Puerto Rico, como vimos anteriormente, las consecuencias de la reincidencia son puramente agravatorias, pero han llegado a un punto de severidad que se han convertido en obstáculos para el fin de la pena de raigambre constitucional. Sin duda, al imponer una sentencia de reincidencia nuestros tribunales toman en consideración condenas pasadas para delimitar la medida de la sanción penal por un delito posterior. Dicho hecho delictivo ya de por sí tiene una pena estatuida que representa, en teoría, la medición proporcional entre la gravedad de la conducta y la severidad de la consecuencia que </w:t>
      </w:r>
      <w:r w:rsidR="00F126F3" w:rsidRPr="003D3BA0">
        <w:rPr>
          <w:rFonts w:ascii="Book Antiqua" w:hAnsi="Book Antiqua"/>
          <w:szCs w:val="24"/>
          <w:lang w:val="es-PR"/>
        </w:rPr>
        <w:t>debe acarrear</w:t>
      </w:r>
      <w:r w:rsidRPr="003D3BA0">
        <w:rPr>
          <w:rFonts w:ascii="Book Antiqua" w:hAnsi="Book Antiqua"/>
          <w:szCs w:val="24"/>
          <w:lang w:val="es-PR"/>
        </w:rPr>
        <w:t xml:space="preserve"> como reproche penal. Mediante la consideración de sentencias </w:t>
      </w:r>
      <w:proofErr w:type="gramStart"/>
      <w:r w:rsidRPr="003D3BA0">
        <w:rPr>
          <w:rFonts w:ascii="Book Antiqua" w:hAnsi="Book Antiqua"/>
          <w:szCs w:val="24"/>
          <w:lang w:val="es-PR"/>
        </w:rPr>
        <w:t>anteriores,  el</w:t>
      </w:r>
      <w:proofErr w:type="gramEnd"/>
      <w:r w:rsidRPr="003D3BA0">
        <w:rPr>
          <w:rFonts w:ascii="Book Antiqua" w:hAnsi="Book Antiqua"/>
          <w:szCs w:val="24"/>
          <w:lang w:val="es-PR"/>
        </w:rPr>
        <w:t xml:space="preserve">  tribunal juzgador pasa juicio sobre condiciones previas con el fin de justificar que las penas impuestas en sentencias pasadas fueron insuficientes para la consecución del fin de la pena en nuestro ordenamiento. Lamentablemente, al hacerlo, recurre al cumplimiento de penas (reclusión carcelaria) que demostró ser ineficaz en el pasado, pero ahora de forma más agravada. El contrasentido puede ser evidente cuando nos acercamos a las realidades penitenciarias del país y vemos cómo nuestras prisiones son focos criminógenos ideales </w:t>
      </w:r>
      <w:r w:rsidRPr="003D3BA0">
        <w:rPr>
          <w:rFonts w:ascii="Book Antiqua" w:hAnsi="Book Antiqua"/>
          <w:szCs w:val="24"/>
          <w:lang w:val="es-PR"/>
        </w:rPr>
        <w:lastRenderedPageBreak/>
        <w:t>para frustrar cualquier tipo de expectativa de rehabilitación y reinserción social que funja como propósito de la ejecución del castigo.</w:t>
      </w:r>
      <w:r w:rsidRPr="003D3BA0">
        <w:rPr>
          <w:rStyle w:val="FootnoteReference"/>
          <w:rFonts w:ascii="Book Antiqua" w:hAnsi="Book Antiqua"/>
          <w:szCs w:val="24"/>
          <w:lang w:val="es-PR"/>
        </w:rPr>
        <w:footnoteReference w:id="14"/>
      </w:r>
    </w:p>
    <w:p w14:paraId="4E55C7B4" w14:textId="175D9B67" w:rsidR="00C35472" w:rsidRDefault="003D3BA0" w:rsidP="003D3BA0">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r>
      <w:r w:rsidR="00594C3E" w:rsidRPr="00F126F3">
        <w:rPr>
          <w:rFonts w:ascii="Book Antiqua" w:hAnsi="Book Antiqua"/>
          <w:lang w:val="es-PR"/>
        </w:rPr>
        <w:t xml:space="preserve">Las consideraciones de </w:t>
      </w:r>
      <w:r w:rsidR="00B4693F">
        <w:rPr>
          <w:rFonts w:ascii="Book Antiqua" w:hAnsi="Book Antiqua"/>
          <w:lang w:val="es-PR"/>
        </w:rPr>
        <w:t xml:space="preserve">los </w:t>
      </w:r>
      <w:r w:rsidR="00594C3E" w:rsidRPr="00F126F3">
        <w:rPr>
          <w:rFonts w:ascii="Book Antiqua" w:hAnsi="Book Antiqua"/>
          <w:lang w:val="es-PR"/>
        </w:rPr>
        <w:t xml:space="preserve">estudiosos del tema son </w:t>
      </w:r>
      <w:r w:rsidR="00B4693F">
        <w:rPr>
          <w:rFonts w:ascii="Book Antiqua" w:hAnsi="Book Antiqua"/>
          <w:lang w:val="es-PR"/>
        </w:rPr>
        <w:t>importantes</w:t>
      </w:r>
      <w:r w:rsidR="00594C3E" w:rsidRPr="00F126F3">
        <w:rPr>
          <w:rFonts w:ascii="Book Antiqua" w:hAnsi="Book Antiqua"/>
          <w:lang w:val="es-PR"/>
        </w:rPr>
        <w:t xml:space="preserve">. </w:t>
      </w:r>
    </w:p>
    <w:p w14:paraId="586C788A" w14:textId="767C5D49" w:rsidR="00EF7583" w:rsidRDefault="00E02E70" w:rsidP="003D3BA0">
      <w:pPr>
        <w:tabs>
          <w:tab w:val="left" w:pos="-720"/>
        </w:tabs>
        <w:suppressAutoHyphens/>
        <w:spacing w:line="288" w:lineRule="auto"/>
        <w:ind w:firstLine="360"/>
        <w:jc w:val="both"/>
        <w:rPr>
          <w:rFonts w:ascii="Book Antiqua" w:hAnsi="Book Antiqua"/>
          <w:lang w:val="es-PR"/>
        </w:rPr>
      </w:pPr>
      <w:r>
        <w:rPr>
          <w:rFonts w:ascii="Book Antiqua" w:hAnsi="Book Antiqua"/>
          <w:lang w:val="es-PR"/>
        </w:rPr>
        <w:tab/>
        <w:t>A</w:t>
      </w:r>
      <w:r w:rsidR="00C16CC2">
        <w:rPr>
          <w:rFonts w:ascii="Book Antiqua" w:hAnsi="Book Antiqua"/>
          <w:lang w:val="es-PR"/>
        </w:rPr>
        <w:t>sí</w:t>
      </w:r>
      <w:r>
        <w:rPr>
          <w:rFonts w:ascii="Book Antiqua" w:hAnsi="Book Antiqua"/>
          <w:lang w:val="es-PR"/>
        </w:rPr>
        <w:t>, entendemos que las enmiendas recientes a</w:t>
      </w:r>
      <w:r w:rsidR="00C64EE2">
        <w:rPr>
          <w:rFonts w:ascii="Book Antiqua" w:hAnsi="Book Antiqua"/>
          <w:lang w:val="es-PR"/>
        </w:rPr>
        <w:t xml:space="preserve"> las penas que impone el Código </w:t>
      </w:r>
      <w:r w:rsidR="00E142AE">
        <w:rPr>
          <w:rFonts w:ascii="Book Antiqua" w:hAnsi="Book Antiqua"/>
          <w:lang w:val="es-PR"/>
        </w:rPr>
        <w:t>Penal</w:t>
      </w:r>
      <w:r w:rsidR="00C64EE2">
        <w:rPr>
          <w:rFonts w:ascii="Book Antiqua" w:hAnsi="Book Antiqua"/>
          <w:lang w:val="es-PR"/>
        </w:rPr>
        <w:t xml:space="preserve"> </w:t>
      </w:r>
      <w:r w:rsidR="00E142AE">
        <w:rPr>
          <w:rFonts w:ascii="Book Antiqua" w:hAnsi="Book Antiqua"/>
          <w:lang w:val="es-PR"/>
        </w:rPr>
        <w:t>hacen innecesario esta medida en este momento. En otras palabras, el referido aumento de las penas cumple con el mismo propósito que busca esta medida.</w:t>
      </w:r>
      <w:r w:rsidR="003510A8">
        <w:rPr>
          <w:rFonts w:ascii="Book Antiqua" w:hAnsi="Book Antiqua"/>
          <w:lang w:val="es-PR"/>
        </w:rPr>
        <w:t xml:space="preserve"> </w:t>
      </w:r>
      <w:r w:rsidR="00FE678A">
        <w:rPr>
          <w:rFonts w:ascii="Book Antiqua" w:hAnsi="Book Antiqua"/>
          <w:lang w:val="es-PR"/>
        </w:rPr>
        <w:t>L</w:t>
      </w:r>
      <w:r w:rsidR="003510A8">
        <w:rPr>
          <w:rFonts w:ascii="Book Antiqua" w:hAnsi="Book Antiqua"/>
          <w:lang w:val="es-PR"/>
        </w:rPr>
        <w:t xml:space="preserve">os porcentajes que se establecen en los incisos (a) y (b) </w:t>
      </w:r>
      <w:r w:rsidR="00415DF6">
        <w:rPr>
          <w:rFonts w:ascii="Book Antiqua" w:hAnsi="Book Antiqua"/>
          <w:lang w:val="es-PR"/>
        </w:rPr>
        <w:t xml:space="preserve">del art. </w:t>
      </w:r>
      <w:r w:rsidR="002131B3">
        <w:rPr>
          <w:rFonts w:ascii="Book Antiqua" w:hAnsi="Book Antiqua"/>
          <w:lang w:val="es-PR"/>
        </w:rPr>
        <w:t>73 del Código Penal</w:t>
      </w:r>
      <w:r w:rsidR="00FE678A">
        <w:rPr>
          <w:rFonts w:ascii="Book Antiqua" w:hAnsi="Book Antiqua"/>
          <w:lang w:val="es-PR"/>
        </w:rPr>
        <w:t xml:space="preserve">, aumentarán como consecuencia de </w:t>
      </w:r>
      <w:r w:rsidR="00760484">
        <w:rPr>
          <w:rFonts w:ascii="Book Antiqua" w:hAnsi="Book Antiqua"/>
          <w:lang w:val="es-PR"/>
        </w:rPr>
        <w:t>las enmiendas a las penas.</w:t>
      </w:r>
    </w:p>
    <w:p w14:paraId="7885E90D" w14:textId="73D4494A" w:rsidR="00DF45DC" w:rsidRPr="00F126F3" w:rsidRDefault="00760484" w:rsidP="00851799">
      <w:pPr>
        <w:tabs>
          <w:tab w:val="left" w:pos="-720"/>
        </w:tabs>
        <w:suppressAutoHyphens/>
        <w:spacing w:after="240" w:line="288" w:lineRule="auto"/>
        <w:ind w:firstLine="360"/>
        <w:jc w:val="both"/>
        <w:rPr>
          <w:rFonts w:ascii="Book Antiqua" w:hAnsi="Book Antiqua"/>
          <w:lang w:val="es-PR"/>
        </w:rPr>
      </w:pPr>
      <w:r>
        <w:rPr>
          <w:rFonts w:ascii="Book Antiqua" w:hAnsi="Book Antiqua"/>
          <w:lang w:val="es-PR"/>
        </w:rPr>
        <w:tab/>
        <w:t xml:space="preserve">Un análisis </w:t>
      </w:r>
      <w:r w:rsidR="00963A31">
        <w:rPr>
          <w:rFonts w:ascii="Book Antiqua" w:hAnsi="Book Antiqua"/>
          <w:lang w:val="es-PR"/>
        </w:rPr>
        <w:t>profundo</w:t>
      </w:r>
      <w:r>
        <w:rPr>
          <w:rFonts w:ascii="Book Antiqua" w:hAnsi="Book Antiqua"/>
          <w:lang w:val="es-PR"/>
        </w:rPr>
        <w:t xml:space="preserve"> del efecto de</w:t>
      </w:r>
      <w:r w:rsidR="00B41137">
        <w:rPr>
          <w:rFonts w:ascii="Book Antiqua" w:hAnsi="Book Antiqua"/>
          <w:lang w:val="es-PR"/>
        </w:rPr>
        <w:t>l aumento de tales penas debe ser el catalítico para determinar si debe enmendar no solo el inciso (b), sino el</w:t>
      </w:r>
      <w:r w:rsidR="004A64D0">
        <w:rPr>
          <w:rFonts w:ascii="Book Antiqua" w:hAnsi="Book Antiqua"/>
          <w:lang w:val="es-PR"/>
        </w:rPr>
        <w:t xml:space="preserve"> resto del art. 73 del Código Penal. </w:t>
      </w:r>
      <w:r w:rsidR="00CB07A7">
        <w:rPr>
          <w:rFonts w:ascii="Book Antiqua" w:hAnsi="Book Antiqua"/>
          <w:lang w:val="es-PR"/>
        </w:rPr>
        <w:t>Por ello, se debe dar tiempo para ver el efecto en la sociedad del aumento</w:t>
      </w:r>
      <w:r w:rsidR="00880E9C">
        <w:rPr>
          <w:rFonts w:ascii="Book Antiqua" w:hAnsi="Book Antiqua"/>
          <w:lang w:val="es-PR"/>
        </w:rPr>
        <w:t xml:space="preserve"> de las penas del Código Penal, y en la reincidencia de los delitos.</w:t>
      </w:r>
      <w:r w:rsidR="00851799">
        <w:rPr>
          <w:rFonts w:ascii="Book Antiqua" w:hAnsi="Book Antiqua"/>
          <w:lang w:val="es-PR"/>
        </w:rPr>
        <w:t xml:space="preserve"> </w:t>
      </w:r>
      <w:r w:rsidR="00880E9C">
        <w:rPr>
          <w:rFonts w:ascii="Book Antiqua" w:hAnsi="Book Antiqua"/>
          <w:lang w:val="es-PR"/>
        </w:rPr>
        <w:t>En fin</w:t>
      </w:r>
      <w:r w:rsidR="00B14970" w:rsidRPr="00C35472">
        <w:rPr>
          <w:rFonts w:ascii="Book Antiqua" w:hAnsi="Book Antiqua"/>
          <w:lang w:val="es-PR"/>
        </w:rPr>
        <w:t>,</w:t>
      </w:r>
      <w:r w:rsidR="00B14970" w:rsidRPr="00F126F3">
        <w:rPr>
          <w:rFonts w:ascii="Book Antiqua" w:hAnsi="Book Antiqua"/>
          <w:b/>
          <w:bCs/>
          <w:lang w:val="es-PR"/>
        </w:rPr>
        <w:t xml:space="preserve"> </w:t>
      </w:r>
      <w:r w:rsidR="00B66A64" w:rsidRPr="00B66A64">
        <w:rPr>
          <w:rFonts w:ascii="Book Antiqua" w:hAnsi="Book Antiqua"/>
          <w:lang w:val="es-PR"/>
        </w:rPr>
        <w:t>esta comisión</w:t>
      </w:r>
      <w:r w:rsidR="00B66A64">
        <w:rPr>
          <w:rFonts w:ascii="Book Antiqua" w:hAnsi="Book Antiqua"/>
          <w:b/>
          <w:bCs/>
          <w:lang w:val="es-PR"/>
        </w:rPr>
        <w:t xml:space="preserve"> </w:t>
      </w:r>
      <w:r w:rsidR="00FF3EEB" w:rsidRPr="00FF3EEB">
        <w:rPr>
          <w:rFonts w:ascii="Book Antiqua" w:hAnsi="Book Antiqua"/>
          <w:lang w:val="es-PR"/>
        </w:rPr>
        <w:t>no recomienda</w:t>
      </w:r>
      <w:r w:rsidR="00FF3EEB">
        <w:rPr>
          <w:rFonts w:ascii="Book Antiqua" w:hAnsi="Book Antiqua"/>
          <w:b/>
          <w:bCs/>
          <w:lang w:val="es-PR"/>
        </w:rPr>
        <w:t xml:space="preserve"> </w:t>
      </w:r>
      <w:r w:rsidR="00FF3EEB" w:rsidRPr="00FF3EEB">
        <w:rPr>
          <w:rFonts w:ascii="Book Antiqua" w:hAnsi="Book Antiqua"/>
          <w:lang w:val="es-PR"/>
        </w:rPr>
        <w:t>que se apruebe</w:t>
      </w:r>
      <w:r w:rsidR="00FF3EEB">
        <w:rPr>
          <w:rFonts w:ascii="Book Antiqua" w:hAnsi="Book Antiqua"/>
          <w:b/>
          <w:bCs/>
          <w:lang w:val="es-PR"/>
        </w:rPr>
        <w:t xml:space="preserve"> </w:t>
      </w:r>
      <w:r w:rsidR="00006DDC" w:rsidRPr="00F126F3">
        <w:rPr>
          <w:rFonts w:ascii="Book Antiqua" w:hAnsi="Book Antiqua"/>
          <w:lang w:val="es-PR"/>
        </w:rPr>
        <w:t xml:space="preserve">el </w:t>
      </w:r>
      <w:r w:rsidR="006C59C9" w:rsidRPr="00F126F3">
        <w:rPr>
          <w:rFonts w:ascii="Book Antiqua" w:hAnsi="Book Antiqua"/>
          <w:lang w:val="es-PR"/>
        </w:rPr>
        <w:t>P</w:t>
      </w:r>
      <w:r w:rsidR="00B14970" w:rsidRPr="00F126F3">
        <w:rPr>
          <w:rFonts w:ascii="Book Antiqua" w:hAnsi="Book Antiqua"/>
          <w:lang w:val="es-PR"/>
        </w:rPr>
        <w:t xml:space="preserve">. del </w:t>
      </w:r>
      <w:r w:rsidR="006C59C9" w:rsidRPr="00F126F3">
        <w:rPr>
          <w:rFonts w:ascii="Book Antiqua" w:hAnsi="Book Antiqua"/>
          <w:lang w:val="es-PR"/>
        </w:rPr>
        <w:t>S</w:t>
      </w:r>
      <w:r w:rsidR="00B14970" w:rsidRPr="00F126F3">
        <w:rPr>
          <w:rFonts w:ascii="Book Antiqua" w:hAnsi="Book Antiqua"/>
          <w:lang w:val="es-PR"/>
        </w:rPr>
        <w:t>.</w:t>
      </w:r>
      <w:r w:rsidR="006C59C9" w:rsidRPr="00F126F3">
        <w:rPr>
          <w:rFonts w:ascii="Book Antiqua" w:hAnsi="Book Antiqua"/>
          <w:lang w:val="es-PR"/>
        </w:rPr>
        <w:t xml:space="preserve"> 530</w:t>
      </w:r>
      <w:r w:rsidR="00B66A64">
        <w:rPr>
          <w:rFonts w:ascii="Book Antiqua" w:hAnsi="Book Antiqua"/>
          <w:lang w:val="es-PR"/>
        </w:rPr>
        <w:t>.</w:t>
      </w:r>
    </w:p>
    <w:p w14:paraId="2AC75CA2" w14:textId="1F426D96" w:rsidR="00ED3B45" w:rsidRPr="00F126F3" w:rsidRDefault="00B14970" w:rsidP="00F146E4">
      <w:pPr>
        <w:tabs>
          <w:tab w:val="left" w:pos="-720"/>
        </w:tabs>
        <w:suppressAutoHyphens/>
        <w:spacing w:line="360" w:lineRule="auto"/>
        <w:rPr>
          <w:rFonts w:ascii="Book Antiqua" w:hAnsi="Book Antiqua"/>
          <w:lang w:val="es-PR"/>
        </w:rPr>
      </w:pPr>
      <w:r w:rsidRPr="00F126F3">
        <w:rPr>
          <w:rFonts w:ascii="Book Antiqua" w:hAnsi="Book Antiqua"/>
          <w:lang w:val="es-PR"/>
        </w:rPr>
        <w:t>Respetuosamente</w:t>
      </w:r>
      <w:r w:rsidR="00F146E4" w:rsidRPr="00F126F3">
        <w:rPr>
          <w:rFonts w:ascii="Book Antiqua" w:hAnsi="Book Antiqua"/>
          <w:lang w:val="es-PR"/>
        </w:rPr>
        <w:t xml:space="preserve"> </w:t>
      </w:r>
      <w:r w:rsidR="00C35472">
        <w:rPr>
          <w:rFonts w:ascii="Book Antiqua" w:hAnsi="Book Antiqua"/>
          <w:lang w:val="es-PR"/>
        </w:rPr>
        <w:t>presentado,</w:t>
      </w:r>
      <w:r w:rsidR="00F146E4" w:rsidRPr="00F126F3">
        <w:rPr>
          <w:rFonts w:ascii="Book Antiqua" w:hAnsi="Book Antiqua"/>
          <w:lang w:val="es-PR"/>
        </w:rPr>
        <w:t xml:space="preserve"> </w:t>
      </w:r>
    </w:p>
    <w:p w14:paraId="620588EC" w14:textId="77777777" w:rsidR="00ED3B45" w:rsidRPr="00F126F3" w:rsidRDefault="00ED3B45" w:rsidP="00EE4536">
      <w:pPr>
        <w:tabs>
          <w:tab w:val="left" w:pos="-720"/>
        </w:tabs>
        <w:suppressAutoHyphens/>
        <w:rPr>
          <w:rFonts w:ascii="Book Antiqua" w:hAnsi="Book Antiqua"/>
          <w:b/>
          <w:bCs/>
          <w:lang w:val="es-PR"/>
        </w:rPr>
      </w:pPr>
    </w:p>
    <w:p w14:paraId="6AE93B69" w14:textId="5A0F9125" w:rsidR="00AB2E69" w:rsidRPr="00C35472" w:rsidRDefault="00F146E4" w:rsidP="00EE4536">
      <w:pPr>
        <w:tabs>
          <w:tab w:val="left" w:pos="-720"/>
        </w:tabs>
        <w:suppressAutoHyphens/>
        <w:rPr>
          <w:rFonts w:ascii="Book Antiqua" w:hAnsi="Book Antiqua"/>
          <w:b/>
          <w:bCs/>
          <w:smallCaps/>
          <w:lang w:val="es-PR"/>
        </w:rPr>
      </w:pPr>
      <w:r w:rsidRPr="00C35472">
        <w:rPr>
          <w:rFonts w:ascii="Book Antiqua" w:hAnsi="Book Antiqua"/>
          <w:b/>
          <w:bCs/>
          <w:smallCaps/>
          <w:lang w:val="es-PR"/>
        </w:rPr>
        <w:t>José J. Pérez Cordero</w:t>
      </w:r>
    </w:p>
    <w:p w14:paraId="13BD9EC9" w14:textId="12A53815" w:rsidR="000B3411" w:rsidRDefault="00AB2E69" w:rsidP="00F146E4">
      <w:pPr>
        <w:tabs>
          <w:tab w:val="left" w:pos="-720"/>
        </w:tabs>
        <w:suppressAutoHyphens/>
        <w:rPr>
          <w:rFonts w:ascii="Book Antiqua" w:hAnsi="Book Antiqua"/>
          <w:lang w:val="es-PR"/>
        </w:rPr>
      </w:pPr>
      <w:r w:rsidRPr="00F126F3">
        <w:rPr>
          <w:rFonts w:ascii="Book Antiqua" w:hAnsi="Book Antiqua"/>
          <w:lang w:val="es-PR"/>
        </w:rPr>
        <w:t>Presidente</w:t>
      </w:r>
    </w:p>
    <w:p w14:paraId="3800F24F" w14:textId="115685DF" w:rsidR="00C35472" w:rsidRPr="00F126F3" w:rsidRDefault="00C35472" w:rsidP="00F146E4">
      <w:pPr>
        <w:tabs>
          <w:tab w:val="left" w:pos="-720"/>
        </w:tabs>
        <w:suppressAutoHyphens/>
        <w:rPr>
          <w:rFonts w:ascii="Book Antiqua" w:hAnsi="Book Antiqua"/>
          <w:lang w:val="es-PR"/>
        </w:rPr>
      </w:pPr>
      <w:r>
        <w:rPr>
          <w:rFonts w:ascii="Book Antiqua" w:hAnsi="Book Antiqua"/>
          <w:lang w:val="es-PR"/>
        </w:rPr>
        <w:t>Comisión de lo Jurídico</w:t>
      </w:r>
    </w:p>
    <w:sectPr w:rsidR="00C35472" w:rsidRPr="00F126F3" w:rsidSect="00F146E4">
      <w:headerReference w:type="default" r:id="rId11"/>
      <w:footerReference w:type="even" r:id="rId12"/>
      <w:headerReference w:type="first" r:id="rId13"/>
      <w:footerReference w:type="first" r:id="rId14"/>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33446" w14:textId="77777777" w:rsidR="00125401" w:rsidRDefault="00125401">
      <w:r>
        <w:separator/>
      </w:r>
    </w:p>
  </w:endnote>
  <w:endnote w:type="continuationSeparator" w:id="0">
    <w:p w14:paraId="75C18F84" w14:textId="77777777" w:rsidR="00125401" w:rsidRDefault="00125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1AACB" w14:textId="77777777" w:rsidR="00125401" w:rsidRDefault="00125401">
      <w:r>
        <w:separator/>
      </w:r>
    </w:p>
  </w:footnote>
  <w:footnote w:type="continuationSeparator" w:id="0">
    <w:p w14:paraId="48D2A870" w14:textId="77777777" w:rsidR="00125401" w:rsidRDefault="00125401">
      <w:r>
        <w:continuationSeparator/>
      </w:r>
    </w:p>
  </w:footnote>
  <w:footnote w:id="1">
    <w:p w14:paraId="3958D2DE" w14:textId="4BBEE89D" w:rsidR="001C58DB" w:rsidRPr="004D6E6B" w:rsidRDefault="001C58DB" w:rsidP="004D6E6B">
      <w:pPr>
        <w:pStyle w:val="FootnoteText"/>
        <w:spacing w:after="120"/>
        <w:rPr>
          <w:rFonts w:ascii="Book Antiqua" w:hAnsi="Book Antiqua"/>
          <w:lang w:val="es-PR"/>
        </w:rPr>
      </w:pPr>
      <w:r w:rsidRPr="004D6E6B">
        <w:rPr>
          <w:rStyle w:val="FootnoteReference"/>
          <w:rFonts w:ascii="Book Antiqua" w:hAnsi="Book Antiqua"/>
        </w:rPr>
        <w:footnoteRef/>
      </w:r>
      <w:r w:rsidRPr="004D6E6B">
        <w:rPr>
          <w:rFonts w:ascii="Book Antiqua" w:hAnsi="Book Antiqua"/>
          <w:lang w:val="es-PR"/>
        </w:rPr>
        <w:t xml:space="preserve"> Conocida como Código Penal de Puerto Rico.</w:t>
      </w:r>
    </w:p>
  </w:footnote>
  <w:footnote w:id="2">
    <w:p w14:paraId="2D985289" w14:textId="77777777" w:rsidR="0053735D" w:rsidRPr="004D6E6B" w:rsidRDefault="0053735D" w:rsidP="0053735D">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D6E6B">
        <w:rPr>
          <w:rFonts w:ascii="Book Antiqua" w:hAnsi="Book Antiqua" w:cstheme="majorBidi"/>
          <w:lang w:val="es-PR"/>
        </w:rPr>
        <w:t xml:space="preserve"> Título del P. del S. 530, según recomendamos que sea aprobado por esta Cámara de Representantes. Este proyecto de ley fue presentado ante el cuerpo hermano el 10 de abril de 2025 por el Senador Reyes Berríos, siendo sus coautores los senadores Pérez Soto, Rosa Ramos y Santos Ortiz. </w:t>
      </w:r>
    </w:p>
  </w:footnote>
  <w:footnote w:id="3">
    <w:p w14:paraId="7F3CCF5A" w14:textId="77777777" w:rsidR="00016BD1" w:rsidRPr="004D6E6B" w:rsidRDefault="00016BD1" w:rsidP="004D6E6B">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D6E6B">
        <w:rPr>
          <w:rFonts w:ascii="Book Antiqua" w:hAnsi="Book Antiqua" w:cstheme="majorBidi"/>
          <w:lang w:val="es-PR"/>
        </w:rPr>
        <w:t xml:space="preserve"> </w:t>
      </w:r>
      <w:r w:rsidRPr="004D6E6B">
        <w:rPr>
          <w:rFonts w:ascii="Book Antiqua" w:hAnsi="Book Antiqua" w:cstheme="majorBidi"/>
          <w:i/>
          <w:iCs/>
          <w:lang w:val="es-PR"/>
        </w:rPr>
        <w:t>Véase</w:t>
      </w:r>
      <w:r w:rsidRPr="004D6E6B">
        <w:rPr>
          <w:rFonts w:ascii="Book Antiqua" w:hAnsi="Book Antiqua" w:cstheme="majorBidi"/>
          <w:lang w:val="es-PR"/>
        </w:rPr>
        <w:t xml:space="preserve"> </w:t>
      </w:r>
      <w:r>
        <w:fldChar w:fldCharType="begin"/>
      </w:r>
      <w:r w:rsidRPr="009B0C94">
        <w:rPr>
          <w:lang w:val="es-ES"/>
        </w:rPr>
        <w:instrText>HYPERLINK "https://dpej.rae.es/lema/reincidencia"</w:instrText>
      </w:r>
      <w:r>
        <w:fldChar w:fldCharType="separate"/>
      </w:r>
      <w:r w:rsidRPr="004D6E6B">
        <w:rPr>
          <w:rStyle w:val="Hyperlink"/>
          <w:rFonts w:ascii="Book Antiqua" w:hAnsi="Book Antiqua" w:cstheme="majorBidi"/>
          <w:lang w:val="es-PR"/>
        </w:rPr>
        <w:t>https://dpej.rae.es/lema/reincidencia</w:t>
      </w:r>
      <w:r>
        <w:fldChar w:fldCharType="end"/>
      </w:r>
      <w:r w:rsidRPr="004D6E6B">
        <w:rPr>
          <w:rFonts w:ascii="Book Antiqua" w:hAnsi="Book Antiqua" w:cstheme="majorBidi"/>
          <w:lang w:val="es-PR"/>
        </w:rPr>
        <w:t xml:space="preserve"> </w:t>
      </w:r>
    </w:p>
  </w:footnote>
  <w:footnote w:id="4">
    <w:p w14:paraId="49CBA76F" w14:textId="2F1BF43A" w:rsidR="003270C4" w:rsidRPr="004D6E6B" w:rsidRDefault="003270C4" w:rsidP="004D6E6B">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D6E6B">
        <w:rPr>
          <w:rFonts w:ascii="Book Antiqua" w:hAnsi="Book Antiqua" w:cstheme="majorBidi"/>
          <w:lang w:val="es-PR"/>
        </w:rPr>
        <w:t xml:space="preserve"> Documento titulado “In re: Memorial Explicativo-P. del S. 530”, de 21 de julio de 2025, el cual contiene 2 páginas y fue suscrito por el Hon. Francisco A. Quiñones Rivera, </w:t>
      </w:r>
      <w:proofErr w:type="gramStart"/>
      <w:r w:rsidRPr="004D6E6B">
        <w:rPr>
          <w:rFonts w:ascii="Book Antiqua" w:hAnsi="Book Antiqua" w:cstheme="majorBidi"/>
          <w:lang w:val="es-PR"/>
        </w:rPr>
        <w:t>Secretario</w:t>
      </w:r>
      <w:proofErr w:type="gramEnd"/>
      <w:r w:rsidRPr="004D6E6B">
        <w:rPr>
          <w:rFonts w:ascii="Book Antiqua" w:hAnsi="Book Antiqua" w:cstheme="majorBidi"/>
          <w:lang w:val="es-PR"/>
        </w:rPr>
        <w:t xml:space="preserve"> del DCR. </w:t>
      </w:r>
    </w:p>
  </w:footnote>
  <w:footnote w:id="5">
    <w:p w14:paraId="72BB88CB" w14:textId="29C1652E" w:rsidR="003270C4" w:rsidRPr="004D6E6B" w:rsidRDefault="003270C4" w:rsidP="004D6E6B">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D6E6B">
        <w:rPr>
          <w:rFonts w:ascii="Book Antiqua" w:hAnsi="Book Antiqua" w:cstheme="majorBidi"/>
          <w:lang w:val="es-PR"/>
        </w:rPr>
        <w:t xml:space="preserve"> Documento titulado “MEMORIAL EXPLICATIVO DE LA SOCIEDAD PARA ASISTENCIA LEGAL AL PROYECTO DEL SENADO NÚMERO 530”, de 16 de septiembre de 2025, el cual contiene 10 páginas y fue suscrito por </w:t>
      </w:r>
      <w:r w:rsidR="00005AC3" w:rsidRPr="004D6E6B">
        <w:rPr>
          <w:rFonts w:ascii="Book Antiqua" w:hAnsi="Book Antiqua" w:cstheme="majorBidi"/>
          <w:lang w:val="es-PR"/>
        </w:rPr>
        <w:t>la Lcda. Alejandra Belmar Jiménez (</w:t>
      </w:r>
      <w:r w:rsidR="00D81D5E" w:rsidRPr="004D6E6B">
        <w:rPr>
          <w:rFonts w:ascii="Book Antiqua" w:hAnsi="Book Antiqua" w:cstheme="majorBidi"/>
          <w:lang w:val="es-PR"/>
        </w:rPr>
        <w:t>directora ejecutiva</w:t>
      </w:r>
      <w:r w:rsidR="00005AC3" w:rsidRPr="004D6E6B">
        <w:rPr>
          <w:rFonts w:ascii="Book Antiqua" w:hAnsi="Book Antiqua" w:cstheme="majorBidi"/>
          <w:lang w:val="es-PR"/>
        </w:rPr>
        <w:t>), Lcda. Yahaira Colón Rodríguez (</w:t>
      </w:r>
      <w:r w:rsidR="00D81D5E" w:rsidRPr="004D6E6B">
        <w:rPr>
          <w:rFonts w:ascii="Book Antiqua" w:hAnsi="Book Antiqua" w:cstheme="majorBidi"/>
          <w:lang w:val="es-PR"/>
        </w:rPr>
        <w:t>directora</w:t>
      </w:r>
      <w:r w:rsidR="00005AC3" w:rsidRPr="004D6E6B">
        <w:rPr>
          <w:rFonts w:ascii="Book Antiqua" w:hAnsi="Book Antiqua" w:cstheme="majorBidi"/>
          <w:lang w:val="es-PR"/>
        </w:rPr>
        <w:t xml:space="preserve"> de la División de Asuntos Especiales y Remedios Post Sentencia), y </w:t>
      </w:r>
      <w:r w:rsidR="00472390" w:rsidRPr="004D6E6B">
        <w:rPr>
          <w:rFonts w:ascii="Book Antiqua" w:hAnsi="Book Antiqua" w:cstheme="majorBidi"/>
          <w:lang w:val="es-PR"/>
        </w:rPr>
        <w:t xml:space="preserve">la </w:t>
      </w:r>
      <w:r w:rsidR="00005AC3" w:rsidRPr="004D6E6B">
        <w:rPr>
          <w:rFonts w:ascii="Book Antiqua" w:hAnsi="Book Antiqua" w:cstheme="majorBidi"/>
          <w:lang w:val="es-PR"/>
        </w:rPr>
        <w:t xml:space="preserve">Lcda. Paola Llavona (Analista de Legislación), </w:t>
      </w:r>
      <w:r w:rsidRPr="004D6E6B">
        <w:rPr>
          <w:rFonts w:ascii="Book Antiqua" w:hAnsi="Book Antiqua" w:cstheme="majorBidi"/>
          <w:lang w:val="es-PR"/>
        </w:rPr>
        <w:t xml:space="preserve">de la SAL. </w:t>
      </w:r>
    </w:p>
  </w:footnote>
  <w:footnote w:id="6">
    <w:p w14:paraId="4113ED27" w14:textId="52A9880B" w:rsidR="004D541A" w:rsidRPr="004D6E6B" w:rsidRDefault="004D541A" w:rsidP="004D6E6B">
      <w:pPr>
        <w:pStyle w:val="FootnoteText"/>
        <w:spacing w:after="120"/>
        <w:rPr>
          <w:rFonts w:ascii="Book Antiqua" w:hAnsi="Book Antiqua"/>
          <w:lang w:val="es-PR"/>
        </w:rPr>
      </w:pPr>
      <w:r w:rsidRPr="004D6E6B">
        <w:rPr>
          <w:rStyle w:val="FootnoteReference"/>
          <w:rFonts w:ascii="Book Antiqua" w:hAnsi="Book Antiqua"/>
        </w:rPr>
        <w:footnoteRef/>
      </w:r>
      <w:r w:rsidRPr="004D6E6B">
        <w:rPr>
          <w:rFonts w:ascii="Book Antiqua" w:hAnsi="Book Antiqua"/>
          <w:lang w:val="es-PR"/>
        </w:rPr>
        <w:t xml:space="preserve"> Memorial sobre el P. del S. 530 de la SAL, Pág. 3.</w:t>
      </w:r>
    </w:p>
  </w:footnote>
  <w:footnote w:id="7">
    <w:p w14:paraId="5E5D6001" w14:textId="633590F3" w:rsidR="00945BC1" w:rsidRPr="004D6E6B" w:rsidRDefault="00945BC1" w:rsidP="004D6E6B">
      <w:pPr>
        <w:pStyle w:val="FootnoteText"/>
        <w:spacing w:after="120"/>
        <w:jc w:val="both"/>
        <w:rPr>
          <w:rFonts w:ascii="Book Antiqua" w:hAnsi="Book Antiqua"/>
          <w:lang w:val="es-PR"/>
        </w:rPr>
      </w:pPr>
      <w:r w:rsidRPr="004D6E6B">
        <w:rPr>
          <w:rStyle w:val="FootnoteReference"/>
          <w:rFonts w:ascii="Book Antiqua" w:hAnsi="Book Antiqua"/>
          <w:lang w:val="es-PR"/>
        </w:rPr>
        <w:footnoteRef/>
      </w:r>
      <w:r w:rsidRPr="004D6E6B">
        <w:rPr>
          <w:rFonts w:ascii="Book Antiqua" w:hAnsi="Book Antiqua"/>
          <w:lang w:val="es-PR"/>
        </w:rPr>
        <w:t xml:space="preserve"> No Podemos dejar de destacar que la estructura del </w:t>
      </w:r>
      <w:r w:rsidR="00472390" w:rsidRPr="004D6E6B">
        <w:rPr>
          <w:rFonts w:ascii="Book Antiqua" w:hAnsi="Book Antiqua"/>
          <w:lang w:val="es-PR"/>
        </w:rPr>
        <w:t>a</w:t>
      </w:r>
      <w:r w:rsidRPr="004D6E6B">
        <w:rPr>
          <w:rFonts w:ascii="Book Antiqua" w:hAnsi="Book Antiqua"/>
          <w:lang w:val="es-PR"/>
        </w:rPr>
        <w:t>rt. 73 del Código Penal es producto de las múltiples enmiendas que sufrió el Código Penal de Puerto Rico mediante la Ley</w:t>
      </w:r>
      <w:r w:rsidR="00472390" w:rsidRPr="004D6E6B">
        <w:rPr>
          <w:rFonts w:ascii="Book Antiqua" w:hAnsi="Book Antiqua"/>
          <w:lang w:val="es-PR"/>
        </w:rPr>
        <w:t xml:space="preserve"> Núm.</w:t>
      </w:r>
      <w:r w:rsidRPr="004D6E6B">
        <w:rPr>
          <w:rFonts w:ascii="Book Antiqua" w:hAnsi="Book Antiqua"/>
          <w:lang w:val="es-PR"/>
        </w:rPr>
        <w:t xml:space="preserve"> 246-2014. </w:t>
      </w:r>
    </w:p>
  </w:footnote>
  <w:footnote w:id="8">
    <w:p w14:paraId="1909B30A" w14:textId="732DF84B" w:rsidR="008F7F1E" w:rsidRPr="004D6E6B" w:rsidRDefault="008F7F1E" w:rsidP="004D6E6B">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D6E6B">
        <w:rPr>
          <w:rFonts w:ascii="Book Antiqua" w:hAnsi="Book Antiqua" w:cstheme="majorBidi"/>
          <w:lang w:val="es-PR"/>
        </w:rPr>
        <w:t xml:space="preserve"> </w:t>
      </w:r>
      <w:r w:rsidR="00391809" w:rsidRPr="004D6E6B">
        <w:rPr>
          <w:rFonts w:ascii="Book Antiqua" w:hAnsi="Book Antiqua" w:cstheme="majorBidi"/>
          <w:lang w:val="es-PR"/>
        </w:rPr>
        <w:t xml:space="preserve">Publicado en noviembre de 2025, el propio </w:t>
      </w:r>
      <w:r w:rsidR="00731CFA" w:rsidRPr="004D6E6B">
        <w:rPr>
          <w:rFonts w:ascii="Book Antiqua" w:hAnsi="Book Antiqua" w:cstheme="majorBidi"/>
          <w:lang w:val="es-PR"/>
        </w:rPr>
        <w:t>a</w:t>
      </w:r>
      <w:r w:rsidR="00391809" w:rsidRPr="004D6E6B">
        <w:rPr>
          <w:rFonts w:ascii="Book Antiqua" w:hAnsi="Book Antiqua" w:cstheme="majorBidi"/>
          <w:lang w:val="es-PR"/>
        </w:rPr>
        <w:t xml:space="preserve">rtículo revela que su autora es </w:t>
      </w:r>
      <w:r w:rsidR="003D0043" w:rsidRPr="004D6E6B">
        <w:rPr>
          <w:rFonts w:ascii="Book Antiqua" w:hAnsi="Book Antiqua" w:cstheme="majorBidi"/>
          <w:lang w:val="es-PR"/>
        </w:rPr>
        <w:t>estudiante de tercer año en la Escuela de Derecho de la Universidad de Puerto Rico. </w:t>
      </w:r>
      <w:r w:rsidRPr="004D6E6B">
        <w:rPr>
          <w:rFonts w:ascii="Book Antiqua" w:hAnsi="Book Antiqua" w:cstheme="majorBidi"/>
          <w:lang w:val="es-PR"/>
        </w:rPr>
        <w:t xml:space="preserve"> </w:t>
      </w:r>
    </w:p>
  </w:footnote>
  <w:footnote w:id="9">
    <w:p w14:paraId="795BCCAC" w14:textId="1D422D70" w:rsidR="003D3BA0" w:rsidRPr="004D6E6B" w:rsidRDefault="003D3BA0" w:rsidP="004D6E6B">
      <w:pPr>
        <w:pStyle w:val="FootnoteText"/>
        <w:spacing w:after="120"/>
        <w:rPr>
          <w:rFonts w:ascii="Book Antiqua" w:hAnsi="Book Antiqua"/>
          <w:lang w:val="es-PR"/>
        </w:rPr>
      </w:pPr>
      <w:r w:rsidRPr="004D6E6B">
        <w:rPr>
          <w:rStyle w:val="FootnoteReference"/>
          <w:rFonts w:ascii="Book Antiqua" w:hAnsi="Book Antiqua"/>
        </w:rPr>
        <w:footnoteRef/>
      </w:r>
      <w:r w:rsidRPr="004D6E6B">
        <w:rPr>
          <w:rFonts w:ascii="Book Antiqua" w:hAnsi="Book Antiqua"/>
          <w:lang w:val="es-PR"/>
        </w:rPr>
        <w:t xml:space="preserve"> Citas en el original, omitidas.</w:t>
      </w:r>
    </w:p>
  </w:footnote>
  <w:footnote w:id="10">
    <w:p w14:paraId="1860B87E" w14:textId="38ABB40B" w:rsidR="00AA3EFB" w:rsidRPr="00407810" w:rsidRDefault="00AA3EFB" w:rsidP="004D6E6B">
      <w:pPr>
        <w:pStyle w:val="FootnoteText"/>
        <w:spacing w:after="120"/>
        <w:rPr>
          <w:rFonts w:ascii="Book Antiqua" w:hAnsi="Book Antiqua"/>
          <w:lang w:val="es-PR"/>
        </w:rPr>
      </w:pPr>
      <w:r w:rsidRPr="004D6E6B">
        <w:rPr>
          <w:rStyle w:val="FootnoteReference"/>
          <w:rFonts w:ascii="Book Antiqua" w:hAnsi="Book Antiqua"/>
        </w:rPr>
        <w:footnoteRef/>
      </w:r>
      <w:r w:rsidRPr="00407810">
        <w:rPr>
          <w:rFonts w:ascii="Book Antiqua" w:hAnsi="Book Antiqua"/>
          <w:lang w:val="es-PR"/>
        </w:rPr>
        <w:t xml:space="preserve"> 538 US 11 (2003).</w:t>
      </w:r>
    </w:p>
  </w:footnote>
  <w:footnote w:id="11">
    <w:p w14:paraId="1033CA38" w14:textId="45B00245" w:rsidR="003D3BA0" w:rsidRPr="00407810" w:rsidRDefault="003D3BA0" w:rsidP="004D6E6B">
      <w:pPr>
        <w:pStyle w:val="FootnoteText"/>
        <w:spacing w:after="120"/>
        <w:rPr>
          <w:rFonts w:ascii="Book Antiqua" w:hAnsi="Book Antiqua"/>
          <w:lang w:val="es-PR"/>
        </w:rPr>
      </w:pPr>
      <w:r w:rsidRPr="004D6E6B">
        <w:rPr>
          <w:rStyle w:val="FootnoteReference"/>
          <w:rFonts w:ascii="Book Antiqua" w:hAnsi="Book Antiqua"/>
        </w:rPr>
        <w:footnoteRef/>
      </w:r>
      <w:r w:rsidRPr="00407810">
        <w:rPr>
          <w:rFonts w:ascii="Book Antiqua" w:hAnsi="Book Antiqua"/>
          <w:lang w:val="es-PR"/>
        </w:rPr>
        <w:t xml:space="preserve"> Énfasis </w:t>
      </w:r>
      <w:r w:rsidR="00774F0C" w:rsidRPr="00407810">
        <w:rPr>
          <w:rFonts w:ascii="Book Antiqua" w:hAnsi="Book Antiqua"/>
          <w:lang w:val="es-PR"/>
        </w:rPr>
        <w:t>n</w:t>
      </w:r>
      <w:r w:rsidRPr="00407810">
        <w:rPr>
          <w:rFonts w:ascii="Book Antiqua" w:hAnsi="Book Antiqua"/>
          <w:lang w:val="es-PR"/>
        </w:rPr>
        <w:t>uestro.</w:t>
      </w:r>
    </w:p>
  </w:footnote>
  <w:footnote w:id="12">
    <w:p w14:paraId="218BE74B" w14:textId="678A9C36" w:rsidR="003A06E8" w:rsidRPr="00407810" w:rsidRDefault="003A06E8" w:rsidP="004D6E6B">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07810">
        <w:rPr>
          <w:rFonts w:ascii="Book Antiqua" w:hAnsi="Book Antiqua" w:cstheme="majorBidi"/>
          <w:lang w:val="es-PR"/>
        </w:rPr>
        <w:t xml:space="preserve"> </w:t>
      </w:r>
      <w:r w:rsidR="00267DD5" w:rsidRPr="00407810">
        <w:rPr>
          <w:rFonts w:ascii="Book Antiqua" w:hAnsi="Book Antiqua" w:cstheme="majorBidi"/>
          <w:lang w:val="es-PR"/>
        </w:rPr>
        <w:t>Estatuto federal conocido como “Puerto Rico </w:t>
      </w:r>
      <w:proofErr w:type="spellStart"/>
      <w:r w:rsidR="00267DD5" w:rsidRPr="00407810">
        <w:rPr>
          <w:rFonts w:ascii="Book Antiqua" w:hAnsi="Book Antiqua" w:cstheme="majorBidi"/>
          <w:lang w:val="es-PR"/>
        </w:rPr>
        <w:t>Oversight</w:t>
      </w:r>
      <w:proofErr w:type="spellEnd"/>
      <w:r w:rsidR="00267DD5" w:rsidRPr="00407810">
        <w:rPr>
          <w:rFonts w:ascii="Book Antiqua" w:hAnsi="Book Antiqua" w:cstheme="majorBidi"/>
          <w:lang w:val="es-PR"/>
        </w:rPr>
        <w:t>, Management, and </w:t>
      </w:r>
      <w:proofErr w:type="spellStart"/>
      <w:r w:rsidR="00267DD5" w:rsidRPr="00407810">
        <w:rPr>
          <w:rFonts w:ascii="Book Antiqua" w:hAnsi="Book Antiqua" w:cstheme="majorBidi"/>
          <w:lang w:val="es-PR"/>
        </w:rPr>
        <w:t>Economic</w:t>
      </w:r>
      <w:proofErr w:type="spellEnd"/>
      <w:r w:rsidR="00267DD5" w:rsidRPr="00407810">
        <w:rPr>
          <w:rFonts w:ascii="Book Antiqua" w:hAnsi="Book Antiqua" w:cstheme="majorBidi"/>
          <w:lang w:val="es-PR"/>
        </w:rPr>
        <w:t> </w:t>
      </w:r>
      <w:proofErr w:type="spellStart"/>
      <w:r w:rsidR="00267DD5" w:rsidRPr="00407810">
        <w:rPr>
          <w:rFonts w:ascii="Book Antiqua" w:hAnsi="Book Antiqua" w:cstheme="majorBidi"/>
          <w:lang w:val="es-PR"/>
        </w:rPr>
        <w:t>Stability</w:t>
      </w:r>
      <w:proofErr w:type="spellEnd"/>
      <w:r w:rsidR="00267DD5" w:rsidRPr="00407810">
        <w:rPr>
          <w:rFonts w:ascii="Book Antiqua" w:hAnsi="Book Antiqua" w:cstheme="majorBidi"/>
          <w:lang w:val="es-PR"/>
        </w:rPr>
        <w:t> </w:t>
      </w:r>
      <w:proofErr w:type="spellStart"/>
      <w:r w:rsidR="00267DD5" w:rsidRPr="00407810">
        <w:rPr>
          <w:rFonts w:ascii="Book Antiqua" w:hAnsi="Book Antiqua" w:cstheme="majorBidi"/>
          <w:lang w:val="es-PR"/>
        </w:rPr>
        <w:t>Act</w:t>
      </w:r>
      <w:proofErr w:type="spellEnd"/>
      <w:r w:rsidR="00267DD5" w:rsidRPr="00407810">
        <w:rPr>
          <w:rFonts w:ascii="Book Antiqua" w:hAnsi="Book Antiqua" w:cstheme="majorBidi"/>
          <w:lang w:val="es-PR"/>
        </w:rPr>
        <w:t xml:space="preserve">”, </w:t>
      </w:r>
      <w:r w:rsidR="00267DD5" w:rsidRPr="00407810">
        <w:rPr>
          <w:rFonts w:ascii="Book Antiqua" w:hAnsi="Book Antiqua" w:cstheme="majorBidi"/>
          <w:i/>
          <w:iCs/>
          <w:lang w:val="es-PR"/>
        </w:rPr>
        <w:t xml:space="preserve">Public Law </w:t>
      </w:r>
      <w:r w:rsidR="00267DD5" w:rsidRPr="00407810">
        <w:rPr>
          <w:rFonts w:ascii="Book Antiqua" w:hAnsi="Book Antiqua" w:cstheme="majorBidi"/>
          <w:lang w:val="es-PR"/>
        </w:rPr>
        <w:t xml:space="preserve">114-187. </w:t>
      </w:r>
    </w:p>
  </w:footnote>
  <w:footnote w:id="13">
    <w:p w14:paraId="4B0C3EED" w14:textId="24BAF5E6" w:rsidR="003A06E8" w:rsidRPr="004D6E6B" w:rsidRDefault="003A06E8" w:rsidP="004D6E6B">
      <w:pPr>
        <w:pStyle w:val="FootnoteText"/>
        <w:spacing w:after="120"/>
        <w:jc w:val="both"/>
        <w:rPr>
          <w:rFonts w:ascii="Book Antiqua" w:hAnsi="Book Antiqua" w:cstheme="majorBidi"/>
          <w:lang w:val="es-PR"/>
        </w:rPr>
      </w:pPr>
      <w:r w:rsidRPr="004D6E6B">
        <w:rPr>
          <w:rStyle w:val="FootnoteReference"/>
          <w:rFonts w:ascii="Book Antiqua" w:hAnsi="Book Antiqua" w:cstheme="majorBidi"/>
          <w:lang w:val="es-PR"/>
        </w:rPr>
        <w:footnoteRef/>
      </w:r>
      <w:r w:rsidRPr="004D6E6B">
        <w:rPr>
          <w:rFonts w:ascii="Book Antiqua" w:hAnsi="Book Antiqua" w:cstheme="majorBidi"/>
          <w:lang w:val="es-PR"/>
        </w:rPr>
        <w:t xml:space="preserve"> Disponible en </w:t>
      </w:r>
      <w:r w:rsidRPr="000F00C3">
        <w:rPr>
          <w:rFonts w:ascii="Book Antiqua" w:hAnsi="Book Antiqua" w:cstheme="majorBidi"/>
          <w:lang w:val="es-PR"/>
        </w:rPr>
        <w:t>https://www.opal.pr.gov</w:t>
      </w:r>
    </w:p>
  </w:footnote>
  <w:footnote w:id="14">
    <w:p w14:paraId="592E106E" w14:textId="3602A76B" w:rsidR="00B70684" w:rsidRPr="00B70684" w:rsidRDefault="00B70684" w:rsidP="004D6E6B">
      <w:pPr>
        <w:pStyle w:val="FootnoteText"/>
        <w:spacing w:after="120"/>
        <w:jc w:val="both"/>
        <w:rPr>
          <w:lang w:val="es-PR"/>
        </w:rPr>
      </w:pPr>
      <w:r w:rsidRPr="004D6E6B">
        <w:rPr>
          <w:rStyle w:val="FootnoteReference"/>
          <w:rFonts w:ascii="Book Antiqua" w:hAnsi="Book Antiqua"/>
          <w:lang w:val="es-PR"/>
        </w:rPr>
        <w:footnoteRef/>
      </w:r>
      <w:r w:rsidRPr="004D6E6B">
        <w:rPr>
          <w:rFonts w:ascii="Book Antiqua" w:hAnsi="Book Antiqua"/>
          <w:lang w:val="es-PR"/>
        </w:rPr>
        <w:t xml:space="preserve"> Artículo de Revista Jurídica escrito por Luis A. Zambrana González, titulado, “</w:t>
      </w:r>
      <w:r w:rsidR="00851799">
        <w:rPr>
          <w:rFonts w:ascii="Book Antiqua" w:hAnsi="Book Antiqua"/>
          <w:lang w:val="es-PR"/>
        </w:rPr>
        <w:t>L</w:t>
      </w:r>
      <w:r w:rsidR="00851799" w:rsidRPr="004D6E6B">
        <w:rPr>
          <w:rFonts w:ascii="Book Antiqua" w:hAnsi="Book Antiqua"/>
          <w:lang w:val="es-PR"/>
        </w:rPr>
        <w:t xml:space="preserve">a </w:t>
      </w:r>
      <w:r w:rsidR="00851799">
        <w:rPr>
          <w:rFonts w:ascii="Book Antiqua" w:hAnsi="Book Antiqua"/>
          <w:lang w:val="es-PR"/>
        </w:rPr>
        <w:t>r</w:t>
      </w:r>
      <w:r w:rsidR="00851799" w:rsidRPr="004D6E6B">
        <w:rPr>
          <w:rFonts w:ascii="Book Antiqua" w:hAnsi="Book Antiqua"/>
          <w:lang w:val="es-PR"/>
        </w:rPr>
        <w:t>eincidencia y la habitualidad en el derecho penal puertorriqueño: su delimitación dogmática y tratamiento sistemático</w:t>
      </w:r>
      <w:r w:rsidRPr="004D6E6B">
        <w:rPr>
          <w:rFonts w:ascii="Book Antiqua" w:hAnsi="Book Antiqua"/>
          <w:lang w:val="es-PR"/>
        </w:rPr>
        <w:t xml:space="preserve">”, publicado en 2019 por la Revista Puertorriqueña de Ciencias Penales, </w:t>
      </w:r>
      <w:r w:rsidR="00851799">
        <w:rPr>
          <w:rFonts w:ascii="Book Antiqua" w:hAnsi="Book Antiqua"/>
          <w:lang w:val="es-PR"/>
        </w:rPr>
        <w:t>p</w:t>
      </w:r>
      <w:r w:rsidRPr="004D6E6B">
        <w:rPr>
          <w:rFonts w:ascii="Book Antiqua" w:hAnsi="Book Antiqua"/>
          <w:lang w:val="es-PR"/>
        </w:rPr>
        <w:t>ágina 31.</w:t>
      </w:r>
      <w:r w:rsidRPr="00B70684">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EEBAD" w14:textId="77777777" w:rsidR="00F146E4" w:rsidRDefault="00F146E4" w:rsidP="00F146E4">
    <w:pPr>
      <w:pStyle w:val="Header"/>
      <w:jc w:val="both"/>
      <w:rPr>
        <w:rFonts w:ascii="Garamond" w:hAnsi="Garamond"/>
        <w:sz w:val="20"/>
        <w:lang w:val="es-PR"/>
      </w:rPr>
    </w:pPr>
    <w:bookmarkStart w:id="6" w:name="_Hlk194440197"/>
    <w:r>
      <w:rPr>
        <w:rFonts w:ascii="Garamond" w:hAnsi="Garamond"/>
        <w:sz w:val="20"/>
        <w:lang w:val="es-PR"/>
      </w:rPr>
      <w:t>Cámara de Representantes</w:t>
    </w:r>
  </w:p>
  <w:p w14:paraId="3DC4351F" w14:textId="77777777" w:rsidR="00F146E4" w:rsidRDefault="00F146E4" w:rsidP="00F146E4">
    <w:pPr>
      <w:pStyle w:val="Header"/>
      <w:jc w:val="both"/>
      <w:rPr>
        <w:rFonts w:ascii="Garamond" w:hAnsi="Garamond"/>
        <w:sz w:val="20"/>
        <w:lang w:val="es-PR"/>
      </w:rPr>
    </w:pPr>
    <w:r>
      <w:rPr>
        <w:rFonts w:ascii="Garamond" w:hAnsi="Garamond"/>
        <w:sz w:val="20"/>
        <w:lang w:val="es-PR"/>
      </w:rPr>
      <w:t>Comisión de lo Jurídico</w:t>
    </w:r>
  </w:p>
  <w:p w14:paraId="2B36C80B" w14:textId="07937CAC" w:rsidR="00F146E4" w:rsidRPr="00F146E4" w:rsidRDefault="00F146E4" w:rsidP="00F146E4">
    <w:pPr>
      <w:pStyle w:val="Header"/>
      <w:jc w:val="both"/>
      <w:rPr>
        <w:rFonts w:ascii="Garamond" w:hAnsi="Garamond"/>
        <w:sz w:val="20"/>
        <w:lang w:val="es-PR"/>
      </w:rPr>
    </w:pPr>
    <w:r w:rsidRPr="00F146E4">
      <w:rPr>
        <w:rFonts w:ascii="Garamond" w:hAnsi="Garamond"/>
        <w:sz w:val="20"/>
        <w:lang w:val="es-PR"/>
      </w:rPr>
      <w:t xml:space="preserve">Informe </w:t>
    </w:r>
    <w:r w:rsidR="00474F21">
      <w:rPr>
        <w:rFonts w:ascii="Garamond" w:hAnsi="Garamond"/>
        <w:sz w:val="20"/>
        <w:lang w:val="es-PR"/>
      </w:rPr>
      <w:t>Nega</w:t>
    </w:r>
    <w:r w:rsidRPr="00F146E4">
      <w:rPr>
        <w:rFonts w:ascii="Garamond" w:hAnsi="Garamond"/>
        <w:sz w:val="20"/>
        <w:lang w:val="es-PR"/>
      </w:rPr>
      <w:t>tivo sobre el P. del S. 530</w:t>
    </w:r>
  </w:p>
  <w:p w14:paraId="3F8F9310" w14:textId="2E326BB3" w:rsidR="007B4C52" w:rsidRPr="00F146E4" w:rsidRDefault="00F146E4" w:rsidP="00F146E4">
    <w:pPr>
      <w:pStyle w:val="Header"/>
      <w:jc w:val="both"/>
      <w:rPr>
        <w:rFonts w:ascii="Garamond" w:hAnsi="Garamond"/>
        <w:b/>
        <w:bCs/>
        <w:i/>
        <w:iCs/>
        <w:sz w:val="20"/>
        <w:lang w:val="es-PR"/>
      </w:rPr>
    </w:pPr>
    <w:r w:rsidRPr="00F146E4">
      <w:rPr>
        <w:rFonts w:ascii="Garamond" w:hAnsi="Garamond"/>
        <w:b/>
        <w:bCs/>
        <w:i/>
        <w:iCs/>
        <w:sz w:val="20"/>
        <w:lang w:val="es-PR"/>
      </w:rPr>
      <w:t xml:space="preserve">Página </w:t>
    </w:r>
    <w:r w:rsidRPr="00F146E4">
      <w:rPr>
        <w:rFonts w:ascii="Garamond" w:hAnsi="Garamond"/>
        <w:b/>
        <w:bCs/>
        <w:i/>
        <w:iCs/>
        <w:sz w:val="20"/>
        <w:lang w:val="es-PR"/>
      </w:rPr>
      <w:fldChar w:fldCharType="begin"/>
    </w:r>
    <w:r w:rsidRPr="00F146E4">
      <w:rPr>
        <w:rFonts w:ascii="Garamond" w:hAnsi="Garamond"/>
        <w:b/>
        <w:bCs/>
        <w:i/>
        <w:iCs/>
        <w:sz w:val="20"/>
        <w:lang w:val="es-PR"/>
      </w:rPr>
      <w:instrText xml:space="preserve"> PAGE   \* MERGEFORMAT </w:instrText>
    </w:r>
    <w:r w:rsidRPr="00F146E4">
      <w:rPr>
        <w:rFonts w:ascii="Garamond" w:hAnsi="Garamond"/>
        <w:b/>
        <w:bCs/>
        <w:i/>
        <w:iCs/>
        <w:sz w:val="20"/>
        <w:lang w:val="es-PR"/>
      </w:rPr>
      <w:fldChar w:fldCharType="separate"/>
    </w:r>
    <w:r>
      <w:rPr>
        <w:rFonts w:ascii="Garamond" w:hAnsi="Garamond"/>
        <w:b/>
        <w:bCs/>
        <w:i/>
        <w:iCs/>
        <w:sz w:val="20"/>
        <w:lang w:val="es-PR"/>
      </w:rPr>
      <w:t>8</w:t>
    </w:r>
    <w:r w:rsidRPr="00F146E4">
      <w:rPr>
        <w:rFonts w:ascii="Garamond" w:hAnsi="Garamond"/>
        <w:b/>
        <w:bCs/>
        <w:i/>
        <w:iCs/>
        <w:noProof/>
        <w:sz w:val="20"/>
        <w:lang w:val="es-PR"/>
      </w:rPr>
      <w:fldChar w:fldCharType="end"/>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C687E"/>
    <w:multiLevelType w:val="hybridMultilevel"/>
    <w:tmpl w:val="1FDA3936"/>
    <w:lvl w:ilvl="0" w:tplc="86AAAB88">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3"/>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17677748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5AC3"/>
    <w:rsid w:val="00006DDC"/>
    <w:rsid w:val="00011E09"/>
    <w:rsid w:val="00016AE0"/>
    <w:rsid w:val="00016BD1"/>
    <w:rsid w:val="00016D64"/>
    <w:rsid w:val="000230E7"/>
    <w:rsid w:val="00023501"/>
    <w:rsid w:val="00042598"/>
    <w:rsid w:val="00043613"/>
    <w:rsid w:val="00043B59"/>
    <w:rsid w:val="00045442"/>
    <w:rsid w:val="00046DD2"/>
    <w:rsid w:val="000533CB"/>
    <w:rsid w:val="0005560C"/>
    <w:rsid w:val="00066916"/>
    <w:rsid w:val="00066A64"/>
    <w:rsid w:val="0007613E"/>
    <w:rsid w:val="00087104"/>
    <w:rsid w:val="000879BC"/>
    <w:rsid w:val="000902F9"/>
    <w:rsid w:val="000945D3"/>
    <w:rsid w:val="000A0CEF"/>
    <w:rsid w:val="000A135C"/>
    <w:rsid w:val="000B071A"/>
    <w:rsid w:val="000B3411"/>
    <w:rsid w:val="000B39C5"/>
    <w:rsid w:val="000B55E0"/>
    <w:rsid w:val="000B703B"/>
    <w:rsid w:val="000C18B9"/>
    <w:rsid w:val="000C52A1"/>
    <w:rsid w:val="000C5B91"/>
    <w:rsid w:val="000D3899"/>
    <w:rsid w:val="000E0D6C"/>
    <w:rsid w:val="000E4A6D"/>
    <w:rsid w:val="000E6B35"/>
    <w:rsid w:val="000F00C3"/>
    <w:rsid w:val="000F15A6"/>
    <w:rsid w:val="000F7663"/>
    <w:rsid w:val="001001E9"/>
    <w:rsid w:val="0010073E"/>
    <w:rsid w:val="00104CF6"/>
    <w:rsid w:val="00107712"/>
    <w:rsid w:val="00107E60"/>
    <w:rsid w:val="00111E71"/>
    <w:rsid w:val="00114F93"/>
    <w:rsid w:val="001172C6"/>
    <w:rsid w:val="00125401"/>
    <w:rsid w:val="001312DC"/>
    <w:rsid w:val="00152956"/>
    <w:rsid w:val="00152AEE"/>
    <w:rsid w:val="00157BC8"/>
    <w:rsid w:val="00172EE0"/>
    <w:rsid w:val="00181477"/>
    <w:rsid w:val="001822F6"/>
    <w:rsid w:val="00186AB6"/>
    <w:rsid w:val="00187461"/>
    <w:rsid w:val="00190840"/>
    <w:rsid w:val="001A0368"/>
    <w:rsid w:val="001A4A02"/>
    <w:rsid w:val="001A7434"/>
    <w:rsid w:val="001B5218"/>
    <w:rsid w:val="001B52C7"/>
    <w:rsid w:val="001B77D6"/>
    <w:rsid w:val="001C0F9B"/>
    <w:rsid w:val="001C2FA8"/>
    <w:rsid w:val="001C31BA"/>
    <w:rsid w:val="001C335B"/>
    <w:rsid w:val="001C58DB"/>
    <w:rsid w:val="001C5DEB"/>
    <w:rsid w:val="001C600D"/>
    <w:rsid w:val="001D12A7"/>
    <w:rsid w:val="001D3C1D"/>
    <w:rsid w:val="001D5BFB"/>
    <w:rsid w:val="001D70F5"/>
    <w:rsid w:val="001D764D"/>
    <w:rsid w:val="001D79E5"/>
    <w:rsid w:val="001E1276"/>
    <w:rsid w:val="001E78B4"/>
    <w:rsid w:val="001F1D99"/>
    <w:rsid w:val="001F3F31"/>
    <w:rsid w:val="001F6D72"/>
    <w:rsid w:val="001F7ABB"/>
    <w:rsid w:val="0020050C"/>
    <w:rsid w:val="00200B6F"/>
    <w:rsid w:val="00201567"/>
    <w:rsid w:val="00201B8C"/>
    <w:rsid w:val="002046B5"/>
    <w:rsid w:val="00206002"/>
    <w:rsid w:val="002131B3"/>
    <w:rsid w:val="00213CAD"/>
    <w:rsid w:val="002214F8"/>
    <w:rsid w:val="0022642B"/>
    <w:rsid w:val="00232D64"/>
    <w:rsid w:val="0024131E"/>
    <w:rsid w:val="00242E80"/>
    <w:rsid w:val="00243FD8"/>
    <w:rsid w:val="0024587F"/>
    <w:rsid w:val="00246C97"/>
    <w:rsid w:val="0025103B"/>
    <w:rsid w:val="0025270C"/>
    <w:rsid w:val="00254B92"/>
    <w:rsid w:val="0026288C"/>
    <w:rsid w:val="002663EA"/>
    <w:rsid w:val="00266EEC"/>
    <w:rsid w:val="002671BE"/>
    <w:rsid w:val="00267DD5"/>
    <w:rsid w:val="0027212A"/>
    <w:rsid w:val="0027266F"/>
    <w:rsid w:val="00274D7E"/>
    <w:rsid w:val="002779B7"/>
    <w:rsid w:val="00282D73"/>
    <w:rsid w:val="0029628E"/>
    <w:rsid w:val="002B0B9E"/>
    <w:rsid w:val="002B62DE"/>
    <w:rsid w:val="002C18ED"/>
    <w:rsid w:val="002C2F94"/>
    <w:rsid w:val="002C389A"/>
    <w:rsid w:val="002C402D"/>
    <w:rsid w:val="002D185B"/>
    <w:rsid w:val="002D4AC8"/>
    <w:rsid w:val="002D5001"/>
    <w:rsid w:val="002E3551"/>
    <w:rsid w:val="002E3F48"/>
    <w:rsid w:val="002E4A52"/>
    <w:rsid w:val="002E66F9"/>
    <w:rsid w:val="002F0440"/>
    <w:rsid w:val="002F14CF"/>
    <w:rsid w:val="002F79D4"/>
    <w:rsid w:val="00301F70"/>
    <w:rsid w:val="00303FA5"/>
    <w:rsid w:val="003059D5"/>
    <w:rsid w:val="00305A25"/>
    <w:rsid w:val="0031145E"/>
    <w:rsid w:val="00311782"/>
    <w:rsid w:val="0031331A"/>
    <w:rsid w:val="00316786"/>
    <w:rsid w:val="0032041A"/>
    <w:rsid w:val="003239C5"/>
    <w:rsid w:val="00325144"/>
    <w:rsid w:val="003270C4"/>
    <w:rsid w:val="00330372"/>
    <w:rsid w:val="00331DEA"/>
    <w:rsid w:val="00333AF4"/>
    <w:rsid w:val="00334935"/>
    <w:rsid w:val="00335E7F"/>
    <w:rsid w:val="00337BB7"/>
    <w:rsid w:val="0034055D"/>
    <w:rsid w:val="003465C8"/>
    <w:rsid w:val="00350DC0"/>
    <w:rsid w:val="003510A8"/>
    <w:rsid w:val="00352C78"/>
    <w:rsid w:val="00355ABD"/>
    <w:rsid w:val="00370711"/>
    <w:rsid w:val="0037138C"/>
    <w:rsid w:val="00381F18"/>
    <w:rsid w:val="0038390D"/>
    <w:rsid w:val="003857EC"/>
    <w:rsid w:val="00386D32"/>
    <w:rsid w:val="0039037B"/>
    <w:rsid w:val="003906D8"/>
    <w:rsid w:val="00391809"/>
    <w:rsid w:val="00393CA6"/>
    <w:rsid w:val="003A06E8"/>
    <w:rsid w:val="003A201A"/>
    <w:rsid w:val="003A5592"/>
    <w:rsid w:val="003B0348"/>
    <w:rsid w:val="003B56DB"/>
    <w:rsid w:val="003C1AB0"/>
    <w:rsid w:val="003C1BC9"/>
    <w:rsid w:val="003D0043"/>
    <w:rsid w:val="003D2A51"/>
    <w:rsid w:val="003D3BA0"/>
    <w:rsid w:val="003D7045"/>
    <w:rsid w:val="003E1B95"/>
    <w:rsid w:val="003E2410"/>
    <w:rsid w:val="00402413"/>
    <w:rsid w:val="004076B9"/>
    <w:rsid w:val="00407810"/>
    <w:rsid w:val="00407E57"/>
    <w:rsid w:val="00411042"/>
    <w:rsid w:val="00412A61"/>
    <w:rsid w:val="00415DF6"/>
    <w:rsid w:val="004227D1"/>
    <w:rsid w:val="00423388"/>
    <w:rsid w:val="00424144"/>
    <w:rsid w:val="00426598"/>
    <w:rsid w:val="004278D1"/>
    <w:rsid w:val="004408DF"/>
    <w:rsid w:val="004440CB"/>
    <w:rsid w:val="00444FD2"/>
    <w:rsid w:val="004454ED"/>
    <w:rsid w:val="00445E69"/>
    <w:rsid w:val="004575A9"/>
    <w:rsid w:val="00461C43"/>
    <w:rsid w:val="0046390A"/>
    <w:rsid w:val="00467E87"/>
    <w:rsid w:val="004713D2"/>
    <w:rsid w:val="00472390"/>
    <w:rsid w:val="00473AB3"/>
    <w:rsid w:val="00474F21"/>
    <w:rsid w:val="004817F3"/>
    <w:rsid w:val="00481C39"/>
    <w:rsid w:val="00487AC3"/>
    <w:rsid w:val="004918F1"/>
    <w:rsid w:val="00497EB0"/>
    <w:rsid w:val="004A05FC"/>
    <w:rsid w:val="004A0FD4"/>
    <w:rsid w:val="004A18C6"/>
    <w:rsid w:val="004A2D18"/>
    <w:rsid w:val="004A64D0"/>
    <w:rsid w:val="004B0082"/>
    <w:rsid w:val="004B4D02"/>
    <w:rsid w:val="004C04DB"/>
    <w:rsid w:val="004C370E"/>
    <w:rsid w:val="004D2BC7"/>
    <w:rsid w:val="004D4E14"/>
    <w:rsid w:val="004D541A"/>
    <w:rsid w:val="004D6E6B"/>
    <w:rsid w:val="004E7F65"/>
    <w:rsid w:val="004F6E72"/>
    <w:rsid w:val="004F7173"/>
    <w:rsid w:val="0051050B"/>
    <w:rsid w:val="0051181E"/>
    <w:rsid w:val="00530395"/>
    <w:rsid w:val="00530E15"/>
    <w:rsid w:val="005354C6"/>
    <w:rsid w:val="00535678"/>
    <w:rsid w:val="0053735D"/>
    <w:rsid w:val="00540B6A"/>
    <w:rsid w:val="00540DDE"/>
    <w:rsid w:val="00541FE3"/>
    <w:rsid w:val="005478C9"/>
    <w:rsid w:val="00547C79"/>
    <w:rsid w:val="00550023"/>
    <w:rsid w:val="00550412"/>
    <w:rsid w:val="00550E6A"/>
    <w:rsid w:val="00552B8A"/>
    <w:rsid w:val="0055386A"/>
    <w:rsid w:val="00554426"/>
    <w:rsid w:val="00555018"/>
    <w:rsid w:val="00563A18"/>
    <w:rsid w:val="00571789"/>
    <w:rsid w:val="00573858"/>
    <w:rsid w:val="00573B23"/>
    <w:rsid w:val="005741F6"/>
    <w:rsid w:val="00580EC6"/>
    <w:rsid w:val="005817B7"/>
    <w:rsid w:val="0058202D"/>
    <w:rsid w:val="00592B05"/>
    <w:rsid w:val="005948F1"/>
    <w:rsid w:val="00594C3E"/>
    <w:rsid w:val="005A24EF"/>
    <w:rsid w:val="005A4243"/>
    <w:rsid w:val="005A4787"/>
    <w:rsid w:val="005B2884"/>
    <w:rsid w:val="005C5E81"/>
    <w:rsid w:val="005C7DEC"/>
    <w:rsid w:val="005C7E5B"/>
    <w:rsid w:val="005D2E57"/>
    <w:rsid w:val="005D4AA7"/>
    <w:rsid w:val="005E150B"/>
    <w:rsid w:val="005E7E85"/>
    <w:rsid w:val="006040A8"/>
    <w:rsid w:val="0061550A"/>
    <w:rsid w:val="00615AB1"/>
    <w:rsid w:val="00615E64"/>
    <w:rsid w:val="00622333"/>
    <w:rsid w:val="006239E8"/>
    <w:rsid w:val="006418B0"/>
    <w:rsid w:val="00641D42"/>
    <w:rsid w:val="006435C0"/>
    <w:rsid w:val="0064375F"/>
    <w:rsid w:val="00650D8E"/>
    <w:rsid w:val="0066129F"/>
    <w:rsid w:val="00662809"/>
    <w:rsid w:val="0067097E"/>
    <w:rsid w:val="00671E5A"/>
    <w:rsid w:val="0067727F"/>
    <w:rsid w:val="006807C0"/>
    <w:rsid w:val="006818DD"/>
    <w:rsid w:val="006861CE"/>
    <w:rsid w:val="00697E6D"/>
    <w:rsid w:val="006A24A9"/>
    <w:rsid w:val="006A6C7D"/>
    <w:rsid w:val="006B3D07"/>
    <w:rsid w:val="006B4D16"/>
    <w:rsid w:val="006B6346"/>
    <w:rsid w:val="006B7E26"/>
    <w:rsid w:val="006C283C"/>
    <w:rsid w:val="006C59C9"/>
    <w:rsid w:val="006D01F6"/>
    <w:rsid w:val="006D49D8"/>
    <w:rsid w:val="006D5838"/>
    <w:rsid w:val="006D6359"/>
    <w:rsid w:val="006E25FF"/>
    <w:rsid w:val="006E2652"/>
    <w:rsid w:val="006E5B7A"/>
    <w:rsid w:val="006F226E"/>
    <w:rsid w:val="006F51A8"/>
    <w:rsid w:val="00706127"/>
    <w:rsid w:val="00714102"/>
    <w:rsid w:val="007163D8"/>
    <w:rsid w:val="007167F5"/>
    <w:rsid w:val="00720B6F"/>
    <w:rsid w:val="007229E9"/>
    <w:rsid w:val="00724906"/>
    <w:rsid w:val="00725174"/>
    <w:rsid w:val="00731CFA"/>
    <w:rsid w:val="0073675F"/>
    <w:rsid w:val="007437DA"/>
    <w:rsid w:val="007472C1"/>
    <w:rsid w:val="007535BB"/>
    <w:rsid w:val="00760484"/>
    <w:rsid w:val="007611FE"/>
    <w:rsid w:val="00766739"/>
    <w:rsid w:val="00774F0C"/>
    <w:rsid w:val="00777E1D"/>
    <w:rsid w:val="00785050"/>
    <w:rsid w:val="0078749D"/>
    <w:rsid w:val="00791F7D"/>
    <w:rsid w:val="00793E19"/>
    <w:rsid w:val="007B03A9"/>
    <w:rsid w:val="007B4C52"/>
    <w:rsid w:val="007B4C7C"/>
    <w:rsid w:val="007C04E5"/>
    <w:rsid w:val="007C156B"/>
    <w:rsid w:val="007C592E"/>
    <w:rsid w:val="007C70D8"/>
    <w:rsid w:val="007D0766"/>
    <w:rsid w:val="007D5A59"/>
    <w:rsid w:val="007D616C"/>
    <w:rsid w:val="007E17BE"/>
    <w:rsid w:val="007E1AD6"/>
    <w:rsid w:val="007E3B6D"/>
    <w:rsid w:val="007E79A6"/>
    <w:rsid w:val="007F0829"/>
    <w:rsid w:val="007F2DE8"/>
    <w:rsid w:val="007F375A"/>
    <w:rsid w:val="007F4FEB"/>
    <w:rsid w:val="007F62AB"/>
    <w:rsid w:val="00803A23"/>
    <w:rsid w:val="008061C2"/>
    <w:rsid w:val="00815BF2"/>
    <w:rsid w:val="00820C41"/>
    <w:rsid w:val="008235BE"/>
    <w:rsid w:val="00823EC4"/>
    <w:rsid w:val="00825070"/>
    <w:rsid w:val="00826AAB"/>
    <w:rsid w:val="0083542F"/>
    <w:rsid w:val="00836018"/>
    <w:rsid w:val="008474F2"/>
    <w:rsid w:val="008475D7"/>
    <w:rsid w:val="00851799"/>
    <w:rsid w:val="00855CD6"/>
    <w:rsid w:val="00861742"/>
    <w:rsid w:val="0086515A"/>
    <w:rsid w:val="00865634"/>
    <w:rsid w:val="00867243"/>
    <w:rsid w:val="00880E9C"/>
    <w:rsid w:val="008947BB"/>
    <w:rsid w:val="00897895"/>
    <w:rsid w:val="008A154B"/>
    <w:rsid w:val="008A40E0"/>
    <w:rsid w:val="008B7425"/>
    <w:rsid w:val="008C18B2"/>
    <w:rsid w:val="008C1FAE"/>
    <w:rsid w:val="008C331F"/>
    <w:rsid w:val="008C39D5"/>
    <w:rsid w:val="008C3A1D"/>
    <w:rsid w:val="008C5091"/>
    <w:rsid w:val="008D7A58"/>
    <w:rsid w:val="008E051A"/>
    <w:rsid w:val="008E36A7"/>
    <w:rsid w:val="008F38D2"/>
    <w:rsid w:val="008F717C"/>
    <w:rsid w:val="008F7F1E"/>
    <w:rsid w:val="00904165"/>
    <w:rsid w:val="00905655"/>
    <w:rsid w:val="00907E93"/>
    <w:rsid w:val="00910639"/>
    <w:rsid w:val="009133CF"/>
    <w:rsid w:val="009154BD"/>
    <w:rsid w:val="0092080B"/>
    <w:rsid w:val="00924366"/>
    <w:rsid w:val="009313EE"/>
    <w:rsid w:val="009351B6"/>
    <w:rsid w:val="009374E4"/>
    <w:rsid w:val="00940E84"/>
    <w:rsid w:val="00945BC1"/>
    <w:rsid w:val="00946BB4"/>
    <w:rsid w:val="00946E55"/>
    <w:rsid w:val="00947FBE"/>
    <w:rsid w:val="00950114"/>
    <w:rsid w:val="0096171F"/>
    <w:rsid w:val="00963A31"/>
    <w:rsid w:val="009645CD"/>
    <w:rsid w:val="00970DEB"/>
    <w:rsid w:val="00972019"/>
    <w:rsid w:val="00981A1F"/>
    <w:rsid w:val="00984F56"/>
    <w:rsid w:val="00991714"/>
    <w:rsid w:val="009969DA"/>
    <w:rsid w:val="009A08E8"/>
    <w:rsid w:val="009A4A2C"/>
    <w:rsid w:val="009A4FB3"/>
    <w:rsid w:val="009B0C94"/>
    <w:rsid w:val="009B51E4"/>
    <w:rsid w:val="009B5669"/>
    <w:rsid w:val="009B619C"/>
    <w:rsid w:val="009B658C"/>
    <w:rsid w:val="009C455C"/>
    <w:rsid w:val="009C485F"/>
    <w:rsid w:val="009E20DD"/>
    <w:rsid w:val="009F427F"/>
    <w:rsid w:val="009F524F"/>
    <w:rsid w:val="009F68F4"/>
    <w:rsid w:val="00A02507"/>
    <w:rsid w:val="00A049B0"/>
    <w:rsid w:val="00A05EDB"/>
    <w:rsid w:val="00A06A16"/>
    <w:rsid w:val="00A11BDC"/>
    <w:rsid w:val="00A11ED0"/>
    <w:rsid w:val="00A12823"/>
    <w:rsid w:val="00A13CBC"/>
    <w:rsid w:val="00A15144"/>
    <w:rsid w:val="00A2170F"/>
    <w:rsid w:val="00A268A9"/>
    <w:rsid w:val="00A30115"/>
    <w:rsid w:val="00A303ED"/>
    <w:rsid w:val="00A30959"/>
    <w:rsid w:val="00A3182D"/>
    <w:rsid w:val="00A35101"/>
    <w:rsid w:val="00A4134E"/>
    <w:rsid w:val="00A52A66"/>
    <w:rsid w:val="00A52CD9"/>
    <w:rsid w:val="00A532C2"/>
    <w:rsid w:val="00A570AE"/>
    <w:rsid w:val="00A6445C"/>
    <w:rsid w:val="00A66F3C"/>
    <w:rsid w:val="00A70142"/>
    <w:rsid w:val="00A716DD"/>
    <w:rsid w:val="00A766B1"/>
    <w:rsid w:val="00A83C12"/>
    <w:rsid w:val="00A870EF"/>
    <w:rsid w:val="00A90DAD"/>
    <w:rsid w:val="00A93C47"/>
    <w:rsid w:val="00AA0006"/>
    <w:rsid w:val="00AA3EFB"/>
    <w:rsid w:val="00AA4AAC"/>
    <w:rsid w:val="00AB2E69"/>
    <w:rsid w:val="00AB3BCF"/>
    <w:rsid w:val="00AC3813"/>
    <w:rsid w:val="00AD076F"/>
    <w:rsid w:val="00AD4B71"/>
    <w:rsid w:val="00AE555C"/>
    <w:rsid w:val="00AF12FB"/>
    <w:rsid w:val="00AF56F5"/>
    <w:rsid w:val="00B03E1C"/>
    <w:rsid w:val="00B14832"/>
    <w:rsid w:val="00B14970"/>
    <w:rsid w:val="00B20F90"/>
    <w:rsid w:val="00B216D4"/>
    <w:rsid w:val="00B24B05"/>
    <w:rsid w:val="00B25721"/>
    <w:rsid w:val="00B316DC"/>
    <w:rsid w:val="00B36F9D"/>
    <w:rsid w:val="00B37EF9"/>
    <w:rsid w:val="00B41137"/>
    <w:rsid w:val="00B46464"/>
    <w:rsid w:val="00B4693F"/>
    <w:rsid w:val="00B47BDF"/>
    <w:rsid w:val="00B571D9"/>
    <w:rsid w:val="00B57451"/>
    <w:rsid w:val="00B60244"/>
    <w:rsid w:val="00B6135D"/>
    <w:rsid w:val="00B66A64"/>
    <w:rsid w:val="00B702A0"/>
    <w:rsid w:val="00B70684"/>
    <w:rsid w:val="00B70EB9"/>
    <w:rsid w:val="00B75CCF"/>
    <w:rsid w:val="00B807DC"/>
    <w:rsid w:val="00B8514B"/>
    <w:rsid w:val="00B8540B"/>
    <w:rsid w:val="00B916C0"/>
    <w:rsid w:val="00B944E4"/>
    <w:rsid w:val="00B96CF8"/>
    <w:rsid w:val="00BA0F95"/>
    <w:rsid w:val="00BA43F4"/>
    <w:rsid w:val="00BB022F"/>
    <w:rsid w:val="00BB20A7"/>
    <w:rsid w:val="00BB5C37"/>
    <w:rsid w:val="00BB6946"/>
    <w:rsid w:val="00BB7826"/>
    <w:rsid w:val="00BC7625"/>
    <w:rsid w:val="00BD3BEF"/>
    <w:rsid w:val="00BE1535"/>
    <w:rsid w:val="00BE6740"/>
    <w:rsid w:val="00BF1E8A"/>
    <w:rsid w:val="00BF358A"/>
    <w:rsid w:val="00C0210B"/>
    <w:rsid w:val="00C02C38"/>
    <w:rsid w:val="00C03581"/>
    <w:rsid w:val="00C16CC2"/>
    <w:rsid w:val="00C20997"/>
    <w:rsid w:val="00C214BA"/>
    <w:rsid w:val="00C21A5A"/>
    <w:rsid w:val="00C21D1D"/>
    <w:rsid w:val="00C22AFC"/>
    <w:rsid w:val="00C2490A"/>
    <w:rsid w:val="00C3289F"/>
    <w:rsid w:val="00C32ECE"/>
    <w:rsid w:val="00C35472"/>
    <w:rsid w:val="00C41CC9"/>
    <w:rsid w:val="00C4275E"/>
    <w:rsid w:val="00C44952"/>
    <w:rsid w:val="00C5295F"/>
    <w:rsid w:val="00C53A97"/>
    <w:rsid w:val="00C6071A"/>
    <w:rsid w:val="00C64EE2"/>
    <w:rsid w:val="00C65A5F"/>
    <w:rsid w:val="00C7303D"/>
    <w:rsid w:val="00C760D6"/>
    <w:rsid w:val="00C80DB5"/>
    <w:rsid w:val="00C869B3"/>
    <w:rsid w:val="00C921AC"/>
    <w:rsid w:val="00C94B00"/>
    <w:rsid w:val="00C94DCC"/>
    <w:rsid w:val="00C9772C"/>
    <w:rsid w:val="00CA1098"/>
    <w:rsid w:val="00CA5BA8"/>
    <w:rsid w:val="00CA5E1E"/>
    <w:rsid w:val="00CA6920"/>
    <w:rsid w:val="00CA6DDD"/>
    <w:rsid w:val="00CB07A7"/>
    <w:rsid w:val="00CB5806"/>
    <w:rsid w:val="00CC4859"/>
    <w:rsid w:val="00CD43AA"/>
    <w:rsid w:val="00CD5E40"/>
    <w:rsid w:val="00CE269C"/>
    <w:rsid w:val="00CE532D"/>
    <w:rsid w:val="00CE7DA0"/>
    <w:rsid w:val="00CF263E"/>
    <w:rsid w:val="00CF32AA"/>
    <w:rsid w:val="00CF4C00"/>
    <w:rsid w:val="00CF57A0"/>
    <w:rsid w:val="00D0004D"/>
    <w:rsid w:val="00D01A55"/>
    <w:rsid w:val="00D12104"/>
    <w:rsid w:val="00D13D23"/>
    <w:rsid w:val="00D15D15"/>
    <w:rsid w:val="00D16947"/>
    <w:rsid w:val="00D16DB8"/>
    <w:rsid w:val="00D20664"/>
    <w:rsid w:val="00D24CA2"/>
    <w:rsid w:val="00D344EE"/>
    <w:rsid w:val="00D5351E"/>
    <w:rsid w:val="00D61B6F"/>
    <w:rsid w:val="00D65895"/>
    <w:rsid w:val="00D750F8"/>
    <w:rsid w:val="00D759DB"/>
    <w:rsid w:val="00D81D5E"/>
    <w:rsid w:val="00D8699D"/>
    <w:rsid w:val="00D87E0E"/>
    <w:rsid w:val="00D9121C"/>
    <w:rsid w:val="00D91310"/>
    <w:rsid w:val="00D9263A"/>
    <w:rsid w:val="00D93BA6"/>
    <w:rsid w:val="00D95836"/>
    <w:rsid w:val="00D96D40"/>
    <w:rsid w:val="00DA0051"/>
    <w:rsid w:val="00DA1E64"/>
    <w:rsid w:val="00DA54A6"/>
    <w:rsid w:val="00DB1E53"/>
    <w:rsid w:val="00DB25BF"/>
    <w:rsid w:val="00DB3451"/>
    <w:rsid w:val="00DB4C88"/>
    <w:rsid w:val="00DC2909"/>
    <w:rsid w:val="00DC7D84"/>
    <w:rsid w:val="00DD122E"/>
    <w:rsid w:val="00DD48C9"/>
    <w:rsid w:val="00DD58BD"/>
    <w:rsid w:val="00DE189A"/>
    <w:rsid w:val="00DE6362"/>
    <w:rsid w:val="00DF0352"/>
    <w:rsid w:val="00DF0678"/>
    <w:rsid w:val="00DF45DC"/>
    <w:rsid w:val="00E02E70"/>
    <w:rsid w:val="00E06433"/>
    <w:rsid w:val="00E073CB"/>
    <w:rsid w:val="00E142AE"/>
    <w:rsid w:val="00E14B9C"/>
    <w:rsid w:val="00E17E3B"/>
    <w:rsid w:val="00E20D6B"/>
    <w:rsid w:val="00E226FE"/>
    <w:rsid w:val="00E251EA"/>
    <w:rsid w:val="00E35157"/>
    <w:rsid w:val="00E35171"/>
    <w:rsid w:val="00E36FA6"/>
    <w:rsid w:val="00E37C6F"/>
    <w:rsid w:val="00E42B7F"/>
    <w:rsid w:val="00E63FA4"/>
    <w:rsid w:val="00E64136"/>
    <w:rsid w:val="00E722CA"/>
    <w:rsid w:val="00E73DB1"/>
    <w:rsid w:val="00E82727"/>
    <w:rsid w:val="00E86227"/>
    <w:rsid w:val="00E930DD"/>
    <w:rsid w:val="00E9570B"/>
    <w:rsid w:val="00EA477A"/>
    <w:rsid w:val="00EA5757"/>
    <w:rsid w:val="00EB0B16"/>
    <w:rsid w:val="00EB1664"/>
    <w:rsid w:val="00EC5454"/>
    <w:rsid w:val="00EC56E8"/>
    <w:rsid w:val="00EC734A"/>
    <w:rsid w:val="00ED2C1E"/>
    <w:rsid w:val="00ED3B45"/>
    <w:rsid w:val="00EE095D"/>
    <w:rsid w:val="00EE4536"/>
    <w:rsid w:val="00EE59B4"/>
    <w:rsid w:val="00EF237A"/>
    <w:rsid w:val="00EF62F7"/>
    <w:rsid w:val="00EF7583"/>
    <w:rsid w:val="00F02F4A"/>
    <w:rsid w:val="00F042CB"/>
    <w:rsid w:val="00F07771"/>
    <w:rsid w:val="00F126F3"/>
    <w:rsid w:val="00F146E4"/>
    <w:rsid w:val="00F17D8C"/>
    <w:rsid w:val="00F22B8F"/>
    <w:rsid w:val="00F24AF0"/>
    <w:rsid w:val="00F3003D"/>
    <w:rsid w:val="00F315D1"/>
    <w:rsid w:val="00F37DC2"/>
    <w:rsid w:val="00F43ADF"/>
    <w:rsid w:val="00F44E24"/>
    <w:rsid w:val="00F4686E"/>
    <w:rsid w:val="00F52F63"/>
    <w:rsid w:val="00F54B0F"/>
    <w:rsid w:val="00F566F4"/>
    <w:rsid w:val="00F60859"/>
    <w:rsid w:val="00F65FAA"/>
    <w:rsid w:val="00F816B8"/>
    <w:rsid w:val="00F82905"/>
    <w:rsid w:val="00F84593"/>
    <w:rsid w:val="00F85B37"/>
    <w:rsid w:val="00F86C0C"/>
    <w:rsid w:val="00F90AAD"/>
    <w:rsid w:val="00F969D4"/>
    <w:rsid w:val="00FA5E88"/>
    <w:rsid w:val="00FB10AE"/>
    <w:rsid w:val="00FB15C0"/>
    <w:rsid w:val="00FB6815"/>
    <w:rsid w:val="00FC5FDD"/>
    <w:rsid w:val="00FD19DB"/>
    <w:rsid w:val="00FD4E9F"/>
    <w:rsid w:val="00FE19D4"/>
    <w:rsid w:val="00FE3A8E"/>
    <w:rsid w:val="00FE678A"/>
    <w:rsid w:val="00FF3EEB"/>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unhideWhenUsed/>
    <w:rsid w:val="002F79D4"/>
    <w:rPr>
      <w:sz w:val="20"/>
    </w:rPr>
  </w:style>
  <w:style w:type="character" w:customStyle="1" w:styleId="FootnoteTextChar">
    <w:name w:val="Footnote Text Char"/>
    <w:link w:val="FootnoteText"/>
    <w:uiPriority w:val="99"/>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character" w:styleId="Hyperlink">
    <w:name w:val="Hyperlink"/>
    <w:basedOn w:val="DefaultParagraphFont"/>
    <w:uiPriority w:val="99"/>
    <w:unhideWhenUsed/>
    <w:rsid w:val="00335E7F"/>
    <w:rPr>
      <w:color w:val="467886" w:themeColor="hyperlink"/>
      <w:u w:val="single"/>
    </w:rPr>
  </w:style>
  <w:style w:type="character" w:styleId="UnresolvedMention">
    <w:name w:val="Unresolved Mention"/>
    <w:basedOn w:val="DefaultParagraphFont"/>
    <w:uiPriority w:val="47"/>
    <w:rsid w:val="00335E7F"/>
    <w:rPr>
      <w:color w:val="605E5C"/>
      <w:shd w:val="clear" w:color="auto" w:fill="E1DFDD"/>
    </w:rPr>
  </w:style>
  <w:style w:type="character" w:styleId="FollowedHyperlink">
    <w:name w:val="FollowedHyperlink"/>
    <w:basedOn w:val="DefaultParagraphFont"/>
    <w:uiPriority w:val="99"/>
    <w:semiHidden/>
    <w:unhideWhenUsed/>
    <w:rsid w:val="0046390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2.xml><?xml version="1.0" encoding="utf-8"?>
<ds:datastoreItem xmlns:ds="http://schemas.openxmlformats.org/officeDocument/2006/customXml" ds:itemID="{708BCC2D-513E-4C36-8BFD-371211E2A2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4.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Medida-V2009</Template>
  <TotalTime>0</TotalTime>
  <Pages>9</Pages>
  <Words>2834</Words>
  <Characters>15135</Characters>
  <Application>Microsoft Office Word</Application>
  <DocSecurity>4</DocSecurity>
  <Lines>280</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Camyl Moreno Pantojas</cp:lastModifiedBy>
  <cp:revision>2</cp:revision>
  <cp:lastPrinted>2026-01-21T18:43:00Z</cp:lastPrinted>
  <dcterms:created xsi:type="dcterms:W3CDTF">2026-01-23T17:36:00Z</dcterms:created>
  <dcterms:modified xsi:type="dcterms:W3CDTF">2026-01-23T17:36:00Z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_dlc_DocIdItemGuid">
    <vt:lpwstr>4a27ab38-d813-4d81-a2ff-6fe467b9f1c9</vt:lpwstr>
  </property>
  <property fmtid="{D5CDD505-2E9C-101B-9397-08002B2CF9AE}" pid="4" name="MediaServiceImageTags">
    <vt:lpwstr/>
  </property>
</Properties>
</file>