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3D2A5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3D2A51">
        <w:rPr>
          <w:rFonts w:ascii="Book Antiqua" w:hAnsi="Book Antiqua"/>
          <w:sz w:val="28"/>
          <w:szCs w:val="28"/>
          <w:lang w:val="es-ES"/>
        </w:rPr>
        <w:t>GOBIERNO DE PUERTO RICO</w:t>
      </w:r>
    </w:p>
    <w:p w14:paraId="24353140" w14:textId="77777777" w:rsidR="007535BB" w:rsidRPr="003D2A5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3D2A51" w14:paraId="4DE77E24" w14:textId="77777777" w:rsidTr="00D95836">
        <w:trPr>
          <w:trHeight w:val="900"/>
        </w:trPr>
        <w:tc>
          <w:tcPr>
            <w:tcW w:w="3170" w:type="dxa"/>
          </w:tcPr>
          <w:p w14:paraId="27AF3912" w14:textId="77777777" w:rsidR="007535BB" w:rsidRPr="003D2A51" w:rsidRDefault="007535BB" w:rsidP="00D95836">
            <w:pPr>
              <w:rPr>
                <w:rFonts w:ascii="Book Antiqua" w:hAnsi="Book Antiqua"/>
                <w:lang w:val="es-ES"/>
              </w:rPr>
            </w:pPr>
            <w:r w:rsidRPr="003D2A51">
              <w:rPr>
                <w:rFonts w:ascii="Book Antiqua" w:hAnsi="Book Antiqua"/>
                <w:lang w:val="es-ES"/>
              </w:rPr>
              <w:t>20</w:t>
            </w:r>
            <w:r w:rsidRPr="003D2A51">
              <w:rPr>
                <w:rFonts w:ascii="Book Antiqua" w:hAnsi="Book Antiqua"/>
                <w:vertAlign w:val="superscript"/>
                <w:lang w:val="es-ES"/>
              </w:rPr>
              <w:t>ma.</w:t>
            </w:r>
            <w:r w:rsidRPr="003D2A51">
              <w:rPr>
                <w:rFonts w:ascii="Book Antiqua" w:hAnsi="Book Antiqua"/>
                <w:lang w:val="es-ES"/>
              </w:rPr>
              <w:tab/>
              <w:t>Asamblea</w:t>
            </w:r>
          </w:p>
          <w:p w14:paraId="082D32B2" w14:textId="77777777" w:rsidR="007535BB" w:rsidRPr="003D2A51" w:rsidRDefault="007535BB" w:rsidP="00D95836">
            <w:pPr>
              <w:rPr>
                <w:rFonts w:ascii="Book Antiqua" w:hAnsi="Book Antiqua"/>
                <w:sz w:val="36"/>
                <w:lang w:val="es-ES"/>
              </w:rPr>
            </w:pPr>
            <w:r w:rsidRPr="003D2A51">
              <w:rPr>
                <w:rFonts w:ascii="Book Antiqua" w:hAnsi="Book Antiqua"/>
                <w:lang w:val="es-ES"/>
              </w:rPr>
              <w:t xml:space="preserve">         </w:t>
            </w:r>
            <w:r w:rsidRPr="003D2A51">
              <w:rPr>
                <w:rFonts w:ascii="Book Antiqua" w:hAnsi="Book Antiqua"/>
                <w:lang w:val="es-ES"/>
              </w:rPr>
              <w:tab/>
              <w:t xml:space="preserve">Legislativa                                                                                                          </w:t>
            </w:r>
          </w:p>
        </w:tc>
        <w:tc>
          <w:tcPr>
            <w:tcW w:w="3171" w:type="dxa"/>
          </w:tcPr>
          <w:p w14:paraId="48FE9142" w14:textId="77777777" w:rsidR="007535BB" w:rsidRPr="003D2A51" w:rsidRDefault="007535BB" w:rsidP="00D95836">
            <w:pPr>
              <w:jc w:val="center"/>
              <w:rPr>
                <w:rFonts w:ascii="Book Antiqua" w:hAnsi="Book Antiqua"/>
                <w:sz w:val="36"/>
                <w:lang w:val="es-ES"/>
              </w:rPr>
            </w:pPr>
          </w:p>
        </w:tc>
        <w:tc>
          <w:tcPr>
            <w:tcW w:w="3268" w:type="dxa"/>
          </w:tcPr>
          <w:p w14:paraId="69176C76" w14:textId="2F06252B" w:rsidR="007535BB" w:rsidRPr="003D2A51" w:rsidRDefault="007535BB" w:rsidP="00D95836">
            <w:pPr>
              <w:rPr>
                <w:rFonts w:ascii="Book Antiqua" w:hAnsi="Book Antiqua"/>
                <w:lang w:val="es-ES"/>
              </w:rPr>
            </w:pPr>
            <w:r w:rsidRPr="003D2A51">
              <w:rPr>
                <w:rFonts w:ascii="Book Antiqua" w:hAnsi="Book Antiqua"/>
                <w:lang w:val="es-ES"/>
              </w:rPr>
              <w:tab/>
            </w:r>
            <w:r w:rsidR="00E17E3B" w:rsidRPr="003D2A51">
              <w:rPr>
                <w:rFonts w:ascii="Book Antiqua" w:hAnsi="Book Antiqua"/>
                <w:lang w:val="es-ES"/>
              </w:rPr>
              <w:t>2</w:t>
            </w:r>
            <w:r w:rsidR="00E17E3B" w:rsidRPr="003D2A51">
              <w:rPr>
                <w:rFonts w:ascii="Book Antiqua" w:hAnsi="Book Antiqua"/>
                <w:vertAlign w:val="superscript"/>
                <w:lang w:val="es-ES"/>
              </w:rPr>
              <w:t>d</w:t>
            </w:r>
            <w:r w:rsidRPr="003D2A51">
              <w:rPr>
                <w:rFonts w:ascii="Book Antiqua" w:hAnsi="Book Antiqua"/>
                <w:vertAlign w:val="superscript"/>
                <w:lang w:val="es-ES"/>
              </w:rPr>
              <w:t>a.</w:t>
            </w:r>
            <w:r w:rsidRPr="003D2A51">
              <w:rPr>
                <w:rFonts w:ascii="Book Antiqua" w:hAnsi="Book Antiqua"/>
                <w:lang w:val="es-ES"/>
              </w:rPr>
              <w:t xml:space="preserve"> Sesión</w:t>
            </w:r>
          </w:p>
          <w:p w14:paraId="42A8E2C1" w14:textId="6033C9E1" w:rsidR="007535BB" w:rsidRPr="003D2A51" w:rsidRDefault="007535BB" w:rsidP="00D95836">
            <w:pPr>
              <w:rPr>
                <w:rFonts w:ascii="Book Antiqua" w:hAnsi="Book Antiqua"/>
                <w:lang w:val="es-ES"/>
              </w:rPr>
            </w:pPr>
            <w:r w:rsidRPr="003D2A51">
              <w:rPr>
                <w:rFonts w:ascii="Book Antiqua" w:hAnsi="Book Antiqua"/>
                <w:lang w:val="es-ES"/>
              </w:rPr>
              <w:tab/>
              <w:t xml:space="preserve">      Ordinaria</w:t>
            </w:r>
          </w:p>
          <w:p w14:paraId="640FD190" w14:textId="77777777" w:rsidR="007535BB" w:rsidRPr="003D2A51" w:rsidRDefault="007535BB" w:rsidP="00D95836">
            <w:pPr>
              <w:jc w:val="center"/>
              <w:rPr>
                <w:rFonts w:ascii="Book Antiqua" w:hAnsi="Book Antiqua"/>
                <w:sz w:val="36"/>
                <w:lang w:val="es-ES"/>
              </w:rPr>
            </w:pPr>
          </w:p>
        </w:tc>
      </w:tr>
    </w:tbl>
    <w:bookmarkEnd w:id="0"/>
    <w:p w14:paraId="44DF1C72" w14:textId="77777777" w:rsidR="007535BB" w:rsidRPr="003D2A51" w:rsidRDefault="007535BB" w:rsidP="0027212A">
      <w:pPr>
        <w:spacing w:line="360" w:lineRule="auto"/>
        <w:jc w:val="center"/>
        <w:rPr>
          <w:rFonts w:ascii="Book Antiqua" w:hAnsi="Book Antiqua"/>
          <w:b/>
          <w:sz w:val="36"/>
          <w:lang w:val="es-ES"/>
        </w:rPr>
      </w:pPr>
      <w:r w:rsidRPr="003D2A51">
        <w:rPr>
          <w:rFonts w:ascii="Book Antiqua" w:hAnsi="Book Antiqua"/>
          <w:b/>
          <w:sz w:val="36"/>
          <w:lang w:val="es-ES"/>
        </w:rPr>
        <w:t>SENADO DE PUERTO RICO</w:t>
      </w:r>
      <w:bookmarkEnd w:id="1"/>
    </w:p>
    <w:p w14:paraId="3E53146F" w14:textId="7AD5430B" w:rsidR="007535BB" w:rsidRPr="003D2A51" w:rsidRDefault="007535BB" w:rsidP="0027212A">
      <w:pPr>
        <w:spacing w:line="360" w:lineRule="auto"/>
        <w:jc w:val="center"/>
        <w:rPr>
          <w:rFonts w:ascii="Book Antiqua" w:hAnsi="Book Antiqua"/>
          <w:b/>
          <w:sz w:val="52"/>
          <w:lang w:val="es-ES"/>
        </w:rPr>
      </w:pPr>
      <w:r w:rsidRPr="003D2A51">
        <w:rPr>
          <w:rFonts w:ascii="Book Antiqua" w:hAnsi="Book Antiqua"/>
          <w:b/>
          <w:sz w:val="52"/>
          <w:lang w:val="es-ES"/>
        </w:rPr>
        <w:t xml:space="preserve">P. del S. </w:t>
      </w:r>
      <w:r w:rsidR="00FB15C0" w:rsidRPr="003D2A51">
        <w:rPr>
          <w:rFonts w:ascii="Book Antiqua" w:hAnsi="Book Antiqua"/>
          <w:b/>
          <w:sz w:val="52"/>
          <w:lang w:val="es-ES"/>
        </w:rPr>
        <w:t>530</w:t>
      </w:r>
    </w:p>
    <w:p w14:paraId="1443CA0F" w14:textId="77777777" w:rsidR="007535BB" w:rsidRPr="003D2A51" w:rsidRDefault="007535BB" w:rsidP="0027212A">
      <w:pPr>
        <w:spacing w:line="360" w:lineRule="auto"/>
        <w:jc w:val="center"/>
        <w:rPr>
          <w:rFonts w:ascii="Book Antiqua" w:hAnsi="Book Antiqua"/>
          <w:b/>
          <w:bCs/>
          <w:lang w:val="es-ES"/>
        </w:rPr>
      </w:pPr>
      <w:r w:rsidRPr="003D2A51">
        <w:rPr>
          <w:rFonts w:ascii="Book Antiqua" w:hAnsi="Book Antiqua"/>
          <w:b/>
          <w:bCs/>
          <w:lang w:val="es-ES"/>
        </w:rPr>
        <w:t xml:space="preserve"> </w:t>
      </w:r>
      <w:bookmarkStart w:id="3" w:name="_Hlk183037684"/>
      <w:r w:rsidR="001B5218" w:rsidRPr="003D2A51">
        <w:rPr>
          <w:rFonts w:ascii="Book Antiqua" w:hAnsi="Book Antiqua"/>
          <w:b/>
          <w:bCs/>
          <w:sz w:val="28"/>
          <w:szCs w:val="22"/>
          <w:lang w:val="es-ES"/>
        </w:rPr>
        <w:t xml:space="preserve">INFORME POSITIVO </w:t>
      </w:r>
    </w:p>
    <w:p w14:paraId="07AB4BDD" w14:textId="23AB7277" w:rsidR="001B5218" w:rsidRPr="003D2A51" w:rsidRDefault="00092FF5" w:rsidP="0027212A">
      <w:pPr>
        <w:spacing w:line="360" w:lineRule="auto"/>
        <w:jc w:val="center"/>
        <w:rPr>
          <w:rFonts w:ascii="Book Antiqua" w:hAnsi="Book Antiqua"/>
          <w:lang w:val="es-ES"/>
        </w:rPr>
      </w:pPr>
      <w:r>
        <w:rPr>
          <w:rFonts w:ascii="Book Antiqua" w:hAnsi="Book Antiqua"/>
          <w:lang w:val="es-ES"/>
        </w:rPr>
        <w:t xml:space="preserve">14 </w:t>
      </w:r>
      <w:r w:rsidR="006239E8" w:rsidRPr="003D2A51">
        <w:rPr>
          <w:rFonts w:ascii="Book Antiqua" w:hAnsi="Book Antiqua"/>
          <w:lang w:val="es-ES"/>
        </w:rPr>
        <w:t xml:space="preserve">de agosto </w:t>
      </w:r>
      <w:r w:rsidR="00D13D23" w:rsidRPr="003D2A51">
        <w:rPr>
          <w:rFonts w:ascii="Book Antiqua" w:hAnsi="Book Antiqua"/>
          <w:lang w:val="es-ES"/>
        </w:rPr>
        <w:t>de 2025</w:t>
      </w:r>
    </w:p>
    <w:bookmarkEnd w:id="2"/>
    <w:bookmarkEnd w:id="3"/>
    <w:p w14:paraId="518A096B" w14:textId="07DCC0DC" w:rsidR="005B2884" w:rsidRPr="003D2A51" w:rsidRDefault="001B5218" w:rsidP="001B5218">
      <w:pPr>
        <w:tabs>
          <w:tab w:val="left" w:pos="-720"/>
        </w:tabs>
        <w:suppressAutoHyphens/>
        <w:spacing w:before="240" w:after="240" w:line="240" w:lineRule="atLeast"/>
        <w:rPr>
          <w:rFonts w:ascii="Book Antiqua" w:hAnsi="Book Antiqua"/>
          <w:szCs w:val="24"/>
          <w:lang w:val="es-ES"/>
        </w:rPr>
      </w:pPr>
      <w:r w:rsidRPr="003D2A51">
        <w:rPr>
          <w:rFonts w:ascii="Book Antiqua" w:hAnsi="Book Antiqua"/>
          <w:b/>
          <w:szCs w:val="24"/>
          <w:lang w:val="es-ES"/>
        </w:rPr>
        <w:t xml:space="preserve">AL SENADO DE PUERTO RICO: </w:t>
      </w:r>
    </w:p>
    <w:p w14:paraId="37982730" w14:textId="76C36A4F" w:rsidR="005B2884" w:rsidRPr="003D2A51" w:rsidRDefault="00A52CD9" w:rsidP="00006DDC">
      <w:pPr>
        <w:suppressAutoHyphens/>
        <w:jc w:val="both"/>
        <w:rPr>
          <w:rFonts w:ascii="Book Antiqua" w:hAnsi="Book Antiqua"/>
          <w:spacing w:val="-3"/>
          <w:lang w:val="es-ES"/>
        </w:rPr>
      </w:pPr>
      <w:r w:rsidRPr="003D2A51">
        <w:rPr>
          <w:rFonts w:ascii="Book Antiqua" w:hAnsi="Book Antiqua"/>
          <w:spacing w:val="-3"/>
          <w:lang w:val="es-ES"/>
        </w:rPr>
        <w:t xml:space="preserve">      </w:t>
      </w:r>
      <w:r w:rsidR="009F427F" w:rsidRPr="003D2A51">
        <w:rPr>
          <w:rFonts w:ascii="Book Antiqua" w:hAnsi="Book Antiqua"/>
          <w:spacing w:val="-3"/>
          <w:lang w:val="es-ES"/>
        </w:rPr>
        <w:tab/>
      </w:r>
      <w:r w:rsidR="001B5218" w:rsidRPr="003D2A51">
        <w:rPr>
          <w:rFonts w:ascii="Book Antiqua" w:hAnsi="Book Antiqua"/>
          <w:spacing w:val="-3"/>
          <w:lang w:val="es-ES"/>
        </w:rPr>
        <w:t xml:space="preserve">La </w:t>
      </w:r>
      <w:r w:rsidR="00E17E3B" w:rsidRPr="003D2A51">
        <w:rPr>
          <w:rFonts w:ascii="Book Antiqua" w:hAnsi="Book Antiqua"/>
          <w:spacing w:val="-3"/>
          <w:lang w:val="es-ES"/>
        </w:rPr>
        <w:t>Comisión de lo Jurídico del Senado de Puerto Rico</w:t>
      </w:r>
      <w:r w:rsidR="001B5218" w:rsidRPr="003D2A51">
        <w:rPr>
          <w:rFonts w:ascii="Book Antiqua" w:hAnsi="Book Antiqua"/>
          <w:spacing w:val="-3"/>
          <w:lang w:val="es-ES"/>
        </w:rPr>
        <w:t>, previo estudio y consideración</w:t>
      </w:r>
      <w:r w:rsidR="009F427F" w:rsidRPr="003D2A51">
        <w:rPr>
          <w:rFonts w:ascii="Book Antiqua" w:hAnsi="Book Antiqua"/>
          <w:spacing w:val="-3"/>
          <w:lang w:val="es-ES"/>
        </w:rPr>
        <w:t xml:space="preserve"> del </w:t>
      </w:r>
      <w:r w:rsidR="00FB15C0" w:rsidRPr="003D2A51">
        <w:rPr>
          <w:rFonts w:ascii="Book Antiqua" w:hAnsi="Book Antiqua"/>
          <w:spacing w:val="-3"/>
          <w:lang w:val="es-ES"/>
        </w:rPr>
        <w:t>Proyecto del Senado 530,</w:t>
      </w:r>
      <w:r w:rsidR="001B5218" w:rsidRPr="003D2A51">
        <w:rPr>
          <w:rFonts w:ascii="Book Antiqua" w:hAnsi="Book Antiqua"/>
          <w:spacing w:val="-3"/>
          <w:lang w:val="es-ES"/>
        </w:rPr>
        <w:t xml:space="preserve"> </w:t>
      </w:r>
      <w:r w:rsidR="009F427F" w:rsidRPr="003D2A51">
        <w:rPr>
          <w:rFonts w:ascii="Book Antiqua" w:hAnsi="Book Antiqua"/>
          <w:spacing w:val="-3"/>
          <w:lang w:val="es-ES"/>
        </w:rPr>
        <w:t>recomienda a este Alto Cuerpo su</w:t>
      </w:r>
      <w:r w:rsidR="008E051A" w:rsidRPr="003D2A51">
        <w:rPr>
          <w:rFonts w:ascii="Book Antiqua" w:hAnsi="Book Antiqua"/>
          <w:spacing w:val="-3"/>
          <w:lang w:val="es-ES"/>
        </w:rPr>
        <w:t xml:space="preserve"> </w:t>
      </w:r>
      <w:r w:rsidR="001B5218" w:rsidRPr="003D2A51">
        <w:rPr>
          <w:rFonts w:ascii="Book Antiqua" w:hAnsi="Book Antiqua"/>
          <w:spacing w:val="-3"/>
          <w:lang w:val="es-ES"/>
        </w:rPr>
        <w:t>aprobación, con las enmiendas contenidas en el entirillado electrónico que se acompaña</w:t>
      </w:r>
      <w:r w:rsidR="00FB15C0" w:rsidRPr="003D2A51">
        <w:rPr>
          <w:rFonts w:ascii="Book Antiqua" w:hAnsi="Book Antiqua"/>
          <w:spacing w:val="-3"/>
          <w:lang w:val="es-ES"/>
        </w:rPr>
        <w:t>.</w:t>
      </w:r>
    </w:p>
    <w:p w14:paraId="1C36686D" w14:textId="77777777" w:rsidR="000C52A1" w:rsidRPr="003D2A51" w:rsidRDefault="000C52A1" w:rsidP="00006DDC">
      <w:pPr>
        <w:suppressAutoHyphens/>
        <w:jc w:val="both"/>
        <w:rPr>
          <w:rFonts w:ascii="Book Antiqua" w:hAnsi="Book Antiqua"/>
          <w:spacing w:val="-3"/>
          <w:lang w:val="es-ES"/>
        </w:rPr>
      </w:pPr>
    </w:p>
    <w:p w14:paraId="632423B1" w14:textId="77777777" w:rsidR="0024131E" w:rsidRPr="003D2A51" w:rsidRDefault="001B5218" w:rsidP="000C52A1">
      <w:pPr>
        <w:tabs>
          <w:tab w:val="left" w:pos="-720"/>
        </w:tabs>
        <w:suppressAutoHyphens/>
        <w:jc w:val="center"/>
        <w:rPr>
          <w:rFonts w:ascii="Book Antiqua" w:hAnsi="Book Antiqua"/>
          <w:b/>
          <w:bCs/>
          <w:szCs w:val="24"/>
          <w:lang w:val="es-ES"/>
        </w:rPr>
      </w:pPr>
      <w:r w:rsidRPr="003D2A51">
        <w:rPr>
          <w:rFonts w:ascii="Book Antiqua" w:hAnsi="Book Antiqua"/>
          <w:b/>
          <w:bCs/>
          <w:szCs w:val="24"/>
          <w:lang w:val="es-ES"/>
        </w:rPr>
        <w:t xml:space="preserve">ALCANCE DE LA MEDIDA </w:t>
      </w:r>
    </w:p>
    <w:p w14:paraId="5B5C79B2" w14:textId="77777777" w:rsidR="000C52A1" w:rsidRPr="003D2A51" w:rsidRDefault="000C52A1" w:rsidP="001C2FA8">
      <w:pPr>
        <w:tabs>
          <w:tab w:val="left" w:pos="-720"/>
        </w:tabs>
        <w:suppressAutoHyphens/>
        <w:rPr>
          <w:rFonts w:ascii="Book Antiqua" w:hAnsi="Book Antiqua"/>
          <w:b/>
          <w:bCs/>
          <w:szCs w:val="24"/>
          <w:lang w:val="es-ES"/>
        </w:rPr>
      </w:pPr>
    </w:p>
    <w:p w14:paraId="7C7A3389" w14:textId="5E638BB5" w:rsidR="006F51A8" w:rsidRPr="003D2A51" w:rsidRDefault="009F427F" w:rsidP="000C52A1">
      <w:pPr>
        <w:tabs>
          <w:tab w:val="left" w:pos="-720"/>
        </w:tabs>
        <w:suppressAutoHyphens/>
        <w:ind w:firstLine="360"/>
        <w:jc w:val="both"/>
        <w:rPr>
          <w:rFonts w:ascii="Book Antiqua" w:hAnsi="Book Antiqua"/>
          <w:lang w:val="es-ES"/>
        </w:rPr>
      </w:pPr>
      <w:r w:rsidRPr="003D2A51">
        <w:rPr>
          <w:rFonts w:ascii="Book Antiqua" w:hAnsi="Book Antiqua"/>
          <w:lang w:val="es-ES"/>
        </w:rPr>
        <w:tab/>
      </w:r>
      <w:r w:rsidR="001B5218" w:rsidRPr="003D2A51">
        <w:rPr>
          <w:rFonts w:ascii="Book Antiqua" w:hAnsi="Book Antiqua"/>
          <w:lang w:val="es-ES"/>
        </w:rPr>
        <w:t xml:space="preserve">El Proyecto del Senado </w:t>
      </w:r>
      <w:r w:rsidR="00FB15C0" w:rsidRPr="003D2A51">
        <w:rPr>
          <w:rFonts w:ascii="Book Antiqua" w:hAnsi="Book Antiqua"/>
          <w:lang w:val="es-ES"/>
        </w:rPr>
        <w:t>530</w:t>
      </w:r>
      <w:r w:rsidRPr="003D2A51">
        <w:rPr>
          <w:rFonts w:ascii="Book Antiqua" w:hAnsi="Book Antiqua"/>
          <w:lang w:val="es-ES"/>
        </w:rPr>
        <w:t xml:space="preserve"> (en adelante, P. del S. </w:t>
      </w:r>
      <w:r w:rsidR="00FB15C0" w:rsidRPr="003D2A51">
        <w:rPr>
          <w:rFonts w:ascii="Book Antiqua" w:hAnsi="Book Antiqua"/>
          <w:lang w:val="es-ES"/>
        </w:rPr>
        <w:t>530</w:t>
      </w:r>
      <w:r w:rsidR="005354C6" w:rsidRPr="003D2A51">
        <w:rPr>
          <w:rFonts w:ascii="Book Antiqua" w:hAnsi="Book Antiqua"/>
          <w:lang w:val="es-ES"/>
        </w:rPr>
        <w:t>)</w:t>
      </w:r>
      <w:r w:rsidR="005354C6" w:rsidRPr="003D2A51">
        <w:rPr>
          <w:rFonts w:ascii="Book Antiqua" w:hAnsi="Book Antiqua"/>
          <w:i/>
          <w:iCs/>
          <w:lang w:val="es-ES"/>
        </w:rPr>
        <w:t>,</w:t>
      </w:r>
      <w:r w:rsidR="001B5218" w:rsidRPr="003D2A51">
        <w:rPr>
          <w:rFonts w:ascii="Book Antiqua" w:hAnsi="Book Antiqua"/>
          <w:lang w:val="es-ES"/>
        </w:rPr>
        <w:t xml:space="preserve"> según </w:t>
      </w:r>
      <w:r w:rsidR="005354C6" w:rsidRPr="003D2A51">
        <w:rPr>
          <w:rFonts w:ascii="Book Antiqua" w:hAnsi="Book Antiqua"/>
          <w:lang w:val="es-ES"/>
        </w:rPr>
        <w:t>presentado</w:t>
      </w:r>
      <w:r w:rsidR="001B5218" w:rsidRPr="003D2A51">
        <w:rPr>
          <w:rFonts w:ascii="Book Antiqua" w:hAnsi="Book Antiqua"/>
          <w:lang w:val="es-ES"/>
        </w:rPr>
        <w:t>, tiene como propósito</w:t>
      </w:r>
      <w:bookmarkStart w:id="4" w:name="_Hlk194438498"/>
      <w:r w:rsidR="00A716DD" w:rsidRPr="003D2A51">
        <w:rPr>
          <w:rFonts w:ascii="Book Antiqua" w:hAnsi="Book Antiqua"/>
          <w:lang w:val="es-ES"/>
        </w:rPr>
        <w:t xml:space="preserve"> enmendar el inciso (b), del Artículo 73, de la Ley 146-2012 conocida como el Código Penal de Puerto Rico, a los fines de disponer que en los casos donde se configure reincidencia agravada se aumentará 30 años a la pena fija dispuesta por ley para el delito cometido.</w:t>
      </w:r>
    </w:p>
    <w:bookmarkEnd w:id="4"/>
    <w:p w14:paraId="771800BC" w14:textId="77777777" w:rsidR="00A06A16" w:rsidRPr="003D2A5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3D2A51" w:rsidRDefault="009F427F" w:rsidP="000C52A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ANÁLISIS DE LA MEDIDA</w:t>
      </w:r>
    </w:p>
    <w:p w14:paraId="6FD2A601" w14:textId="77777777" w:rsidR="000C52A1" w:rsidRPr="003D2A51" w:rsidRDefault="000C52A1" w:rsidP="000C52A1">
      <w:pPr>
        <w:tabs>
          <w:tab w:val="left" w:pos="-720"/>
        </w:tabs>
        <w:suppressAutoHyphens/>
        <w:ind w:firstLine="360"/>
        <w:jc w:val="center"/>
        <w:rPr>
          <w:rFonts w:ascii="Book Antiqua" w:hAnsi="Book Antiqua"/>
          <w:b/>
          <w:bCs/>
          <w:lang w:val="es-ES"/>
        </w:rPr>
      </w:pPr>
    </w:p>
    <w:p w14:paraId="53BD393B" w14:textId="14882256" w:rsidR="00554426" w:rsidRPr="003D2A51" w:rsidRDefault="009F524F"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r>
      <w:r w:rsidR="00554426" w:rsidRPr="003D2A51">
        <w:rPr>
          <w:rFonts w:ascii="Book Antiqua" w:hAnsi="Book Antiqua"/>
          <w:lang w:val="es-ES"/>
        </w:rPr>
        <w:t>En el Código Penal de Puerto Rico de 2012, la reincidencia se refiere a la comisión repetida de delitos graves después de haber sido previamente convicto y sentenciado. El sistema legal actual establece diferentes grados de reincidencia, cada uno con sus propias implicaciones en la pena impuesta.</w:t>
      </w:r>
    </w:p>
    <w:p w14:paraId="1D49715D" w14:textId="4D545541" w:rsidR="00554426" w:rsidRPr="003D2A51" w:rsidRDefault="00554426"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t>Existen tres grados principales de reincidencia. Primero, la reincidencia simple ocurre cuando una persona, habiendo sido convicta y sentenciada por un delito grave, incurre nuevamente en otro delito grave. En estos casos, la pena fija dispuesta por ley para el delito cometido podrá aumentarse hasta en un veinticinco por ciento</w:t>
      </w:r>
      <w:r w:rsidR="00E20D6B" w:rsidRPr="003D2A51">
        <w:rPr>
          <w:rFonts w:ascii="Book Antiqua" w:hAnsi="Book Antiqua"/>
          <w:lang w:val="es-ES"/>
        </w:rPr>
        <w:t xml:space="preserve"> (25%)</w:t>
      </w:r>
      <w:r w:rsidRPr="003D2A51">
        <w:rPr>
          <w:rFonts w:ascii="Book Antiqua" w:hAnsi="Book Antiqua"/>
          <w:lang w:val="es-ES"/>
        </w:rPr>
        <w:t xml:space="preserve">. Segundo, la reincidencia agravada se configura cuando una persona ha sido convicta y sentenciada anteriormente por dos o más delitos graves, cometidos y juzgados en tiempos diversos e independientes, y luego incurre nuevamente en otro delito grave. </w:t>
      </w:r>
      <w:r w:rsidRPr="003D2A51">
        <w:rPr>
          <w:rFonts w:ascii="Book Antiqua" w:hAnsi="Book Antiqua"/>
          <w:lang w:val="es-ES"/>
        </w:rPr>
        <w:lastRenderedPageBreak/>
        <w:t>Según la ley vigente, la pena fija para el nuevo delito podrá aumentarse en un cincuenta por ciento</w:t>
      </w:r>
      <w:r w:rsidR="00E20D6B" w:rsidRPr="003D2A51">
        <w:rPr>
          <w:rFonts w:ascii="Book Antiqua" w:hAnsi="Book Antiqua"/>
          <w:lang w:val="es-ES"/>
        </w:rPr>
        <w:t xml:space="preserve"> (50%)</w:t>
      </w:r>
      <w:r w:rsidRPr="003D2A51">
        <w:rPr>
          <w:rFonts w:ascii="Book Antiqua" w:hAnsi="Book Antiqua"/>
          <w:lang w:val="es-ES"/>
        </w:rPr>
        <w:t>. Finalmente, la reincidencia habitual se da cuando una persona ha sido convicta y sentenciada por dos o más delitos graves, cometidos y juzgados en tiempos diversos e independientes, y posteriormente comete cualquier delito grave cuya pena fija de reclusión sea mayor de veinte (20) años, o ciertos delitos específicos relacionados con la Ley de Explosivos, la Ley contra el Crimen Organizado, y artículos específicos de la Ley de Sustancias Controladas y la Ley de Armas. Para la reincidencia habitual, la pena a aplicar será de noventa y nueve (99) años.</w:t>
      </w:r>
    </w:p>
    <w:p w14:paraId="7A21EE65" w14:textId="0FEEE583" w:rsidR="006239E8" w:rsidRPr="003D2A51" w:rsidRDefault="00972019"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r>
      <w:r w:rsidR="00554426" w:rsidRPr="003D2A51">
        <w:rPr>
          <w:rFonts w:ascii="Book Antiqua" w:hAnsi="Book Antiqua"/>
          <w:lang w:val="es-ES"/>
        </w:rPr>
        <w:t xml:space="preserve">Para determinar la reincidencia, se aplican varias normas. No se tomará en consideración un delito anterior si entre este y el siguiente han transcurrido diez (10) años desde que la persona terminó de cumplir la sentencia por dicho delito. Se considerarán las convicciones bajo el Código Penal derogado o bajo leyes especiales si fueron clasificadas como delito grave. También se considerará cualquier convicción en jurisdicciones ajenas a Puerto Rico por un hecho que constituya un delito grave en Puerto Rico; si fuera un delito menos grave en Puerto Rico, no se tomará en cuenta. Los hechos cometidos antes de que la persona cumpliera dieciocho (18) </w:t>
      </w:r>
      <w:proofErr w:type="gramStart"/>
      <w:r w:rsidR="00554426" w:rsidRPr="003D2A51">
        <w:rPr>
          <w:rFonts w:ascii="Book Antiqua" w:hAnsi="Book Antiqua"/>
          <w:lang w:val="es-ES"/>
        </w:rPr>
        <w:t>años de edad</w:t>
      </w:r>
      <w:proofErr w:type="gramEnd"/>
      <w:r w:rsidR="00554426" w:rsidRPr="003D2A51">
        <w:rPr>
          <w:rFonts w:ascii="Book Antiqua" w:hAnsi="Book Antiqua"/>
          <w:lang w:val="es-ES"/>
        </w:rPr>
        <w:t xml:space="preserve"> no se tomarán en consideración, salvo excepciones específicas relacionadas con la jurisdicción del Tribunal de Primera Instancia, Sala de Asuntos de Menores.</w:t>
      </w:r>
    </w:p>
    <w:p w14:paraId="2FC0A251" w14:textId="5AE77B20" w:rsidR="00E20D6B" w:rsidRPr="003D2A51" w:rsidRDefault="00972019"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r>
      <w:r w:rsidR="00E20D6B" w:rsidRPr="003D2A51">
        <w:rPr>
          <w:rFonts w:ascii="Book Antiqua" w:hAnsi="Book Antiqua"/>
          <w:lang w:val="es-ES"/>
        </w:rPr>
        <w:t xml:space="preserve">La propuesta del P. del S. 530 busca enmendar el Artículo 73(b) para que, en los casos de reincidencia agravada, se aumenten 30 años a la pena fija dispuesta por ley para el delito cometido, una medida que busca disuadir de manera más efectiva la comisión reiterada de delitos graves. </w:t>
      </w:r>
    </w:p>
    <w:p w14:paraId="7DDE6737" w14:textId="7E71E442" w:rsidR="00550E6A" w:rsidRPr="003D2A51" w:rsidRDefault="00A268A9" w:rsidP="00BB022F">
      <w:pPr>
        <w:tabs>
          <w:tab w:val="left" w:pos="-720"/>
        </w:tabs>
        <w:suppressAutoHyphens/>
        <w:ind w:firstLine="360"/>
        <w:jc w:val="both"/>
        <w:rPr>
          <w:rFonts w:ascii="Book Antiqua" w:hAnsi="Book Antiqua"/>
          <w:lang w:val="es-ES"/>
        </w:rPr>
      </w:pPr>
      <w:r w:rsidRPr="003D2A51">
        <w:rPr>
          <w:rFonts w:ascii="Book Antiqua" w:hAnsi="Book Antiqua"/>
          <w:lang w:val="es-ES"/>
        </w:rPr>
        <w:tab/>
      </w:r>
      <w:r w:rsidR="00550E6A" w:rsidRPr="003D2A51">
        <w:rPr>
          <w:rFonts w:ascii="Book Antiqua" w:hAnsi="Book Antiqua"/>
          <w:lang w:val="es-ES"/>
        </w:rPr>
        <w:t xml:space="preserve">La razón que motiva el P. del S. 530 subyace en la política conocida como </w:t>
      </w:r>
      <w:proofErr w:type="spellStart"/>
      <w:r w:rsidR="00550E6A" w:rsidRPr="003D2A51">
        <w:rPr>
          <w:rFonts w:ascii="Book Antiqua" w:hAnsi="Book Antiqua"/>
          <w:i/>
          <w:iCs/>
          <w:lang w:val="es-ES"/>
        </w:rPr>
        <w:t>Three</w:t>
      </w:r>
      <w:proofErr w:type="spellEnd"/>
      <w:r w:rsidR="00550E6A" w:rsidRPr="003D2A51">
        <w:rPr>
          <w:rFonts w:ascii="Book Antiqua" w:hAnsi="Book Antiqua"/>
          <w:i/>
          <w:iCs/>
          <w:lang w:val="es-ES"/>
        </w:rPr>
        <w:t xml:space="preserve"> Strikes</w:t>
      </w:r>
      <w:r w:rsidR="00550E6A" w:rsidRPr="003D2A51">
        <w:rPr>
          <w:rFonts w:ascii="Book Antiqua" w:hAnsi="Book Antiqua"/>
          <w:lang w:val="es-ES"/>
        </w:rPr>
        <w:t xml:space="preserve"> —que considera agravada la reincidencia tras dos condenas previas por delitos graves</w:t>
      </w:r>
      <w:proofErr w:type="gramStart"/>
      <w:r w:rsidR="00550E6A" w:rsidRPr="003D2A51">
        <w:rPr>
          <w:rFonts w:ascii="Book Antiqua" w:hAnsi="Book Antiqua"/>
          <w:lang w:val="es-ES"/>
        </w:rPr>
        <w:t>—.</w:t>
      </w:r>
      <w:r w:rsidR="001F3F31" w:rsidRPr="003D2A51">
        <w:rPr>
          <w:rFonts w:ascii="Book Antiqua" w:hAnsi="Book Antiqua"/>
          <w:lang w:val="es-ES"/>
        </w:rPr>
        <w:t>En</w:t>
      </w:r>
      <w:proofErr w:type="gramEnd"/>
      <w:r w:rsidR="00550E6A" w:rsidRPr="003D2A51">
        <w:rPr>
          <w:rFonts w:ascii="Book Antiqua" w:hAnsi="Book Antiqua"/>
          <w:lang w:val="es-ES"/>
        </w:rPr>
        <w:t xml:space="preserve"> la década de 1980 y principios de 1990, el discurso del “</w:t>
      </w:r>
      <w:proofErr w:type="spellStart"/>
      <w:r w:rsidR="00550E6A" w:rsidRPr="003D2A51">
        <w:rPr>
          <w:rFonts w:ascii="Book Antiqua" w:hAnsi="Book Antiqua"/>
          <w:lang w:val="es-ES"/>
        </w:rPr>
        <w:t>tough-on-crime</w:t>
      </w:r>
      <w:proofErr w:type="spellEnd"/>
      <w:r w:rsidR="00550E6A" w:rsidRPr="003D2A51">
        <w:rPr>
          <w:rFonts w:ascii="Book Antiqua" w:hAnsi="Book Antiqua"/>
          <w:lang w:val="es-ES"/>
        </w:rPr>
        <w:t xml:space="preserve">” —con discursos políticos que enfatizaban la mano dura frente al aumento del crimen violento— revitalizó estas prácticas con una nueva batería legislativa. Washington fue el primer estado en aprobar formalmente una ley de </w:t>
      </w:r>
      <w:proofErr w:type="spellStart"/>
      <w:r w:rsidR="00550E6A" w:rsidRPr="003D2A51">
        <w:rPr>
          <w:rFonts w:ascii="Book Antiqua" w:hAnsi="Book Antiqua"/>
          <w:i/>
          <w:iCs/>
          <w:lang w:val="es-ES"/>
        </w:rPr>
        <w:t>Three</w:t>
      </w:r>
      <w:proofErr w:type="spellEnd"/>
      <w:r w:rsidR="00550E6A" w:rsidRPr="003D2A51">
        <w:rPr>
          <w:rFonts w:ascii="Book Antiqua" w:hAnsi="Book Antiqua"/>
          <w:i/>
          <w:iCs/>
          <w:lang w:val="es-ES"/>
        </w:rPr>
        <w:t xml:space="preserve"> Strikes</w:t>
      </w:r>
      <w:r w:rsidR="00550E6A" w:rsidRPr="003D2A51">
        <w:rPr>
          <w:rFonts w:ascii="Book Antiqua" w:hAnsi="Book Antiqua"/>
          <w:lang w:val="es-ES"/>
        </w:rPr>
        <w:t xml:space="preserve"> en 1993, y en 1994 le siguió California mediante la iniciativa electoral </w:t>
      </w:r>
      <w:proofErr w:type="spellStart"/>
      <w:r w:rsidR="00550E6A" w:rsidRPr="003D2A51">
        <w:rPr>
          <w:rFonts w:ascii="Book Antiqua" w:hAnsi="Book Antiqua"/>
          <w:i/>
          <w:iCs/>
          <w:lang w:val="es-ES"/>
        </w:rPr>
        <w:t>Proposition</w:t>
      </w:r>
      <w:proofErr w:type="spellEnd"/>
      <w:r w:rsidR="00550E6A" w:rsidRPr="003D2A51">
        <w:rPr>
          <w:i/>
          <w:iCs/>
          <w:lang w:val="es-ES"/>
        </w:rPr>
        <w:t> </w:t>
      </w:r>
      <w:r w:rsidR="00550E6A" w:rsidRPr="003D2A51">
        <w:rPr>
          <w:rFonts w:ascii="Book Antiqua" w:hAnsi="Book Antiqua"/>
          <w:i/>
          <w:iCs/>
          <w:lang w:val="es-ES"/>
        </w:rPr>
        <w:t>184</w:t>
      </w:r>
      <w:r w:rsidR="00550E6A" w:rsidRPr="003D2A51">
        <w:rPr>
          <w:rFonts w:ascii="Book Antiqua" w:hAnsi="Book Antiqua"/>
          <w:lang w:val="es-ES"/>
        </w:rPr>
        <w:t>, también conocida como “</w:t>
      </w:r>
      <w:proofErr w:type="spellStart"/>
      <w:r w:rsidR="00550E6A" w:rsidRPr="003D2A51">
        <w:rPr>
          <w:rFonts w:ascii="Book Antiqua" w:hAnsi="Book Antiqua"/>
          <w:lang w:val="es-ES"/>
        </w:rPr>
        <w:t>Three</w:t>
      </w:r>
      <w:proofErr w:type="spellEnd"/>
      <w:r w:rsidR="00550E6A" w:rsidRPr="003D2A51">
        <w:rPr>
          <w:rFonts w:ascii="Book Antiqua" w:hAnsi="Book Antiqua"/>
          <w:lang w:val="es-ES"/>
        </w:rPr>
        <w:t xml:space="preserve"> Strikes and </w:t>
      </w:r>
      <w:proofErr w:type="spellStart"/>
      <w:r w:rsidR="00550E6A" w:rsidRPr="003D2A51">
        <w:rPr>
          <w:rFonts w:ascii="Book Antiqua" w:hAnsi="Book Antiqua"/>
          <w:lang w:val="es-ES"/>
        </w:rPr>
        <w:t>You’re</w:t>
      </w:r>
      <w:proofErr w:type="spellEnd"/>
      <w:r w:rsidR="00550E6A" w:rsidRPr="003D2A51">
        <w:rPr>
          <w:rFonts w:ascii="Book Antiqua" w:hAnsi="Book Antiqua"/>
          <w:lang w:val="es-ES"/>
        </w:rPr>
        <w:t xml:space="preserve"> </w:t>
      </w:r>
      <w:proofErr w:type="spellStart"/>
      <w:r w:rsidR="00550E6A" w:rsidRPr="003D2A51">
        <w:rPr>
          <w:rFonts w:ascii="Book Antiqua" w:hAnsi="Book Antiqua"/>
          <w:lang w:val="es-ES"/>
        </w:rPr>
        <w:t>Out</w:t>
      </w:r>
      <w:proofErr w:type="spellEnd"/>
      <w:r w:rsidR="00550E6A" w:rsidRPr="003D2A51">
        <w:rPr>
          <w:rFonts w:ascii="Book Antiqua" w:hAnsi="Book Antiqua"/>
          <w:lang w:val="es-ES"/>
        </w:rPr>
        <w:t>”, firmada por el gobernador Pete Wilson el 7 de marzo de</w:t>
      </w:r>
      <w:r w:rsidR="00550E6A" w:rsidRPr="003D2A51">
        <w:rPr>
          <w:lang w:val="es-ES"/>
        </w:rPr>
        <w:t> </w:t>
      </w:r>
      <w:r w:rsidR="00550E6A" w:rsidRPr="003D2A51">
        <w:rPr>
          <w:rFonts w:ascii="Book Antiqua" w:hAnsi="Book Antiqua"/>
          <w:lang w:val="es-ES"/>
        </w:rPr>
        <w:t>1994</w:t>
      </w:r>
      <w:r w:rsidR="00706127" w:rsidRPr="003D2A51">
        <w:rPr>
          <w:rFonts w:ascii="Book Antiqua" w:hAnsi="Book Antiqua"/>
          <w:lang w:val="es-ES"/>
        </w:rPr>
        <w:t>.</w:t>
      </w:r>
      <w:r w:rsidR="00706127" w:rsidRPr="003D2A51">
        <w:rPr>
          <w:rStyle w:val="FootnoteReference"/>
          <w:rFonts w:ascii="Book Antiqua" w:hAnsi="Book Antiqua"/>
          <w:lang w:val="es-ES"/>
        </w:rPr>
        <w:footnoteReference w:id="1"/>
      </w:r>
      <w:r w:rsidR="00A66F3C" w:rsidRPr="003D2A51">
        <w:rPr>
          <w:rFonts w:ascii="Book Antiqua" w:hAnsi="Book Antiqua"/>
          <w:lang w:val="es-ES"/>
        </w:rPr>
        <w:t xml:space="preserve"> </w:t>
      </w:r>
      <w:r w:rsidR="00550E6A" w:rsidRPr="003D2A51">
        <w:rPr>
          <w:rFonts w:ascii="Book Antiqua" w:hAnsi="Book Antiqua"/>
          <w:lang w:val="es-ES"/>
        </w:rPr>
        <w:t>La ley californiana requirió que cualquier persona con dos condenas previas por delitos “</w:t>
      </w:r>
      <w:r w:rsidR="00E42B7F">
        <w:rPr>
          <w:rFonts w:ascii="Book Antiqua" w:hAnsi="Book Antiqua"/>
          <w:lang w:val="es-ES"/>
        </w:rPr>
        <w:t>graves</w:t>
      </w:r>
      <w:r w:rsidR="00550E6A" w:rsidRPr="003D2A51">
        <w:rPr>
          <w:rFonts w:ascii="Book Antiqua" w:hAnsi="Book Antiqua"/>
          <w:lang w:val="es-ES"/>
        </w:rPr>
        <w:t>” o “violentos” enfrentara una sentencia de al menos 25 años a cadena perpetua si cometía un nuevo delito, incluso si ese tercer delito no era grave. Además, impuso que la segunda condena duplicara la pena habitual, y que</w:t>
      </w:r>
      <w:r w:rsidR="003E2410">
        <w:rPr>
          <w:rFonts w:ascii="Book Antiqua" w:hAnsi="Book Antiqua"/>
          <w:lang w:val="es-ES"/>
        </w:rPr>
        <w:t xml:space="preserve"> en</w:t>
      </w:r>
      <w:r w:rsidR="00550E6A" w:rsidRPr="003D2A51">
        <w:rPr>
          <w:rFonts w:ascii="Book Antiqua" w:hAnsi="Book Antiqua"/>
          <w:lang w:val="es-ES"/>
        </w:rPr>
        <w:t xml:space="preserve"> el tercer delito </w:t>
      </w:r>
      <w:r w:rsidR="003E2410">
        <w:rPr>
          <w:rFonts w:ascii="Book Antiqua" w:hAnsi="Book Antiqua"/>
          <w:lang w:val="es-ES"/>
        </w:rPr>
        <w:t>se fijase</w:t>
      </w:r>
      <w:r w:rsidR="00550E6A" w:rsidRPr="003D2A51">
        <w:rPr>
          <w:rFonts w:ascii="Book Antiqua" w:hAnsi="Book Antiqua"/>
          <w:lang w:val="es-ES"/>
        </w:rPr>
        <w:t xml:space="preserve"> la pena máxima obligatoria.</w:t>
      </w:r>
      <w:r w:rsidR="007C70D8" w:rsidRPr="003D2A51">
        <w:rPr>
          <w:rStyle w:val="FootnoteReference"/>
          <w:rFonts w:ascii="Book Antiqua" w:hAnsi="Book Antiqua"/>
          <w:lang w:val="es-ES"/>
        </w:rPr>
        <w:footnoteReference w:id="2"/>
      </w:r>
      <w:r w:rsidR="00550E6A" w:rsidRPr="003D2A51">
        <w:rPr>
          <w:rFonts w:ascii="Book Antiqua" w:hAnsi="Book Antiqua"/>
          <w:lang w:val="es-ES"/>
        </w:rPr>
        <w:t xml:space="preserve"> Estos cambios legales surgieron en un contexto de fuerte presión pública y política para combatir la criminalidad mediante incapacitación prolongada de reincidentes.</w:t>
      </w:r>
      <w:r w:rsidR="00E37C6F" w:rsidRPr="003D2A51">
        <w:rPr>
          <w:rFonts w:ascii="Book Antiqua" w:hAnsi="Book Antiqua"/>
          <w:lang w:val="es-ES"/>
        </w:rPr>
        <w:t xml:space="preserve"> </w:t>
      </w:r>
      <w:r w:rsidR="00550E6A" w:rsidRPr="003D2A51">
        <w:rPr>
          <w:rFonts w:ascii="Book Antiqua" w:hAnsi="Book Antiqua"/>
          <w:lang w:val="es-ES"/>
        </w:rPr>
        <w:t xml:space="preserve">A nivel federal, el </w:t>
      </w:r>
      <w:proofErr w:type="spellStart"/>
      <w:r w:rsidR="00550E6A" w:rsidRPr="003D2A51">
        <w:rPr>
          <w:rFonts w:ascii="Book Antiqua" w:hAnsi="Book Antiqua"/>
          <w:i/>
          <w:iCs/>
          <w:lang w:val="es-ES"/>
        </w:rPr>
        <w:t>Armed</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Career</w:t>
      </w:r>
      <w:proofErr w:type="spellEnd"/>
      <w:r w:rsidR="00550E6A" w:rsidRPr="003D2A51">
        <w:rPr>
          <w:rFonts w:ascii="Book Antiqua" w:hAnsi="Book Antiqua"/>
          <w:i/>
          <w:iCs/>
          <w:lang w:val="es-ES"/>
        </w:rPr>
        <w:t xml:space="preserve"> </w:t>
      </w:r>
      <w:r w:rsidR="00550E6A" w:rsidRPr="003D2A51">
        <w:rPr>
          <w:rFonts w:ascii="Book Antiqua" w:hAnsi="Book Antiqua"/>
          <w:i/>
          <w:iCs/>
          <w:lang w:val="es-ES"/>
        </w:rPr>
        <w:lastRenderedPageBreak/>
        <w:t xml:space="preserve">Criminal </w:t>
      </w:r>
      <w:proofErr w:type="spellStart"/>
      <w:r w:rsidR="00550E6A" w:rsidRPr="003D2A51">
        <w:rPr>
          <w:rFonts w:ascii="Book Antiqua" w:hAnsi="Book Antiqua"/>
          <w:i/>
          <w:iCs/>
          <w:lang w:val="es-ES"/>
        </w:rPr>
        <w:t>Act</w:t>
      </w:r>
      <w:proofErr w:type="spellEnd"/>
      <w:r w:rsidR="00550E6A" w:rsidRPr="003D2A51">
        <w:rPr>
          <w:rFonts w:ascii="Book Antiqua" w:hAnsi="Book Antiqua"/>
          <w:i/>
          <w:iCs/>
          <w:lang w:val="es-ES"/>
        </w:rPr>
        <w:t xml:space="preserve"> </w:t>
      </w:r>
      <w:proofErr w:type="spellStart"/>
      <w:r w:rsidR="00E37C6F" w:rsidRPr="003D2A51">
        <w:rPr>
          <w:rFonts w:ascii="Book Antiqua" w:hAnsi="Book Antiqua"/>
          <w:i/>
          <w:iCs/>
          <w:lang w:val="es-ES"/>
        </w:rPr>
        <w:t>of</w:t>
      </w:r>
      <w:proofErr w:type="spellEnd"/>
      <w:r w:rsidR="00550E6A" w:rsidRPr="003D2A51">
        <w:rPr>
          <w:rFonts w:ascii="Book Antiqua" w:hAnsi="Book Antiqua"/>
          <w:i/>
          <w:iCs/>
          <w:lang w:val="es-ES"/>
        </w:rPr>
        <w:t xml:space="preserve"> 1984</w:t>
      </w:r>
      <w:r w:rsidR="00550E6A" w:rsidRPr="003D2A51">
        <w:rPr>
          <w:rFonts w:ascii="Book Antiqua" w:hAnsi="Book Antiqua"/>
          <w:lang w:val="es-ES"/>
        </w:rPr>
        <w:t xml:space="preserve"> fue una de las primeras normas que endureció sentencias por delitos repetidos, y luego, el </w:t>
      </w:r>
      <w:proofErr w:type="spellStart"/>
      <w:r w:rsidR="00550E6A" w:rsidRPr="003D2A51">
        <w:rPr>
          <w:rFonts w:ascii="Book Antiqua" w:hAnsi="Book Antiqua"/>
          <w:i/>
          <w:iCs/>
          <w:lang w:val="es-ES"/>
        </w:rPr>
        <w:t>Violent</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Crime</w:t>
      </w:r>
      <w:proofErr w:type="spellEnd"/>
      <w:r w:rsidR="00550E6A" w:rsidRPr="003D2A51">
        <w:rPr>
          <w:rFonts w:ascii="Book Antiqua" w:hAnsi="Book Antiqua"/>
          <w:i/>
          <w:iCs/>
          <w:lang w:val="es-ES"/>
        </w:rPr>
        <w:t xml:space="preserve"> Control and </w:t>
      </w:r>
      <w:proofErr w:type="spellStart"/>
      <w:r w:rsidR="00550E6A" w:rsidRPr="003D2A51">
        <w:rPr>
          <w:rFonts w:ascii="Book Antiqua" w:hAnsi="Book Antiqua"/>
          <w:i/>
          <w:iCs/>
          <w:lang w:val="es-ES"/>
        </w:rPr>
        <w:t>Law</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Enforcement</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Act</w:t>
      </w:r>
      <w:proofErr w:type="spellEnd"/>
      <w:r w:rsidR="00550E6A" w:rsidRPr="003D2A51">
        <w:rPr>
          <w:rFonts w:ascii="Book Antiqua" w:hAnsi="Book Antiqua"/>
          <w:i/>
          <w:iCs/>
          <w:lang w:val="es-ES"/>
        </w:rPr>
        <w:t xml:space="preserve"> </w:t>
      </w:r>
      <w:proofErr w:type="spellStart"/>
      <w:r w:rsidR="00BB022F" w:rsidRPr="003D2A51">
        <w:rPr>
          <w:rFonts w:ascii="Book Antiqua" w:hAnsi="Book Antiqua"/>
          <w:i/>
          <w:iCs/>
          <w:lang w:val="es-ES"/>
        </w:rPr>
        <w:t>of</w:t>
      </w:r>
      <w:proofErr w:type="spellEnd"/>
      <w:r w:rsidR="00550E6A" w:rsidRPr="003D2A51">
        <w:rPr>
          <w:rFonts w:ascii="Book Antiqua" w:hAnsi="Book Antiqua"/>
          <w:i/>
          <w:iCs/>
          <w:lang w:val="es-ES"/>
        </w:rPr>
        <w:t xml:space="preserve"> 1994</w:t>
      </w:r>
      <w:r w:rsidR="00550E6A" w:rsidRPr="003D2A51">
        <w:rPr>
          <w:rFonts w:ascii="Book Antiqua" w:hAnsi="Book Antiqua"/>
          <w:lang w:val="es-ES"/>
        </w:rPr>
        <w:t xml:space="preserve"> incluyó un mecanismo federal de </w:t>
      </w:r>
      <w:proofErr w:type="spellStart"/>
      <w:r w:rsidR="00550E6A" w:rsidRPr="003D2A51">
        <w:rPr>
          <w:rFonts w:ascii="Book Antiqua" w:hAnsi="Book Antiqua"/>
          <w:i/>
          <w:iCs/>
          <w:lang w:val="es-ES"/>
        </w:rPr>
        <w:t>Three</w:t>
      </w:r>
      <w:proofErr w:type="spellEnd"/>
      <w:r w:rsidR="00550E6A" w:rsidRPr="003D2A51">
        <w:rPr>
          <w:rFonts w:ascii="Book Antiqua" w:hAnsi="Book Antiqua"/>
          <w:i/>
          <w:iCs/>
          <w:lang w:val="es-ES"/>
        </w:rPr>
        <w:t xml:space="preserve"> Strikes</w:t>
      </w:r>
      <w:r w:rsidR="00550E6A" w:rsidRPr="003D2A51">
        <w:rPr>
          <w:rFonts w:ascii="Book Antiqua" w:hAnsi="Book Antiqua"/>
          <w:lang w:val="es-ES"/>
        </w:rPr>
        <w:t xml:space="preserve"> que aplicaba sanciones graves por tercer delito violento o grave</w:t>
      </w:r>
      <w:r w:rsidR="00BB022F" w:rsidRPr="003D2A51">
        <w:rPr>
          <w:rFonts w:ascii="Book Antiqua" w:hAnsi="Book Antiqua"/>
          <w:lang w:val="es-ES"/>
        </w:rPr>
        <w:t>.</w:t>
      </w:r>
      <w:r w:rsidR="00BB022F" w:rsidRPr="003D2A51">
        <w:rPr>
          <w:rStyle w:val="FootnoteReference"/>
          <w:rFonts w:ascii="Book Antiqua" w:hAnsi="Book Antiqua"/>
          <w:lang w:val="es-ES"/>
        </w:rPr>
        <w:footnoteReference w:id="3"/>
      </w:r>
    </w:p>
    <w:p w14:paraId="3814D9D6" w14:textId="77777777" w:rsidR="00331DEA" w:rsidRPr="003D2A51" w:rsidRDefault="00E82727" w:rsidP="00E86227">
      <w:pPr>
        <w:tabs>
          <w:tab w:val="left" w:pos="-720"/>
        </w:tabs>
        <w:suppressAutoHyphens/>
        <w:jc w:val="both"/>
        <w:rPr>
          <w:rFonts w:ascii="Book Antiqua" w:hAnsi="Book Antiqua"/>
          <w:lang w:val="es-ES"/>
        </w:rPr>
      </w:pPr>
      <w:r w:rsidRPr="003D2A51">
        <w:rPr>
          <w:rFonts w:ascii="Book Antiqua" w:hAnsi="Book Antiqua"/>
          <w:lang w:val="es-ES"/>
        </w:rPr>
        <w:tab/>
      </w:r>
      <w:r w:rsidR="00E86227" w:rsidRPr="003D2A51">
        <w:rPr>
          <w:rFonts w:ascii="Book Antiqua" w:hAnsi="Book Antiqua"/>
          <w:lang w:val="es-ES"/>
        </w:rPr>
        <w:t xml:space="preserve">El caso </w:t>
      </w:r>
      <w:proofErr w:type="spellStart"/>
      <w:r w:rsidR="00E86227" w:rsidRPr="003D2A51">
        <w:rPr>
          <w:rFonts w:ascii="Book Antiqua" w:hAnsi="Book Antiqua"/>
          <w:i/>
          <w:iCs/>
          <w:lang w:val="es-ES"/>
        </w:rPr>
        <w:t>Rummel</w:t>
      </w:r>
      <w:proofErr w:type="spellEnd"/>
      <w:r w:rsidR="00E86227" w:rsidRPr="003D2A51">
        <w:rPr>
          <w:rFonts w:ascii="Book Antiqua" w:hAnsi="Book Antiqua"/>
          <w:i/>
          <w:iCs/>
          <w:lang w:val="es-ES"/>
        </w:rPr>
        <w:t xml:space="preserve"> v. </w:t>
      </w:r>
      <w:proofErr w:type="spellStart"/>
      <w:r w:rsidR="00E86227" w:rsidRPr="003D2A51">
        <w:rPr>
          <w:rFonts w:ascii="Book Antiqua" w:hAnsi="Book Antiqua"/>
          <w:i/>
          <w:iCs/>
          <w:lang w:val="es-ES"/>
        </w:rPr>
        <w:t>Estelle</w:t>
      </w:r>
      <w:proofErr w:type="spellEnd"/>
      <w:r w:rsidR="00E86227" w:rsidRPr="003D2A51">
        <w:rPr>
          <w:rFonts w:ascii="Book Antiqua" w:hAnsi="Book Antiqua"/>
          <w:lang w:val="es-ES"/>
        </w:rPr>
        <w:t xml:space="preserve">, 445 U.S. 263 (1980) sirve como base para la política de </w:t>
      </w:r>
      <w:proofErr w:type="spellStart"/>
      <w:r w:rsidR="00E86227" w:rsidRPr="003D2A51">
        <w:rPr>
          <w:rFonts w:ascii="Book Antiqua" w:hAnsi="Book Antiqua"/>
          <w:i/>
          <w:iCs/>
          <w:lang w:val="es-ES"/>
        </w:rPr>
        <w:t>Three</w:t>
      </w:r>
      <w:proofErr w:type="spellEnd"/>
      <w:r w:rsidR="00E86227" w:rsidRPr="003D2A51">
        <w:rPr>
          <w:rFonts w:ascii="Book Antiqua" w:hAnsi="Book Antiqua"/>
          <w:i/>
          <w:iCs/>
          <w:lang w:val="es-ES"/>
        </w:rPr>
        <w:t xml:space="preserve"> Strikes</w:t>
      </w:r>
      <w:r w:rsidR="00E86227" w:rsidRPr="003D2A51">
        <w:rPr>
          <w:rFonts w:ascii="Book Antiqua" w:hAnsi="Book Antiqua"/>
          <w:lang w:val="es-ES"/>
        </w:rPr>
        <w:t xml:space="preserve">. William James </w:t>
      </w:r>
      <w:proofErr w:type="spellStart"/>
      <w:r w:rsidR="00E86227" w:rsidRPr="003D2A51">
        <w:rPr>
          <w:rFonts w:ascii="Book Antiqua" w:hAnsi="Book Antiqua"/>
          <w:lang w:val="es-ES"/>
        </w:rPr>
        <w:t>Rummel</w:t>
      </w:r>
      <w:proofErr w:type="spellEnd"/>
      <w:r w:rsidR="00E86227" w:rsidRPr="003D2A51">
        <w:rPr>
          <w:rFonts w:ascii="Book Antiqua" w:hAnsi="Book Antiqua"/>
          <w:lang w:val="es-ES"/>
        </w:rPr>
        <w:t xml:space="preserve">, fue condenado en Texas a cadena perpetua con posibilidad de libertad condicional bajo la ley estatal de reincidentes, tras haber cometido tres delitos no violentos de fraude que, en conjunto, sumaban aproximadamente $230 en pérdidas. </w:t>
      </w:r>
      <w:proofErr w:type="spellStart"/>
      <w:r w:rsidR="00E86227" w:rsidRPr="003D2A51">
        <w:rPr>
          <w:rFonts w:ascii="Book Antiqua" w:hAnsi="Book Antiqua"/>
          <w:lang w:val="es-ES"/>
        </w:rPr>
        <w:t>Rummel</w:t>
      </w:r>
      <w:proofErr w:type="spellEnd"/>
      <w:r w:rsidR="00E86227" w:rsidRPr="003D2A51">
        <w:rPr>
          <w:rFonts w:ascii="Book Antiqua" w:hAnsi="Book Antiqua"/>
          <w:lang w:val="es-ES"/>
        </w:rPr>
        <w:t xml:space="preserve"> había sido previamente condenado por uso fraudulento de una tarjeta de crédito y falsificación de un cheque, y posteriormente fue hallado culpable de no devolver $120.75 por reparaciones de aire acondicionado. La cuestión constitucional planteada ante el Tribunal Supremo de los Estados Unidos fue si esta condena a cadena perpetua constituía un castigo cruel e inusitado en violación de la Octava Enmienda, considerando la naturaleza no violenta y de bajo monto económico de los delitos. En una decisión de 5-4, el Tribunal, por voz del juez William </w:t>
      </w:r>
      <w:proofErr w:type="spellStart"/>
      <w:r w:rsidR="00E86227" w:rsidRPr="003D2A51">
        <w:rPr>
          <w:rFonts w:ascii="Book Antiqua" w:hAnsi="Book Antiqua"/>
          <w:lang w:val="es-ES"/>
        </w:rPr>
        <w:t>Rehnquist</w:t>
      </w:r>
      <w:proofErr w:type="spellEnd"/>
      <w:r w:rsidR="00E86227" w:rsidRPr="003D2A51">
        <w:rPr>
          <w:rFonts w:ascii="Book Antiqua" w:hAnsi="Book Antiqua"/>
          <w:lang w:val="es-ES"/>
        </w:rPr>
        <w:t>, sostuvo que la sentencia era constitucional. La mayoría argumentó que los estados tienen un interés legítimo en incapacitar y disuadir a los delincuentes habituales, y que la proporcionalidad estricta entre delito y castigo no era requisito absoluto bajo la Octava Enmienda.</w:t>
      </w:r>
      <w:r w:rsidR="00331DEA" w:rsidRPr="003D2A51">
        <w:rPr>
          <w:rStyle w:val="FootnoteReference"/>
          <w:rFonts w:ascii="Book Antiqua" w:hAnsi="Book Antiqua"/>
          <w:lang w:val="es-ES"/>
        </w:rPr>
        <w:footnoteReference w:id="4"/>
      </w:r>
    </w:p>
    <w:p w14:paraId="698B8ABC" w14:textId="01C55296" w:rsidR="00550E6A" w:rsidRPr="003D2A51" w:rsidRDefault="00331DEA" w:rsidP="00E86227">
      <w:pPr>
        <w:tabs>
          <w:tab w:val="left" w:pos="-720"/>
        </w:tabs>
        <w:suppressAutoHyphens/>
        <w:jc w:val="both"/>
        <w:rPr>
          <w:rFonts w:ascii="Book Antiqua" w:hAnsi="Book Antiqua"/>
          <w:lang w:val="es-ES"/>
        </w:rPr>
      </w:pPr>
      <w:r w:rsidRPr="003D2A51">
        <w:rPr>
          <w:rFonts w:ascii="Book Antiqua" w:hAnsi="Book Antiqua"/>
          <w:lang w:val="es-ES"/>
        </w:rPr>
        <w:tab/>
        <w:t xml:space="preserve">Así las cosas, </w:t>
      </w:r>
      <w:r w:rsidR="00D87E0E" w:rsidRPr="003D2A51">
        <w:rPr>
          <w:rFonts w:ascii="Book Antiqua" w:hAnsi="Book Antiqua"/>
          <w:lang w:val="es-ES"/>
        </w:rPr>
        <w:t>el</w:t>
      </w:r>
      <w:r w:rsidR="00DB1E53" w:rsidRPr="003D2A51">
        <w:rPr>
          <w:rFonts w:ascii="Book Antiqua" w:hAnsi="Book Antiqua"/>
          <w:lang w:val="es-ES"/>
        </w:rPr>
        <w:t xml:space="preserve"> caso</w:t>
      </w:r>
      <w:r w:rsidR="00D87E0E" w:rsidRPr="003D2A51">
        <w:rPr>
          <w:rFonts w:ascii="Book Antiqua" w:hAnsi="Book Antiqua"/>
          <w:lang w:val="es-ES"/>
        </w:rPr>
        <w:t xml:space="preserve"> de</w:t>
      </w:r>
      <w:r w:rsidR="00DB1E53" w:rsidRPr="003D2A51">
        <w:rPr>
          <w:rFonts w:ascii="Book Antiqua" w:hAnsi="Book Antiqua"/>
          <w:lang w:val="es-ES"/>
        </w:rPr>
        <w:t xml:space="preserve"> </w:t>
      </w:r>
      <w:r w:rsidR="00DB1E53" w:rsidRPr="003D2A51">
        <w:rPr>
          <w:rFonts w:ascii="Book Antiqua" w:hAnsi="Book Antiqua"/>
          <w:i/>
          <w:iCs/>
          <w:lang w:val="es-ES"/>
        </w:rPr>
        <w:t>Ewing v. California</w:t>
      </w:r>
      <w:r w:rsidR="00DB1E53" w:rsidRPr="003D2A51">
        <w:rPr>
          <w:rFonts w:ascii="Book Antiqua" w:hAnsi="Book Antiqua"/>
          <w:lang w:val="es-ES"/>
        </w:rPr>
        <w:t xml:space="preserve">, 538 U.S. 11 (2003) constituye un precedente fundamental en la interpretación de la ley de </w:t>
      </w:r>
      <w:proofErr w:type="spellStart"/>
      <w:r w:rsidR="00DB1E53" w:rsidRPr="003D2A51">
        <w:rPr>
          <w:rFonts w:ascii="Book Antiqua" w:hAnsi="Book Antiqua"/>
          <w:i/>
          <w:iCs/>
          <w:lang w:val="es-ES"/>
        </w:rPr>
        <w:t>Three</w:t>
      </w:r>
      <w:proofErr w:type="spellEnd"/>
      <w:r w:rsidR="00DB1E53" w:rsidRPr="003D2A51">
        <w:rPr>
          <w:rFonts w:ascii="Book Antiqua" w:hAnsi="Book Antiqua"/>
          <w:i/>
          <w:iCs/>
          <w:lang w:val="es-ES"/>
        </w:rPr>
        <w:t xml:space="preserve"> Strikes</w:t>
      </w:r>
      <w:r w:rsidR="00DB1E53" w:rsidRPr="003D2A51">
        <w:rPr>
          <w:rFonts w:ascii="Book Antiqua" w:hAnsi="Book Antiqua"/>
          <w:lang w:val="es-ES"/>
        </w:rPr>
        <w:t xml:space="preserve"> en Estados Unidos. Gary Ewing, un individuo con un amplio historial de condenas por delitos graves, fue arrestado en el año 2000 tras sustraer tres palos de golf de una tienda, cuyo valor total ascendía a $1,197. A pesar de que el nuevo delito no fue violento, la fiscalía aplicó la ley californiana de </w:t>
      </w:r>
      <w:proofErr w:type="spellStart"/>
      <w:r w:rsidR="00DB1E53" w:rsidRPr="003D2A51">
        <w:rPr>
          <w:rFonts w:ascii="Book Antiqua" w:hAnsi="Book Antiqua"/>
          <w:i/>
          <w:iCs/>
          <w:lang w:val="es-ES"/>
        </w:rPr>
        <w:t>Three</w:t>
      </w:r>
      <w:proofErr w:type="spellEnd"/>
      <w:r w:rsidR="00DB1E53" w:rsidRPr="003D2A51">
        <w:rPr>
          <w:rFonts w:ascii="Book Antiqua" w:hAnsi="Book Antiqua"/>
          <w:i/>
          <w:iCs/>
          <w:lang w:val="es-ES"/>
        </w:rPr>
        <w:t xml:space="preserve"> Strikes</w:t>
      </w:r>
      <w:r w:rsidR="00DB1E53" w:rsidRPr="003D2A51">
        <w:rPr>
          <w:rFonts w:ascii="Book Antiqua" w:hAnsi="Book Antiqua"/>
          <w:lang w:val="es-ES"/>
        </w:rPr>
        <w:t xml:space="preserve">, lo que resultó en una sentencia de veinticinco años a cadena perpetua. La cuestión central que llegó al Tribunal Supremo de los Estados Unidos fue si esta condena constituía un castigo cruel e inusitado, prohibido por la Octava Enmienda de la Constitución de Estados Unidos. En una decisión dividida de 5-4, el Tribunal Supremo confirmó la sentencia. La opinión mayoritaria, redactada por la jueza Sandra Day O’Connor, sostuvo que la pena no era desproporcionada a la luz del extenso historial delictivo de Ewing y del interés legítimo del Estado en proteger a la sociedad mediante la incapacitación de delincuentes reincidentes. La decisión en </w:t>
      </w:r>
      <w:r w:rsidR="00DB1E53" w:rsidRPr="003D2A51">
        <w:rPr>
          <w:rFonts w:ascii="Book Antiqua" w:hAnsi="Book Antiqua"/>
          <w:i/>
          <w:iCs/>
          <w:lang w:val="es-ES"/>
        </w:rPr>
        <w:t>Ewing v. California</w:t>
      </w:r>
      <w:r w:rsidR="00DB1E53" w:rsidRPr="003D2A51">
        <w:rPr>
          <w:rFonts w:ascii="Book Antiqua" w:hAnsi="Book Antiqua"/>
          <w:lang w:val="es-ES"/>
        </w:rPr>
        <w:t xml:space="preserve"> consolidó la constitucionalidad de la ley de </w:t>
      </w:r>
      <w:proofErr w:type="spellStart"/>
      <w:r w:rsidR="00DB1E53" w:rsidRPr="003D2A51">
        <w:rPr>
          <w:rFonts w:ascii="Book Antiqua" w:hAnsi="Book Antiqua"/>
          <w:i/>
          <w:iCs/>
          <w:lang w:val="es-ES"/>
        </w:rPr>
        <w:t>Three</w:t>
      </w:r>
      <w:proofErr w:type="spellEnd"/>
      <w:r w:rsidR="00DB1E53" w:rsidRPr="003D2A51">
        <w:rPr>
          <w:rFonts w:ascii="Book Antiqua" w:hAnsi="Book Antiqua"/>
          <w:i/>
          <w:iCs/>
          <w:lang w:val="es-ES"/>
        </w:rPr>
        <w:t xml:space="preserve"> Strikes</w:t>
      </w:r>
      <w:r w:rsidR="00DB1E53" w:rsidRPr="003D2A51">
        <w:rPr>
          <w:rFonts w:ascii="Book Antiqua" w:hAnsi="Book Antiqua"/>
          <w:lang w:val="es-ES"/>
        </w:rPr>
        <w:t xml:space="preserve"> y reafirmó la amplia discreción de los estados para imponer penas severas a personas con múltiples reincidencias. Este fallo marcó un hito en la política criminal estadounidense al respaldar la filosofía de “tolerancia cero” frente a la criminalidad persistente, aun cuando el delito no sea de </w:t>
      </w:r>
      <w:r w:rsidR="00DB1E53" w:rsidRPr="003D2A51">
        <w:rPr>
          <w:rFonts w:ascii="Book Antiqua" w:hAnsi="Book Antiqua"/>
          <w:lang w:val="es-ES"/>
        </w:rPr>
        <w:lastRenderedPageBreak/>
        <w:t>naturaleza violenta.</w:t>
      </w:r>
      <w:r w:rsidR="00BF1E8A" w:rsidRPr="003D2A51">
        <w:rPr>
          <w:rFonts w:ascii="Book Antiqua" w:hAnsi="Book Antiqua"/>
          <w:lang w:val="es-ES"/>
        </w:rPr>
        <w:t xml:space="preserve"> </w:t>
      </w:r>
      <w:r w:rsidR="00550E6A" w:rsidRPr="003D2A51">
        <w:rPr>
          <w:rFonts w:ascii="Book Antiqua" w:hAnsi="Book Antiqua"/>
          <w:lang w:val="es-ES"/>
        </w:rPr>
        <w:t xml:space="preserve">Su implementación ha sido amplia </w:t>
      </w:r>
      <w:r w:rsidR="00836018" w:rsidRPr="003D2A51">
        <w:rPr>
          <w:rFonts w:ascii="Book Antiqua" w:hAnsi="Book Antiqua"/>
          <w:lang w:val="es-ES"/>
        </w:rPr>
        <w:t xml:space="preserve">y ha sido </w:t>
      </w:r>
      <w:r w:rsidR="00550E6A" w:rsidRPr="003D2A51">
        <w:rPr>
          <w:rFonts w:ascii="Book Antiqua" w:hAnsi="Book Antiqua"/>
          <w:lang w:val="es-ES"/>
        </w:rPr>
        <w:t xml:space="preserve">adoptada por más de </w:t>
      </w:r>
      <w:r w:rsidR="00473AB3" w:rsidRPr="003D2A51">
        <w:rPr>
          <w:rFonts w:ascii="Book Antiqua" w:hAnsi="Book Antiqua"/>
          <w:lang w:val="es-ES"/>
        </w:rPr>
        <w:t>31</w:t>
      </w:r>
      <w:r w:rsidR="00550E6A" w:rsidRPr="003D2A51">
        <w:rPr>
          <w:rFonts w:ascii="Book Antiqua" w:hAnsi="Book Antiqua"/>
          <w:lang w:val="es-ES"/>
        </w:rPr>
        <w:t xml:space="preserve"> estados</w:t>
      </w:r>
      <w:r w:rsidR="00473AB3" w:rsidRPr="003D2A51">
        <w:rPr>
          <w:rStyle w:val="FootnoteReference"/>
          <w:rFonts w:ascii="Book Antiqua" w:hAnsi="Book Antiqua"/>
          <w:lang w:val="es-ES"/>
        </w:rPr>
        <w:footnoteReference w:id="5"/>
      </w:r>
      <w:r w:rsidR="00550E6A" w:rsidRPr="003D2A51">
        <w:rPr>
          <w:rFonts w:ascii="Book Antiqua" w:hAnsi="Book Antiqua"/>
          <w:lang w:val="es-ES"/>
        </w:rPr>
        <w:t xml:space="preserve"> y el gobierno federal</w:t>
      </w:r>
      <w:r w:rsidR="004575A9" w:rsidRPr="003D2A51">
        <w:rPr>
          <w:rStyle w:val="FootnoteReference"/>
          <w:rFonts w:ascii="Book Antiqua" w:hAnsi="Book Antiqua"/>
          <w:lang w:val="es-ES"/>
        </w:rPr>
        <w:footnoteReference w:id="6"/>
      </w:r>
      <w:r w:rsidR="00836018" w:rsidRPr="003D2A51">
        <w:rPr>
          <w:rFonts w:ascii="Book Antiqua" w:hAnsi="Book Antiqua"/>
          <w:lang w:val="es-ES"/>
        </w:rPr>
        <w:t>.</w:t>
      </w:r>
    </w:p>
    <w:p w14:paraId="634BDB99" w14:textId="0C3849C2" w:rsidR="00393CA6" w:rsidRPr="003D2A51" w:rsidRDefault="009F524F" w:rsidP="006D5838">
      <w:pPr>
        <w:tabs>
          <w:tab w:val="left" w:pos="-720"/>
        </w:tabs>
        <w:suppressAutoHyphens/>
        <w:ind w:firstLine="360"/>
        <w:jc w:val="both"/>
        <w:rPr>
          <w:rFonts w:ascii="Book Antiqua" w:hAnsi="Book Antiqua"/>
          <w:lang w:val="es-ES"/>
        </w:rPr>
      </w:pPr>
      <w:r w:rsidRPr="003D2A51">
        <w:rPr>
          <w:rFonts w:ascii="Book Antiqua" w:hAnsi="Book Antiqua"/>
          <w:lang w:val="es-ES"/>
        </w:rPr>
        <w:tab/>
      </w:r>
      <w:r w:rsidR="009154BD" w:rsidRPr="003D2A51">
        <w:rPr>
          <w:rFonts w:ascii="Book Antiqua" w:hAnsi="Book Antiqua"/>
          <w:lang w:val="es-ES"/>
        </w:rPr>
        <w:t xml:space="preserve">La </w:t>
      </w:r>
      <w:r w:rsidR="000C5B91" w:rsidRPr="003D2A51">
        <w:rPr>
          <w:rFonts w:ascii="Book Antiqua" w:hAnsi="Book Antiqua"/>
          <w:spacing w:val="-3"/>
          <w:lang w:val="es-ES"/>
        </w:rPr>
        <w:t>Comisión de lo Jurídico del Senado de Puerto Rico</w:t>
      </w:r>
      <w:r w:rsidR="009154BD" w:rsidRPr="003D2A51">
        <w:rPr>
          <w:rFonts w:ascii="Book Antiqua" w:hAnsi="Book Antiqua"/>
          <w:spacing w:val="-3"/>
          <w:lang w:val="es-ES"/>
        </w:rPr>
        <w:t xml:space="preserve">, como parte del estudio y evaluación del </w:t>
      </w:r>
      <w:r w:rsidR="003D2A51" w:rsidRPr="003D2A51">
        <w:rPr>
          <w:rFonts w:ascii="Book Antiqua" w:hAnsi="Book Antiqua"/>
          <w:spacing w:val="-3"/>
          <w:lang w:val="es-ES"/>
        </w:rPr>
        <w:t>P. del S. 530</w:t>
      </w:r>
      <w:r w:rsidR="00481C39" w:rsidRPr="003D2A51">
        <w:rPr>
          <w:rFonts w:ascii="Book Antiqua" w:hAnsi="Book Antiqua"/>
          <w:lang w:val="es-ES"/>
        </w:rPr>
        <w:t xml:space="preserve"> </w:t>
      </w:r>
      <w:r w:rsidRPr="003D2A51">
        <w:rPr>
          <w:rFonts w:ascii="Book Antiqua" w:hAnsi="Book Antiqua"/>
          <w:lang w:val="es-ES"/>
        </w:rPr>
        <w:t>recibió</w:t>
      </w:r>
      <w:r w:rsidR="006D5838" w:rsidRPr="003D2A51">
        <w:rPr>
          <w:rFonts w:ascii="Book Antiqua" w:hAnsi="Book Antiqua"/>
          <w:lang w:val="es-ES"/>
        </w:rPr>
        <w:t xml:space="preserve"> memoriales explicativos</w:t>
      </w:r>
      <w:r w:rsidR="009154BD" w:rsidRPr="003D2A51">
        <w:rPr>
          <w:rFonts w:ascii="Book Antiqua" w:hAnsi="Book Antiqua"/>
          <w:lang w:val="es-ES"/>
        </w:rPr>
        <w:t xml:space="preserve"> a las siguientes agencias y entidades</w:t>
      </w:r>
      <w:r w:rsidR="009313EE" w:rsidRPr="003D2A51">
        <w:rPr>
          <w:rFonts w:ascii="Book Antiqua" w:hAnsi="Book Antiqua"/>
          <w:lang w:val="es-ES"/>
        </w:rPr>
        <w:t>:</w:t>
      </w:r>
      <w:r w:rsidR="00393CA6" w:rsidRPr="003D2A51">
        <w:rPr>
          <w:rFonts w:ascii="Book Antiqua" w:hAnsi="Book Antiqua"/>
          <w:lang w:val="es-ES"/>
        </w:rPr>
        <w:t xml:space="preserve"> </w:t>
      </w:r>
      <w:r w:rsidR="003D2A51" w:rsidRPr="003D2A51">
        <w:rPr>
          <w:rFonts w:ascii="Book Antiqua" w:hAnsi="Book Antiqua"/>
          <w:lang w:val="es-ES"/>
        </w:rPr>
        <w:t>Departamento de Corrección y Rehabilitación.</w:t>
      </w:r>
    </w:p>
    <w:p w14:paraId="7D81C205" w14:textId="0A79EB58" w:rsidR="006D5838" w:rsidRPr="003D2A51" w:rsidRDefault="009F524F" w:rsidP="006D5838">
      <w:pPr>
        <w:tabs>
          <w:tab w:val="left" w:pos="-720"/>
        </w:tabs>
        <w:suppressAutoHyphens/>
        <w:ind w:firstLine="360"/>
        <w:jc w:val="both"/>
        <w:rPr>
          <w:rFonts w:ascii="Book Antiqua" w:hAnsi="Book Antiqua"/>
          <w:lang w:val="es-ES"/>
        </w:rPr>
      </w:pPr>
      <w:r w:rsidRPr="003D2A51">
        <w:rPr>
          <w:rFonts w:ascii="Book Antiqua" w:hAnsi="Book Antiqua"/>
          <w:lang w:val="es-ES"/>
        </w:rPr>
        <w:tab/>
      </w:r>
      <w:r w:rsidR="009154BD" w:rsidRPr="003D2A51">
        <w:rPr>
          <w:rFonts w:ascii="Book Antiqua" w:hAnsi="Book Antiqua"/>
          <w:lang w:val="es-ES"/>
        </w:rPr>
        <w:t xml:space="preserve">A continuación, se expone </w:t>
      </w:r>
      <w:r w:rsidR="004F6E72" w:rsidRPr="003D2A51">
        <w:rPr>
          <w:rFonts w:ascii="Book Antiqua" w:hAnsi="Book Antiqua"/>
          <w:lang w:val="es-ES"/>
        </w:rPr>
        <w:t>lo expresado por estas</w:t>
      </w:r>
      <w:r w:rsidR="00334935" w:rsidRPr="003D2A51">
        <w:rPr>
          <w:rFonts w:ascii="Book Antiqua" w:hAnsi="Book Antiqua"/>
          <w:lang w:val="es-ES"/>
        </w:rPr>
        <w:t xml:space="preserve"> </w:t>
      </w:r>
      <w:r w:rsidR="00186AB6" w:rsidRPr="003D2A51">
        <w:rPr>
          <w:rFonts w:ascii="Book Antiqua" w:hAnsi="Book Antiqua"/>
          <w:lang w:val="es-ES"/>
        </w:rPr>
        <w:t xml:space="preserve">entidades </w:t>
      </w:r>
      <w:r w:rsidR="00334935" w:rsidRPr="003D2A51">
        <w:rPr>
          <w:rFonts w:ascii="Book Antiqua" w:hAnsi="Book Antiqua"/>
          <w:lang w:val="es-ES"/>
        </w:rPr>
        <w:t>gubernamentales</w:t>
      </w:r>
      <w:r w:rsidR="004F6E72" w:rsidRPr="003D2A51">
        <w:rPr>
          <w:rFonts w:ascii="Book Antiqua" w:hAnsi="Book Antiqua"/>
          <w:lang w:val="es-ES"/>
        </w:rPr>
        <w:t>.</w:t>
      </w:r>
    </w:p>
    <w:p w14:paraId="645A7A37" w14:textId="77777777" w:rsidR="00A52CD9" w:rsidRPr="003D2A51" w:rsidRDefault="00A52CD9" w:rsidP="00592B05">
      <w:pPr>
        <w:tabs>
          <w:tab w:val="left" w:pos="-720"/>
        </w:tabs>
        <w:suppressAutoHyphens/>
        <w:spacing w:line="276" w:lineRule="auto"/>
        <w:jc w:val="both"/>
        <w:rPr>
          <w:rFonts w:ascii="Book Antiqua" w:hAnsi="Book Antiqua"/>
          <w:b/>
          <w:bCs/>
          <w:u w:val="single"/>
          <w:lang w:val="es-ES"/>
        </w:rPr>
      </w:pPr>
    </w:p>
    <w:p w14:paraId="5C2915D6" w14:textId="1DE2C825" w:rsidR="003D2A51" w:rsidRPr="003D2A51" w:rsidRDefault="003D2A51" w:rsidP="003D2A5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DEPARTAMENTO DE CORRECCIÓN Y REHABILITACIÓN</w:t>
      </w:r>
    </w:p>
    <w:p w14:paraId="471B5547" w14:textId="77777777" w:rsidR="00867243" w:rsidRPr="003D2A51" w:rsidRDefault="00867243" w:rsidP="00011E09">
      <w:pPr>
        <w:tabs>
          <w:tab w:val="left" w:pos="-720"/>
        </w:tabs>
        <w:suppressAutoHyphens/>
        <w:jc w:val="both"/>
        <w:rPr>
          <w:rFonts w:ascii="Book Antiqua" w:hAnsi="Book Antiqua"/>
          <w:lang w:val="es-ES"/>
        </w:rPr>
      </w:pPr>
    </w:p>
    <w:p w14:paraId="075E660E" w14:textId="3F1D9EE1" w:rsidR="0031145E" w:rsidRPr="0031145E" w:rsidRDefault="00867243" w:rsidP="0031145E">
      <w:pPr>
        <w:tabs>
          <w:tab w:val="left" w:pos="-720"/>
        </w:tabs>
        <w:suppressAutoHyphens/>
        <w:jc w:val="both"/>
        <w:rPr>
          <w:rFonts w:ascii="Book Antiqua" w:hAnsi="Book Antiqua"/>
          <w:lang w:val="es-ES"/>
        </w:rPr>
      </w:pPr>
      <w:r w:rsidRPr="003D2A51">
        <w:rPr>
          <w:rFonts w:ascii="Book Antiqua" w:hAnsi="Book Antiqua"/>
          <w:lang w:val="es-ES"/>
        </w:rPr>
        <w:tab/>
      </w:r>
      <w:r w:rsidR="0031145E" w:rsidRPr="0031145E">
        <w:rPr>
          <w:rFonts w:ascii="Book Antiqua" w:hAnsi="Book Antiqua"/>
          <w:lang w:val="es-ES"/>
        </w:rPr>
        <w:t xml:space="preserve">En términos generales, </w:t>
      </w:r>
      <w:r w:rsidR="0031145E">
        <w:rPr>
          <w:rFonts w:ascii="Book Antiqua" w:hAnsi="Book Antiqua"/>
          <w:lang w:val="es-ES"/>
        </w:rPr>
        <w:t>el Departamento de Corrección y Rehabilitación (DCR)</w:t>
      </w:r>
      <w:r w:rsidR="0031145E" w:rsidRPr="0031145E">
        <w:rPr>
          <w:rFonts w:ascii="Book Antiqua" w:hAnsi="Book Antiqua"/>
          <w:lang w:val="es-ES"/>
        </w:rPr>
        <w:t xml:space="preserve"> apoya el aumento de 30 años a la pena fija dispuesta por ley para los casos de reincidencia agravada. El DCR considera que este incremento, que es significativamente mayor que el aumento de 10 años que podría aplicarse bajo el estatuto penal vigente, serviría como un </w:t>
      </w:r>
      <w:r w:rsidR="0031145E">
        <w:rPr>
          <w:rFonts w:ascii="Book Antiqua" w:hAnsi="Book Antiqua"/>
          <w:lang w:val="es-ES"/>
        </w:rPr>
        <w:t>“</w:t>
      </w:r>
      <w:r w:rsidR="0031145E" w:rsidRPr="0031145E">
        <w:rPr>
          <w:rFonts w:ascii="Book Antiqua" w:hAnsi="Book Antiqua"/>
          <w:lang w:val="es-ES"/>
        </w:rPr>
        <w:t>aliciente</w:t>
      </w:r>
      <w:r w:rsidR="0031145E">
        <w:rPr>
          <w:rFonts w:ascii="Book Antiqua" w:hAnsi="Book Antiqua"/>
          <w:lang w:val="es-ES"/>
        </w:rPr>
        <w:t>”</w:t>
      </w:r>
      <w:r w:rsidR="0031145E" w:rsidRPr="0031145E">
        <w:rPr>
          <w:rFonts w:ascii="Book Antiqua" w:hAnsi="Book Antiqua"/>
          <w:lang w:val="es-ES"/>
        </w:rPr>
        <w:t xml:space="preserve"> para disuadir la comisión de delitos graves de manera reiterada. Además, creen que enviaría un mensaje claro a la comunidad, ayudando a desvanecer el sentimiento de impunidad y frustración que experimentan los ciudadanos y las víctimas de delitos.</w:t>
      </w:r>
    </w:p>
    <w:p w14:paraId="59FCBAD8" w14:textId="2FF88AF3" w:rsidR="00867243" w:rsidRPr="003D2A51" w:rsidRDefault="0031145E" w:rsidP="0031145E">
      <w:pPr>
        <w:tabs>
          <w:tab w:val="left" w:pos="-720"/>
        </w:tabs>
        <w:suppressAutoHyphens/>
        <w:jc w:val="both"/>
        <w:rPr>
          <w:rFonts w:ascii="Book Antiqua" w:hAnsi="Book Antiqua"/>
          <w:lang w:val="es-ES"/>
        </w:rPr>
      </w:pPr>
      <w:r>
        <w:rPr>
          <w:rFonts w:ascii="Book Antiqua" w:hAnsi="Book Antiqua"/>
          <w:lang w:val="es-ES"/>
        </w:rPr>
        <w:tab/>
      </w:r>
      <w:r w:rsidRPr="0031145E">
        <w:rPr>
          <w:rFonts w:ascii="Book Antiqua" w:hAnsi="Book Antiqua"/>
          <w:lang w:val="es-ES"/>
        </w:rPr>
        <w:t xml:space="preserve">No obstante, el DCR enfatiza una recomendación: que los 30 años adicionales propuestos en el P. del S. 530 sean cumplidos de forma </w:t>
      </w:r>
      <w:r w:rsidR="0026288C">
        <w:rPr>
          <w:rFonts w:ascii="Book Antiqua" w:hAnsi="Book Antiqua"/>
          <w:lang w:val="es-ES"/>
        </w:rPr>
        <w:t>“</w:t>
      </w:r>
      <w:r w:rsidRPr="0031145E">
        <w:rPr>
          <w:rFonts w:ascii="Book Antiqua" w:hAnsi="Book Antiqua"/>
          <w:lang w:val="es-ES"/>
        </w:rPr>
        <w:t>natural</w:t>
      </w:r>
      <w:r w:rsidR="0026288C">
        <w:rPr>
          <w:rFonts w:ascii="Book Antiqua" w:hAnsi="Book Antiqua"/>
          <w:lang w:val="es-ES"/>
        </w:rPr>
        <w:t>”</w:t>
      </w:r>
      <w:r w:rsidRPr="0031145E">
        <w:rPr>
          <w:rFonts w:ascii="Book Antiqua" w:hAnsi="Book Antiqua"/>
          <w:lang w:val="es-ES"/>
        </w:rPr>
        <w:t>. La razón para esta recomendación es que, de no ser así, el término propuesto se beneficiaría de las bonificaciones establecidas por la Ley 87-2020. El DCR ilustra esta preocupación con un ejemplo: una condena de 30 años por un delito bajo la Ley de Sustancias Controladas, si se aplican las bonificaciones de 13 días por mes por buena conducta y hasta 10 días adicionales por mes por estudios y/o trabajo (totalizando 23 días bonificados), resultaría en que el sentenciado cumpliría solo 7 días de cada mes de sentencia efectiva, lo que significaría cumplir únicamente 17 años de una sentencia de 30 años, sin considerar otros beneficios por programas de estudio o trabajo. Por lo tanto, para que el propósito del aumento de la pena se cumpla plenamente, la DCR insiste en que el término adicional debe ser de cumplimiento natural.</w:t>
      </w:r>
      <w:r w:rsidR="0026288C">
        <w:rPr>
          <w:rFonts w:ascii="Book Antiqua" w:hAnsi="Book Antiqua"/>
          <w:lang w:val="es-ES"/>
        </w:rPr>
        <w:t xml:space="preserve"> Acogemos esta recomendación en el entirillado electrónico que se acompaña. </w:t>
      </w:r>
    </w:p>
    <w:p w14:paraId="35931FC5" w14:textId="77777777" w:rsidR="00940E84" w:rsidRPr="003D2A51" w:rsidRDefault="00940E84" w:rsidP="00011E09">
      <w:pPr>
        <w:tabs>
          <w:tab w:val="left" w:pos="-720"/>
        </w:tabs>
        <w:suppressAutoHyphens/>
        <w:jc w:val="both"/>
        <w:rPr>
          <w:rFonts w:ascii="Book Antiqua" w:hAnsi="Book Antiqua"/>
          <w:lang w:val="es-ES"/>
        </w:rPr>
      </w:pPr>
    </w:p>
    <w:p w14:paraId="302CAC3A" w14:textId="141F50AB" w:rsidR="00D13D23" w:rsidRPr="003D2A51" w:rsidRDefault="0096171F" w:rsidP="000C52A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I</w:t>
      </w:r>
      <w:r w:rsidR="002C402D" w:rsidRPr="003D2A51">
        <w:rPr>
          <w:rFonts w:ascii="Book Antiqua" w:hAnsi="Book Antiqua"/>
          <w:b/>
          <w:bCs/>
          <w:lang w:val="es-ES"/>
        </w:rPr>
        <w:t>MPACTO FISCAL</w:t>
      </w:r>
      <w:r w:rsidR="00D13D23" w:rsidRPr="003D2A51">
        <w:rPr>
          <w:rFonts w:ascii="Book Antiqua" w:hAnsi="Book Antiqua"/>
          <w:b/>
          <w:bCs/>
          <w:lang w:val="es-ES"/>
        </w:rPr>
        <w:t xml:space="preserve"> MUNICIPAL </w:t>
      </w:r>
    </w:p>
    <w:p w14:paraId="144378DC" w14:textId="77777777" w:rsidR="000C52A1" w:rsidRPr="003D2A51" w:rsidRDefault="000C52A1" w:rsidP="000C52A1">
      <w:pPr>
        <w:tabs>
          <w:tab w:val="left" w:pos="-720"/>
        </w:tabs>
        <w:suppressAutoHyphens/>
        <w:ind w:firstLine="360"/>
        <w:jc w:val="center"/>
        <w:rPr>
          <w:rFonts w:ascii="Book Antiqua" w:hAnsi="Book Antiqua"/>
          <w:b/>
          <w:bCs/>
          <w:lang w:val="es-ES"/>
        </w:rPr>
      </w:pPr>
    </w:p>
    <w:p w14:paraId="3CD7EB56" w14:textId="3B8E8D71" w:rsidR="002C402D" w:rsidRPr="003D2A51" w:rsidRDefault="004F6E72" w:rsidP="000C52A1">
      <w:pPr>
        <w:tabs>
          <w:tab w:val="left" w:pos="-720"/>
        </w:tabs>
        <w:suppressAutoHyphens/>
        <w:ind w:firstLine="360"/>
        <w:jc w:val="both"/>
        <w:rPr>
          <w:rFonts w:ascii="Book Antiqua" w:hAnsi="Book Antiqua"/>
          <w:lang w:val="es-ES"/>
        </w:rPr>
      </w:pPr>
      <w:r w:rsidRPr="003D2A51">
        <w:rPr>
          <w:rFonts w:ascii="Book Antiqua" w:hAnsi="Book Antiqua"/>
          <w:lang w:val="es-ES"/>
        </w:rPr>
        <w:tab/>
      </w:r>
      <w:r w:rsidR="00D13D23" w:rsidRPr="003D2A51">
        <w:rPr>
          <w:rFonts w:ascii="Book Antiqua" w:hAnsi="Book Antiqua"/>
          <w:lang w:val="es-ES"/>
        </w:rPr>
        <w:t xml:space="preserve">En cumplimiento con el Artículo 1.007 de la Ley Núm. 107–2020, según enmendada, conocida como “Código Municipal de Puerto Rico”, la </w:t>
      </w:r>
      <w:r w:rsidR="00BE6740" w:rsidRPr="003D2A51">
        <w:rPr>
          <w:rFonts w:ascii="Book Antiqua" w:hAnsi="Book Antiqua"/>
          <w:spacing w:val="-3"/>
          <w:lang w:val="es-ES"/>
        </w:rPr>
        <w:t>Comisión de lo Jurídico del Senado de Puerto Rico</w:t>
      </w:r>
      <w:r w:rsidR="00BE6740" w:rsidRPr="003D2A51">
        <w:rPr>
          <w:rFonts w:ascii="Book Antiqua" w:hAnsi="Book Antiqua"/>
          <w:lang w:val="es-ES"/>
        </w:rPr>
        <w:t xml:space="preserve"> </w:t>
      </w:r>
      <w:r w:rsidRPr="003D2A51">
        <w:rPr>
          <w:rFonts w:ascii="Book Antiqua" w:hAnsi="Book Antiqua"/>
          <w:lang w:val="es-ES"/>
        </w:rPr>
        <w:t xml:space="preserve">certifica que el </w:t>
      </w:r>
      <w:r w:rsidR="00201567" w:rsidRPr="003D2A51">
        <w:rPr>
          <w:rFonts w:ascii="Book Antiqua" w:hAnsi="Book Antiqua"/>
          <w:lang w:val="es-ES"/>
        </w:rPr>
        <w:t xml:space="preserve">P. del S. </w:t>
      </w:r>
      <w:r w:rsidR="00EE59B4">
        <w:rPr>
          <w:rFonts w:ascii="Book Antiqua" w:hAnsi="Book Antiqua"/>
          <w:lang w:val="es-ES"/>
        </w:rPr>
        <w:t>530</w:t>
      </w:r>
      <w:r w:rsidR="00201567" w:rsidRPr="003D2A51">
        <w:rPr>
          <w:rFonts w:ascii="Book Antiqua" w:hAnsi="Book Antiqua"/>
          <w:lang w:val="es-ES"/>
        </w:rPr>
        <w:t xml:space="preserve"> </w:t>
      </w:r>
      <w:r w:rsidR="00D13D23" w:rsidRPr="003D2A51">
        <w:rPr>
          <w:rFonts w:ascii="Book Antiqua" w:hAnsi="Book Antiqua"/>
          <w:lang w:val="es-ES"/>
        </w:rPr>
        <w:t>no impone una obligación económica en el presupuesto</w:t>
      </w:r>
      <w:r w:rsidR="00946BB4" w:rsidRPr="003D2A51">
        <w:rPr>
          <w:rFonts w:ascii="Book Antiqua" w:hAnsi="Book Antiqua"/>
          <w:lang w:val="es-ES"/>
        </w:rPr>
        <w:t xml:space="preserve"> de los gobiernos municipales. </w:t>
      </w:r>
    </w:p>
    <w:p w14:paraId="426C19E9" w14:textId="77777777" w:rsidR="00946BB4" w:rsidRPr="003D2A51" w:rsidRDefault="00946BB4" w:rsidP="000C52A1">
      <w:pPr>
        <w:tabs>
          <w:tab w:val="left" w:pos="-720"/>
        </w:tabs>
        <w:suppressAutoHyphens/>
        <w:ind w:firstLine="360"/>
        <w:jc w:val="both"/>
        <w:rPr>
          <w:rFonts w:ascii="Book Antiqua" w:hAnsi="Book Antiqua"/>
          <w:lang w:val="es-ES"/>
        </w:rPr>
      </w:pPr>
    </w:p>
    <w:p w14:paraId="482AC70D" w14:textId="77777777" w:rsidR="0096171F" w:rsidRPr="003D2A51" w:rsidRDefault="0096171F" w:rsidP="000C52A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C</w:t>
      </w:r>
      <w:r w:rsidR="002C402D" w:rsidRPr="003D2A51">
        <w:rPr>
          <w:rFonts w:ascii="Book Antiqua" w:hAnsi="Book Antiqua"/>
          <w:b/>
          <w:bCs/>
          <w:lang w:val="es-ES"/>
        </w:rPr>
        <w:t xml:space="preserve">ONCLUSIÓN </w:t>
      </w:r>
    </w:p>
    <w:p w14:paraId="040801D3" w14:textId="77777777" w:rsidR="000C52A1" w:rsidRPr="003D2A51" w:rsidRDefault="000C52A1" w:rsidP="000C52A1">
      <w:pPr>
        <w:tabs>
          <w:tab w:val="left" w:pos="-720"/>
        </w:tabs>
        <w:suppressAutoHyphens/>
        <w:ind w:firstLine="360"/>
        <w:jc w:val="center"/>
        <w:rPr>
          <w:rFonts w:ascii="Book Antiqua" w:hAnsi="Book Antiqua"/>
          <w:b/>
          <w:bCs/>
          <w:lang w:val="es-ES"/>
        </w:rPr>
      </w:pPr>
    </w:p>
    <w:p w14:paraId="2D81B2DA" w14:textId="0720FEA4" w:rsidR="000B071A" w:rsidRPr="003D2A51" w:rsidRDefault="00006DDC" w:rsidP="00DF45DC">
      <w:pPr>
        <w:tabs>
          <w:tab w:val="left" w:pos="-720"/>
        </w:tabs>
        <w:suppressAutoHyphens/>
        <w:ind w:firstLine="360"/>
        <w:jc w:val="both"/>
        <w:rPr>
          <w:rFonts w:ascii="Book Antiqua" w:hAnsi="Book Antiqua"/>
          <w:lang w:val="es-ES"/>
        </w:rPr>
      </w:pPr>
      <w:r w:rsidRPr="003D2A51">
        <w:rPr>
          <w:rFonts w:ascii="Book Antiqua" w:hAnsi="Book Antiqua"/>
          <w:lang w:val="es-ES"/>
        </w:rPr>
        <w:tab/>
        <w:t xml:space="preserve">La </w:t>
      </w:r>
      <w:r w:rsidR="00F86C0C" w:rsidRPr="003D2A51">
        <w:rPr>
          <w:rFonts w:ascii="Book Antiqua" w:hAnsi="Book Antiqua"/>
          <w:spacing w:val="-3"/>
          <w:lang w:val="es-ES"/>
        </w:rPr>
        <w:t>Comisión de lo Jurídico del Senado de Puerto Rico</w:t>
      </w:r>
      <w:r w:rsidR="006C283C" w:rsidRPr="003D2A51">
        <w:rPr>
          <w:rFonts w:ascii="Book Antiqua" w:hAnsi="Book Antiqua"/>
          <w:lang w:val="es-ES"/>
        </w:rPr>
        <w:t xml:space="preserve"> </w:t>
      </w:r>
      <w:r w:rsidR="004F6E72" w:rsidRPr="003D2A51">
        <w:rPr>
          <w:rFonts w:ascii="Book Antiqua" w:hAnsi="Book Antiqua"/>
          <w:lang w:val="es-ES"/>
        </w:rPr>
        <w:t xml:space="preserve">efectuó un análisis minucioso </w:t>
      </w:r>
      <w:r w:rsidR="00201567" w:rsidRPr="003D2A51">
        <w:rPr>
          <w:rFonts w:ascii="Book Antiqua" w:hAnsi="Book Antiqua"/>
          <w:lang w:val="es-ES"/>
        </w:rPr>
        <w:t xml:space="preserve">del P. del S. </w:t>
      </w:r>
      <w:r w:rsidR="00EE59B4">
        <w:rPr>
          <w:rFonts w:ascii="Book Antiqua" w:hAnsi="Book Antiqua"/>
          <w:lang w:val="es-ES"/>
        </w:rPr>
        <w:t>530,</w:t>
      </w:r>
      <w:r w:rsidR="00B702A0" w:rsidRPr="003D2A51">
        <w:rPr>
          <w:rFonts w:ascii="Book Antiqua" w:hAnsi="Book Antiqua"/>
          <w:lang w:val="es-ES"/>
        </w:rPr>
        <w:t xml:space="preserve"> según fue referid</w:t>
      </w:r>
      <w:r w:rsidR="00201567" w:rsidRPr="003D2A51">
        <w:rPr>
          <w:rFonts w:ascii="Book Antiqua" w:hAnsi="Book Antiqua"/>
          <w:lang w:val="es-ES"/>
        </w:rPr>
        <w:t>o</w:t>
      </w:r>
      <w:r w:rsidR="001D12A7" w:rsidRPr="003D2A51">
        <w:rPr>
          <w:rFonts w:ascii="Book Antiqua" w:hAnsi="Book Antiqua"/>
          <w:lang w:val="es-ES"/>
        </w:rPr>
        <w:t>,</w:t>
      </w:r>
      <w:r w:rsidR="00B702A0" w:rsidRPr="003D2A51">
        <w:rPr>
          <w:rFonts w:ascii="Book Antiqua" w:hAnsi="Book Antiqua"/>
          <w:lang w:val="es-ES"/>
        </w:rPr>
        <w:t xml:space="preserve"> también analiz</w:t>
      </w:r>
      <w:r w:rsidR="005354C6" w:rsidRPr="003D2A51">
        <w:rPr>
          <w:rFonts w:ascii="Book Antiqua" w:hAnsi="Book Antiqua"/>
          <w:lang w:val="es-ES"/>
        </w:rPr>
        <w:t>ó</w:t>
      </w:r>
      <w:r w:rsidR="00B702A0" w:rsidRPr="003D2A51">
        <w:rPr>
          <w:rFonts w:ascii="Book Antiqua" w:hAnsi="Book Antiqua"/>
          <w:lang w:val="es-ES"/>
        </w:rPr>
        <w:t xml:space="preserve"> </w:t>
      </w:r>
      <w:r w:rsidR="00EE59B4">
        <w:rPr>
          <w:rFonts w:ascii="Book Antiqua" w:hAnsi="Book Antiqua"/>
          <w:lang w:val="es-ES"/>
        </w:rPr>
        <w:t xml:space="preserve">el Código Penal de Puerto Rico, la jurisprudencia aplicable y el memorial explicativo recibido. </w:t>
      </w:r>
    </w:p>
    <w:p w14:paraId="5829D234" w14:textId="6590B42A" w:rsidR="0064375F" w:rsidRPr="0064375F" w:rsidRDefault="000B071A" w:rsidP="0064375F">
      <w:pPr>
        <w:tabs>
          <w:tab w:val="left" w:pos="-720"/>
        </w:tabs>
        <w:suppressAutoHyphens/>
        <w:ind w:firstLine="360"/>
        <w:jc w:val="both"/>
        <w:rPr>
          <w:rFonts w:ascii="Book Antiqua" w:hAnsi="Book Antiqua"/>
          <w:lang w:val="es-ES"/>
        </w:rPr>
      </w:pPr>
      <w:r w:rsidRPr="003D2A51">
        <w:rPr>
          <w:rFonts w:ascii="Book Antiqua" w:hAnsi="Book Antiqua"/>
          <w:lang w:val="es-ES"/>
        </w:rPr>
        <w:t xml:space="preserve">La </w:t>
      </w:r>
      <w:r w:rsidR="008F717C" w:rsidRPr="003D2A51">
        <w:rPr>
          <w:rFonts w:ascii="Book Antiqua" w:hAnsi="Book Antiqua"/>
          <w:lang w:val="es-ES"/>
        </w:rPr>
        <w:t xml:space="preserve">Comisión </w:t>
      </w:r>
      <w:r w:rsidRPr="003D2A51">
        <w:rPr>
          <w:rFonts w:ascii="Book Antiqua" w:hAnsi="Book Antiqua"/>
          <w:spacing w:val="-3"/>
          <w:lang w:val="es-ES"/>
        </w:rPr>
        <w:t xml:space="preserve">de lo Jurídico </w:t>
      </w:r>
      <w:r w:rsidR="00552B8A" w:rsidRPr="003D2A51">
        <w:rPr>
          <w:rFonts w:ascii="Book Antiqua" w:hAnsi="Book Antiqua"/>
          <w:lang w:val="es-ES"/>
        </w:rPr>
        <w:t>coincide en que</w:t>
      </w:r>
      <w:r w:rsidRPr="003D2A51">
        <w:rPr>
          <w:rFonts w:ascii="Book Antiqua" w:hAnsi="Book Antiqua"/>
          <w:lang w:val="es-ES"/>
        </w:rPr>
        <w:t xml:space="preserve"> </w:t>
      </w:r>
      <w:r w:rsidR="0064375F">
        <w:rPr>
          <w:rFonts w:ascii="Book Antiqua" w:hAnsi="Book Antiqua"/>
          <w:lang w:val="es-ES"/>
        </w:rPr>
        <w:t>el P. del S. 530</w:t>
      </w:r>
      <w:r w:rsidR="0064375F" w:rsidRPr="0064375F">
        <w:rPr>
          <w:rFonts w:ascii="Book Antiqua" w:hAnsi="Book Antiqua"/>
          <w:lang w:val="es-ES"/>
        </w:rPr>
        <w:t xml:space="preserve"> representa una respuesta necesaria y urgente a la creciente preocupación ciudadana por la seguridad y el sentimiento de impunidad que afecta a nuestra sociedad. Tras un exhaustivo análisis de la legislación propuesta, la jurisprudencia aplicable y las valiosas aportaciones del Departamento de Corrección y Rehabilitación (DCR), esta Comisión </w:t>
      </w:r>
      <w:r w:rsidR="006435C0">
        <w:rPr>
          <w:rFonts w:ascii="Book Antiqua" w:hAnsi="Book Antiqua"/>
          <w:lang w:val="es-ES"/>
        </w:rPr>
        <w:t>concluye</w:t>
      </w:r>
      <w:r w:rsidR="0064375F" w:rsidRPr="0064375F">
        <w:rPr>
          <w:rFonts w:ascii="Book Antiqua" w:hAnsi="Book Antiqua"/>
          <w:lang w:val="es-ES"/>
        </w:rPr>
        <w:t xml:space="preserve"> que la aprobación del P. del S. 530 es indispensable para garantizar que los individuos que persisten en la comisión de delitos graves enfrenten consecuencias proporcionales y efectivas, reafirmando así la confianza en nuestra capacidad para defender el orden público.</w:t>
      </w:r>
    </w:p>
    <w:p w14:paraId="5771FC5E" w14:textId="26C672C0" w:rsidR="0064375F" w:rsidRPr="0064375F" w:rsidRDefault="00CD43AA" w:rsidP="0064375F">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El Código Penal de Puerto Rico vigente ya establece un marco para la reincidencia, diferenciando entre reincidencia simple, agravada y habitual. Actualmente, la reincidencia simple permite un aumento de hasta un veinticinco (25) por ciento de la pena fija para un nuevo delito grave tras una condena previa por otro delito grave. </w:t>
      </w:r>
      <w:r w:rsidR="0067727F">
        <w:rPr>
          <w:rFonts w:ascii="Book Antiqua" w:hAnsi="Book Antiqua"/>
          <w:lang w:val="es-ES"/>
        </w:rPr>
        <w:t>Como vimos, la</w:t>
      </w:r>
      <w:r w:rsidR="0064375F" w:rsidRPr="0064375F">
        <w:rPr>
          <w:rFonts w:ascii="Book Antiqua" w:hAnsi="Book Antiqua"/>
          <w:lang w:val="es-ES"/>
        </w:rPr>
        <w:t xml:space="preserve"> reincidencia agravada, </w:t>
      </w:r>
      <w:r w:rsidR="00355ABD">
        <w:rPr>
          <w:rFonts w:ascii="Book Antiqua" w:hAnsi="Book Antiqua"/>
          <w:lang w:val="es-ES"/>
        </w:rPr>
        <w:t>en lo pertinente a</w:t>
      </w:r>
      <w:r w:rsidR="0064375F" w:rsidRPr="0064375F">
        <w:rPr>
          <w:rFonts w:ascii="Book Antiqua" w:hAnsi="Book Antiqua"/>
          <w:lang w:val="es-ES"/>
        </w:rPr>
        <w:t xml:space="preserve"> esta enmienda, se configura cuando una persona, ya convicta y sentenciada por dos o más delitos graves cometidos y juzgados en tiempos diversos e independientes, incurre nuevamente en otro delito grave. Bajo la ley actual, la pena fija para este nuevo delito puede aumentarse en un cincuenta (50) por ciento. Finalmente, la reincidencia habitual impone una pena fija de noventa y nueve (99) años para aquellos con dos o más delitos graves previos que cometen un nuevo delito grave con una pena base superior a veinte (20) años, o ciertos delitos específicos como los relacionados con la Ley de Explosivos, la Ley contra el Crimen Organizado, o artículos específicos de las </w:t>
      </w:r>
      <w:r w:rsidR="00DF0678">
        <w:rPr>
          <w:rFonts w:ascii="Book Antiqua" w:hAnsi="Book Antiqua"/>
          <w:lang w:val="es-ES"/>
        </w:rPr>
        <w:t>L</w:t>
      </w:r>
      <w:r w:rsidR="0064375F" w:rsidRPr="0064375F">
        <w:rPr>
          <w:rFonts w:ascii="Book Antiqua" w:hAnsi="Book Antiqua"/>
          <w:lang w:val="es-ES"/>
        </w:rPr>
        <w:t xml:space="preserve">eyes de Sustancias Controladas y </w:t>
      </w:r>
      <w:r w:rsidR="00DF0678">
        <w:rPr>
          <w:rFonts w:ascii="Book Antiqua" w:hAnsi="Book Antiqua"/>
          <w:lang w:val="es-ES"/>
        </w:rPr>
        <w:t xml:space="preserve">la Ley de </w:t>
      </w:r>
      <w:r w:rsidR="0064375F" w:rsidRPr="0064375F">
        <w:rPr>
          <w:rFonts w:ascii="Book Antiqua" w:hAnsi="Book Antiqua"/>
          <w:lang w:val="es-ES"/>
        </w:rPr>
        <w:t xml:space="preserve">Armas. Para determinar la reincidencia, la ley establece que no se considerará un delito anterior si han transcurrido diez (10) años desde el cumplimiento de la sentencia, y se incluyen condenas por delitos graves bajo el código derogado o leyes especiales, así como condenas por delitos que constituyan un delito grave en Puerto Rico en otras jurisdicciones. Los delitos cometidos antes de los dieciocho (18) años generalmente no se toman en cuenta, salvo excepciones. </w:t>
      </w:r>
    </w:p>
    <w:p w14:paraId="461D54CC" w14:textId="3B1A966B" w:rsidR="0064375F" w:rsidRPr="0064375F" w:rsidRDefault="00AB3BCF" w:rsidP="00187461">
      <w:pPr>
        <w:tabs>
          <w:tab w:val="left" w:pos="-720"/>
        </w:tabs>
        <w:suppressAutoHyphens/>
        <w:ind w:firstLine="360"/>
        <w:jc w:val="both"/>
        <w:rPr>
          <w:rFonts w:ascii="Book Antiqua" w:hAnsi="Book Antiqua"/>
          <w:lang w:val="es-ES"/>
        </w:rPr>
      </w:pPr>
      <w:r>
        <w:rPr>
          <w:rFonts w:ascii="Book Antiqua" w:hAnsi="Book Antiqua"/>
          <w:lang w:val="es-ES"/>
        </w:rPr>
        <w:tab/>
        <w:t>La</w:t>
      </w:r>
      <w:r w:rsidR="0064375F" w:rsidRPr="0064375F">
        <w:rPr>
          <w:rFonts w:ascii="Book Antiqua" w:hAnsi="Book Antiqua"/>
          <w:lang w:val="es-ES"/>
        </w:rPr>
        <w:t xml:space="preserve"> modificación</w:t>
      </w:r>
      <w:r>
        <w:rPr>
          <w:rFonts w:ascii="Book Antiqua" w:hAnsi="Book Antiqua"/>
          <w:lang w:val="es-ES"/>
        </w:rPr>
        <w:t xml:space="preserve"> que propone el P. del S. 530</w:t>
      </w:r>
      <w:r w:rsidR="0064375F" w:rsidRPr="0064375F">
        <w:rPr>
          <w:rFonts w:ascii="Book Antiqua" w:hAnsi="Book Antiqua"/>
          <w:lang w:val="es-ES"/>
        </w:rPr>
        <w:t xml:space="preserve"> no es un ajuste menor; es una declaración de política pública que busca disuadir de manera más efectiva la comisión reiterada de delitos graves. Como ha señalado </w:t>
      </w:r>
      <w:r w:rsidR="00187461">
        <w:rPr>
          <w:rFonts w:ascii="Book Antiqua" w:hAnsi="Book Antiqua"/>
          <w:lang w:val="es-ES"/>
        </w:rPr>
        <w:t>el</w:t>
      </w:r>
      <w:r w:rsidR="0064375F" w:rsidRPr="0064375F">
        <w:rPr>
          <w:rFonts w:ascii="Book Antiqua" w:hAnsi="Book Antiqua"/>
          <w:lang w:val="es-ES"/>
        </w:rPr>
        <w:t xml:space="preserve"> Departamento de Corrección y </w:t>
      </w:r>
      <w:r w:rsidR="0064375F" w:rsidRPr="0064375F">
        <w:rPr>
          <w:rFonts w:ascii="Book Antiqua" w:hAnsi="Book Antiqua"/>
          <w:lang w:val="es-ES"/>
        </w:rPr>
        <w:lastRenderedPageBreak/>
        <w:t xml:space="preserve">Rehabilitación (DCR), este aumento de 30 años, en contraste con el aumento de 10 años que en algunos casos significaría el estatuto penal vigente, servirá de </w:t>
      </w:r>
      <w:r w:rsidR="00187461">
        <w:rPr>
          <w:rFonts w:ascii="Book Antiqua" w:hAnsi="Book Antiqua"/>
          <w:lang w:val="es-ES"/>
        </w:rPr>
        <w:t>“</w:t>
      </w:r>
      <w:r w:rsidR="0064375F" w:rsidRPr="0064375F">
        <w:rPr>
          <w:rFonts w:ascii="Book Antiqua" w:hAnsi="Book Antiqua"/>
          <w:lang w:val="es-ES"/>
        </w:rPr>
        <w:t>aliciente</w:t>
      </w:r>
      <w:r w:rsidR="00187461">
        <w:rPr>
          <w:rFonts w:ascii="Book Antiqua" w:hAnsi="Book Antiqua"/>
          <w:lang w:val="es-ES"/>
        </w:rPr>
        <w:t>”</w:t>
      </w:r>
      <w:r w:rsidR="0064375F" w:rsidRPr="0064375F">
        <w:rPr>
          <w:rFonts w:ascii="Book Antiqua" w:hAnsi="Book Antiqua"/>
          <w:lang w:val="es-ES"/>
        </w:rPr>
        <w:t xml:space="preserve"> y enviará un </w:t>
      </w:r>
      <w:r w:rsidR="00187461">
        <w:rPr>
          <w:rFonts w:ascii="Book Antiqua" w:hAnsi="Book Antiqua"/>
          <w:lang w:val="es-ES"/>
        </w:rPr>
        <w:t>“</w:t>
      </w:r>
      <w:r w:rsidR="0064375F" w:rsidRPr="0064375F">
        <w:rPr>
          <w:rFonts w:ascii="Book Antiqua" w:hAnsi="Book Antiqua"/>
          <w:lang w:val="es-ES"/>
        </w:rPr>
        <w:t>mensaje claro a la comunidad</w:t>
      </w:r>
      <w:r w:rsidR="00187461">
        <w:rPr>
          <w:rFonts w:ascii="Book Antiqua" w:hAnsi="Book Antiqua"/>
          <w:lang w:val="es-ES"/>
        </w:rPr>
        <w:t>”</w:t>
      </w:r>
      <w:r w:rsidR="0064375F" w:rsidRPr="0064375F">
        <w:rPr>
          <w:rFonts w:ascii="Book Antiqua" w:hAnsi="Book Antiqua"/>
          <w:lang w:val="es-ES"/>
        </w:rPr>
        <w:t xml:space="preserve"> contra la impunidad. Un aspecto crucial de la postura del DCR, que esta Comisión considera de vital importancia para asegurar la efectividad de la ley, es la recomendación de que los 30 años adicionales sean cumplidos de forma </w:t>
      </w:r>
      <w:r w:rsidR="00187461">
        <w:rPr>
          <w:rFonts w:ascii="Book Antiqua" w:hAnsi="Book Antiqua"/>
          <w:lang w:val="es-ES"/>
        </w:rPr>
        <w:t>“</w:t>
      </w:r>
      <w:r w:rsidR="0064375F" w:rsidRPr="0064375F">
        <w:rPr>
          <w:rFonts w:ascii="Book Antiqua" w:hAnsi="Book Antiqua"/>
          <w:lang w:val="es-ES"/>
        </w:rPr>
        <w:t>natural</w:t>
      </w:r>
      <w:r w:rsidR="00FA5E88">
        <w:rPr>
          <w:rFonts w:ascii="Book Antiqua" w:hAnsi="Book Antiqua"/>
          <w:lang w:val="es-ES"/>
        </w:rPr>
        <w:t>”</w:t>
      </w:r>
      <w:r w:rsidR="0064375F" w:rsidRPr="0064375F">
        <w:rPr>
          <w:rFonts w:ascii="Book Antiqua" w:hAnsi="Book Antiqua"/>
          <w:lang w:val="es-ES"/>
        </w:rPr>
        <w:t xml:space="preserve">. El DCR ha explicado con claridad que, de no adoptarse esta medida, el término propuesto se vería significativamente reducido por las bonificaciones ya establecidas por la Ley 87-2020. </w:t>
      </w:r>
    </w:p>
    <w:p w14:paraId="6E4B0227" w14:textId="1977F9EA" w:rsidR="0064375F" w:rsidRPr="0064375F" w:rsidRDefault="00FA5E88" w:rsidP="00FA5E88">
      <w:pPr>
        <w:tabs>
          <w:tab w:val="left" w:pos="-720"/>
        </w:tabs>
        <w:suppressAutoHyphens/>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La constitucionalidad de leyes que imponen sentencias severas a reincidentes, conocidas como leyes de </w:t>
      </w:r>
      <w:proofErr w:type="spellStart"/>
      <w:r w:rsidRPr="00FA5E88">
        <w:rPr>
          <w:rFonts w:ascii="Book Antiqua" w:hAnsi="Book Antiqua"/>
          <w:i/>
          <w:iCs/>
          <w:lang w:val="es-ES"/>
        </w:rPr>
        <w:t>Three</w:t>
      </w:r>
      <w:proofErr w:type="spellEnd"/>
      <w:r w:rsidR="0064375F" w:rsidRPr="00FA5E88">
        <w:rPr>
          <w:rFonts w:ascii="Book Antiqua" w:hAnsi="Book Antiqua"/>
          <w:i/>
          <w:iCs/>
          <w:lang w:val="es-ES"/>
        </w:rPr>
        <w:t xml:space="preserve"> Strikes</w:t>
      </w:r>
      <w:r w:rsidR="0064375F" w:rsidRPr="0064375F">
        <w:rPr>
          <w:rFonts w:ascii="Book Antiqua" w:hAnsi="Book Antiqua"/>
          <w:lang w:val="es-ES"/>
        </w:rPr>
        <w:t xml:space="preserve">, ha sido consistentemente </w:t>
      </w:r>
      <w:r w:rsidR="00407E57">
        <w:rPr>
          <w:rFonts w:ascii="Book Antiqua" w:hAnsi="Book Antiqua"/>
          <w:lang w:val="es-ES"/>
        </w:rPr>
        <w:t>confirmada</w:t>
      </w:r>
      <w:r w:rsidR="0064375F" w:rsidRPr="0064375F">
        <w:rPr>
          <w:rFonts w:ascii="Book Antiqua" w:hAnsi="Book Antiqua"/>
          <w:lang w:val="es-ES"/>
        </w:rPr>
        <w:t xml:space="preserve"> por el Tribunal Supremo de los Estados Unidos. En el caso de </w:t>
      </w:r>
      <w:r w:rsidR="0064375F" w:rsidRPr="00407E57">
        <w:rPr>
          <w:rFonts w:ascii="Book Antiqua" w:hAnsi="Book Antiqua"/>
          <w:i/>
          <w:iCs/>
          <w:lang w:val="es-ES"/>
        </w:rPr>
        <w:t>Ewing v. California</w:t>
      </w:r>
      <w:r w:rsidR="001D764D">
        <w:rPr>
          <w:rFonts w:ascii="Book Antiqua" w:hAnsi="Book Antiqua"/>
          <w:lang w:val="es-ES"/>
        </w:rPr>
        <w:t xml:space="preserve">, </w:t>
      </w:r>
      <w:r w:rsidR="001D764D" w:rsidRPr="001D764D">
        <w:rPr>
          <w:rFonts w:ascii="Book Antiqua" w:hAnsi="Book Antiqua"/>
          <w:i/>
          <w:iCs/>
          <w:lang w:val="es-ES"/>
        </w:rPr>
        <w:t>supra</w:t>
      </w:r>
      <w:r w:rsidR="001D764D">
        <w:rPr>
          <w:rFonts w:ascii="Book Antiqua" w:hAnsi="Book Antiqua"/>
          <w:lang w:val="es-ES"/>
        </w:rPr>
        <w:t xml:space="preserve">, </w:t>
      </w:r>
      <w:r w:rsidR="0064375F" w:rsidRPr="0064375F">
        <w:rPr>
          <w:rFonts w:ascii="Book Antiqua" w:hAnsi="Book Antiqua"/>
          <w:lang w:val="es-ES"/>
        </w:rPr>
        <w:t xml:space="preserve">la Corte Suprema sostuvo que las leyes de </w:t>
      </w:r>
      <w:proofErr w:type="spellStart"/>
      <w:r w:rsidR="00407E57" w:rsidRPr="00FA5E88">
        <w:rPr>
          <w:rFonts w:ascii="Book Antiqua" w:hAnsi="Book Antiqua"/>
          <w:i/>
          <w:iCs/>
          <w:lang w:val="es-ES"/>
        </w:rPr>
        <w:t>Three</w:t>
      </w:r>
      <w:proofErr w:type="spellEnd"/>
      <w:r w:rsidR="00407E57" w:rsidRPr="00FA5E88">
        <w:rPr>
          <w:rFonts w:ascii="Book Antiqua" w:hAnsi="Book Antiqua"/>
          <w:i/>
          <w:iCs/>
          <w:lang w:val="es-ES"/>
        </w:rPr>
        <w:t xml:space="preserve"> Strikes</w:t>
      </w:r>
      <w:r w:rsidR="00407E57" w:rsidRPr="0064375F">
        <w:rPr>
          <w:rFonts w:ascii="Book Antiqua" w:hAnsi="Book Antiqua"/>
          <w:lang w:val="es-ES"/>
        </w:rPr>
        <w:t xml:space="preserve"> </w:t>
      </w:r>
      <w:r w:rsidR="0064375F" w:rsidRPr="0064375F">
        <w:rPr>
          <w:rFonts w:ascii="Book Antiqua" w:hAnsi="Book Antiqua"/>
          <w:lang w:val="es-ES"/>
        </w:rPr>
        <w:t xml:space="preserve">no violan la prohibición constitucional establecida en la Octava Enmienda, ya que existe una base razonable para creer que estas leyes promueven el objetivo legítimo de disuadir a los delincuentes reincidentes. La ley de </w:t>
      </w:r>
      <w:proofErr w:type="spellStart"/>
      <w:r w:rsidR="00407E57" w:rsidRPr="00FA5E88">
        <w:rPr>
          <w:rFonts w:ascii="Book Antiqua" w:hAnsi="Book Antiqua"/>
          <w:i/>
          <w:iCs/>
          <w:lang w:val="es-ES"/>
        </w:rPr>
        <w:t>Three</w:t>
      </w:r>
      <w:proofErr w:type="spellEnd"/>
      <w:r w:rsidR="00407E57" w:rsidRPr="00FA5E88">
        <w:rPr>
          <w:rFonts w:ascii="Book Antiqua" w:hAnsi="Book Antiqua"/>
          <w:i/>
          <w:iCs/>
          <w:lang w:val="es-ES"/>
        </w:rPr>
        <w:t xml:space="preserve"> Strikes</w:t>
      </w:r>
      <w:r w:rsidR="00407E57" w:rsidRPr="0064375F">
        <w:rPr>
          <w:rFonts w:ascii="Book Antiqua" w:hAnsi="Book Antiqua"/>
          <w:lang w:val="es-ES"/>
        </w:rPr>
        <w:t xml:space="preserve"> </w:t>
      </w:r>
      <w:r w:rsidR="0064375F" w:rsidRPr="0064375F">
        <w:rPr>
          <w:rFonts w:ascii="Book Antiqua" w:hAnsi="Book Antiqua"/>
          <w:lang w:val="es-ES"/>
        </w:rPr>
        <w:t xml:space="preserve">de California, similar en propósito al P. del S. 530, fue diseñada para asegurar sentencias de prisión más largas y mayor castigo para aquellos que cometen un delito grave y han sido previamente condenados por delitos graves y/o violentos. </w:t>
      </w:r>
      <w:r w:rsidR="00530E15">
        <w:rPr>
          <w:rFonts w:ascii="Book Antiqua" w:hAnsi="Book Antiqua"/>
          <w:lang w:val="es-ES"/>
        </w:rPr>
        <w:t>El Tribunal Supremo</w:t>
      </w:r>
      <w:r w:rsidR="0064375F" w:rsidRPr="0064375F">
        <w:rPr>
          <w:rFonts w:ascii="Book Antiqua" w:hAnsi="Book Antiqua"/>
          <w:lang w:val="es-ES"/>
        </w:rPr>
        <w:t xml:space="preserve"> enfatizó la importancia de </w:t>
      </w:r>
      <w:r w:rsidR="00530E15">
        <w:rPr>
          <w:rFonts w:ascii="Book Antiqua" w:hAnsi="Book Antiqua"/>
          <w:lang w:val="es-ES"/>
        </w:rPr>
        <w:t>delegar</w:t>
      </w:r>
      <w:r w:rsidR="0064375F" w:rsidRPr="0064375F">
        <w:rPr>
          <w:rFonts w:ascii="Book Antiqua" w:hAnsi="Book Antiqua"/>
          <w:lang w:val="es-ES"/>
        </w:rPr>
        <w:t xml:space="preserve"> a los estados en la toma de sus propias decisiones políticas en materia penal. Para </w:t>
      </w:r>
      <w:r w:rsidR="00530E15">
        <w:rPr>
          <w:rFonts w:ascii="Book Antiqua" w:hAnsi="Book Antiqua"/>
          <w:lang w:val="es-ES"/>
        </w:rPr>
        <w:t>el Tribunal</w:t>
      </w:r>
      <w:r w:rsidR="0064375F" w:rsidRPr="0064375F">
        <w:rPr>
          <w:rFonts w:ascii="Book Antiqua" w:hAnsi="Book Antiqua"/>
          <w:lang w:val="es-ES"/>
        </w:rPr>
        <w:t xml:space="preserve">, la gravedad del delito </w:t>
      </w:r>
      <w:r w:rsidR="00530E15">
        <w:rPr>
          <w:rFonts w:ascii="Book Antiqua" w:hAnsi="Book Antiqua"/>
          <w:lang w:val="es-ES"/>
        </w:rPr>
        <w:t>en</w:t>
      </w:r>
      <w:r w:rsidR="0064375F" w:rsidRPr="0064375F">
        <w:rPr>
          <w:rFonts w:ascii="Book Antiqua" w:hAnsi="Book Antiqua"/>
          <w:lang w:val="es-ES"/>
        </w:rPr>
        <w:t xml:space="preserve"> </w:t>
      </w:r>
      <w:r w:rsidR="0064375F" w:rsidRPr="00530E15">
        <w:rPr>
          <w:rFonts w:ascii="Book Antiqua" w:hAnsi="Book Antiqua"/>
          <w:i/>
          <w:iCs/>
          <w:lang w:val="es-ES"/>
        </w:rPr>
        <w:t>Ewing</w:t>
      </w:r>
      <w:r w:rsidR="0064375F" w:rsidRPr="0064375F">
        <w:rPr>
          <w:rFonts w:ascii="Book Antiqua" w:hAnsi="Book Antiqua"/>
          <w:lang w:val="es-ES"/>
        </w:rPr>
        <w:t xml:space="preserve"> no era meramente el robo de los palos de golf, sino el hecho de que fue convicto por un delito grave después de haber sido previamente condenado por al menos dos delitos violentos o graves. El Tribunal consideró que la sentencia estaba justificada por el interés del Estado en la seguridad pública, en disuadir a los delincuentes reincidentes, y ampliamente respaldada por su propio y largo historial delictivo grave</w:t>
      </w:r>
      <w:r w:rsidR="001D764D">
        <w:rPr>
          <w:rFonts w:ascii="Book Antiqua" w:hAnsi="Book Antiqua"/>
          <w:lang w:val="es-ES"/>
        </w:rPr>
        <w:t>.</w:t>
      </w:r>
      <w:r w:rsidR="0064375F" w:rsidRPr="0064375F">
        <w:rPr>
          <w:rFonts w:ascii="Book Antiqua" w:hAnsi="Book Antiqua"/>
          <w:lang w:val="es-ES"/>
        </w:rPr>
        <w:t xml:space="preserve"> Este precedente es fundamental, ya que valida el enfoque del P. del S. 530 al considerar el historial de reincidencia como un factor determinante para la imposición de una pena significativamente mayor.</w:t>
      </w:r>
    </w:p>
    <w:p w14:paraId="4E9E8F86" w14:textId="18B1990C" w:rsidR="0064375F" w:rsidRPr="0064375F" w:rsidRDefault="001D764D" w:rsidP="0064375F">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La jurisprudencia previa ya había sentado estas bases. En </w:t>
      </w:r>
      <w:proofErr w:type="spellStart"/>
      <w:r w:rsidR="0064375F" w:rsidRPr="001D764D">
        <w:rPr>
          <w:rFonts w:ascii="Book Antiqua" w:hAnsi="Book Antiqua"/>
          <w:i/>
          <w:iCs/>
          <w:lang w:val="es-ES"/>
        </w:rPr>
        <w:t>Rummel</w:t>
      </w:r>
      <w:proofErr w:type="spellEnd"/>
      <w:r w:rsidR="0064375F" w:rsidRPr="001D764D">
        <w:rPr>
          <w:rFonts w:ascii="Book Antiqua" w:hAnsi="Book Antiqua"/>
          <w:i/>
          <w:iCs/>
          <w:lang w:val="es-ES"/>
        </w:rPr>
        <w:t xml:space="preserve"> v. </w:t>
      </w:r>
      <w:proofErr w:type="spellStart"/>
      <w:r w:rsidR="0064375F" w:rsidRPr="001D764D">
        <w:rPr>
          <w:rFonts w:ascii="Book Antiqua" w:hAnsi="Book Antiqua"/>
          <w:i/>
          <w:iCs/>
          <w:lang w:val="es-ES"/>
        </w:rPr>
        <w:t>Estelle</w:t>
      </w:r>
      <w:proofErr w:type="spellEnd"/>
      <w:r>
        <w:rPr>
          <w:rFonts w:ascii="Book Antiqua" w:hAnsi="Book Antiqua"/>
          <w:lang w:val="es-ES"/>
        </w:rPr>
        <w:t xml:space="preserve">, </w:t>
      </w:r>
      <w:r w:rsidRPr="001D764D">
        <w:rPr>
          <w:rFonts w:ascii="Book Antiqua" w:hAnsi="Book Antiqua"/>
          <w:i/>
          <w:iCs/>
          <w:lang w:val="es-ES"/>
        </w:rPr>
        <w:t>supra</w:t>
      </w:r>
      <w:r>
        <w:rPr>
          <w:rFonts w:ascii="Book Antiqua" w:hAnsi="Book Antiqua"/>
          <w:lang w:val="es-ES"/>
        </w:rPr>
        <w:t xml:space="preserve">, </w:t>
      </w:r>
      <w:r w:rsidR="00A4134E">
        <w:rPr>
          <w:rFonts w:ascii="Book Antiqua" w:hAnsi="Book Antiqua"/>
          <w:lang w:val="es-ES"/>
        </w:rPr>
        <w:t>el Tribunal Supremo de Estados Unidos</w:t>
      </w:r>
      <w:r w:rsidR="0064375F" w:rsidRPr="0064375F">
        <w:rPr>
          <w:rFonts w:ascii="Book Antiqua" w:hAnsi="Book Antiqua"/>
          <w:lang w:val="es-ES"/>
        </w:rPr>
        <w:t xml:space="preserve"> confirmó una condena de cadena perpetua obligatoria impuesta a un acusado en Texas por su tercera condena por delitos no violentos relacionados con la propiedad. </w:t>
      </w:r>
      <w:r w:rsidR="00C44952">
        <w:rPr>
          <w:rFonts w:ascii="Book Antiqua" w:hAnsi="Book Antiqua"/>
          <w:lang w:val="es-ES"/>
        </w:rPr>
        <w:t>El Tribunal</w:t>
      </w:r>
      <w:r w:rsidR="0064375F" w:rsidRPr="0064375F">
        <w:rPr>
          <w:rFonts w:ascii="Book Antiqua" w:hAnsi="Book Antiqua"/>
          <w:lang w:val="es-ES"/>
        </w:rPr>
        <w:t xml:space="preserve"> señaló que</w:t>
      </w:r>
      <w:r w:rsidR="0032041A">
        <w:rPr>
          <w:rFonts w:ascii="Book Antiqua" w:hAnsi="Book Antiqua"/>
          <w:lang w:val="es-ES"/>
        </w:rPr>
        <w:t xml:space="preserve"> </w:t>
      </w:r>
      <w:r w:rsidR="0064375F" w:rsidRPr="0064375F">
        <w:rPr>
          <w:rFonts w:ascii="Book Antiqua" w:hAnsi="Book Antiqua"/>
          <w:lang w:val="es-ES"/>
        </w:rPr>
        <w:t xml:space="preserve">Texas estaba facultada para imponer a </w:t>
      </w:r>
      <w:proofErr w:type="spellStart"/>
      <w:r w:rsidR="0064375F" w:rsidRPr="0064375F">
        <w:rPr>
          <w:rFonts w:ascii="Book Antiqua" w:hAnsi="Book Antiqua"/>
          <w:lang w:val="es-ES"/>
        </w:rPr>
        <w:t>Rummel</w:t>
      </w:r>
      <w:proofErr w:type="spellEnd"/>
      <w:r w:rsidR="0064375F" w:rsidRPr="0064375F">
        <w:rPr>
          <w:rFonts w:ascii="Book Antiqua" w:hAnsi="Book Antiqua"/>
          <w:lang w:val="es-ES"/>
        </w:rPr>
        <w:t xml:space="preserve"> la carga de alguien que simplemente es incapaz de ajustar su conducta a las normas sociales prescritas por el derecho penal del Estado.</w:t>
      </w:r>
      <w:r w:rsidR="002E3551">
        <w:rPr>
          <w:rStyle w:val="FootnoteReference"/>
          <w:rFonts w:ascii="Book Antiqua" w:hAnsi="Book Antiqua"/>
          <w:lang w:val="es-ES"/>
        </w:rPr>
        <w:footnoteReference w:id="7"/>
      </w:r>
      <w:r w:rsidR="0064375F" w:rsidRPr="0064375F">
        <w:rPr>
          <w:rFonts w:ascii="Book Antiqua" w:hAnsi="Book Antiqua"/>
          <w:lang w:val="es-ES"/>
        </w:rPr>
        <w:t xml:space="preserve"> La duración de la sentencia impuesta para delitos clasificados como graves es </w:t>
      </w:r>
      <w:r w:rsidR="006418B0">
        <w:rPr>
          <w:rFonts w:ascii="Book Antiqua" w:hAnsi="Book Antiqua"/>
          <w:lang w:val="es-ES"/>
        </w:rPr>
        <w:t>“</w:t>
      </w:r>
      <w:proofErr w:type="spellStart"/>
      <w:r w:rsidR="006418B0" w:rsidRPr="006418B0">
        <w:rPr>
          <w:rFonts w:ascii="Book Antiqua" w:hAnsi="Book Antiqua"/>
          <w:i/>
          <w:iCs/>
          <w:lang w:val="es-ES"/>
        </w:rPr>
        <w:t>largely</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within</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the</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discretion</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of</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the</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punishing</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jurisdiction</w:t>
      </w:r>
      <w:proofErr w:type="spellEnd"/>
      <w:r w:rsidR="006418B0">
        <w:rPr>
          <w:rFonts w:ascii="Book Antiqua" w:hAnsi="Book Antiqua"/>
          <w:lang w:val="es-ES"/>
        </w:rPr>
        <w:t>”</w:t>
      </w:r>
      <w:r w:rsidR="0064375F" w:rsidRPr="0064375F">
        <w:rPr>
          <w:rFonts w:ascii="Book Antiqua" w:hAnsi="Book Antiqua"/>
          <w:lang w:val="es-ES"/>
        </w:rPr>
        <w:t>.</w:t>
      </w:r>
      <w:r w:rsidR="006418B0">
        <w:rPr>
          <w:rStyle w:val="FootnoteReference"/>
          <w:rFonts w:ascii="Book Antiqua" w:hAnsi="Book Antiqua"/>
          <w:lang w:val="es-ES"/>
        </w:rPr>
        <w:footnoteReference w:id="8"/>
      </w:r>
      <w:r w:rsidR="0064375F" w:rsidRPr="0064375F">
        <w:rPr>
          <w:rFonts w:ascii="Book Antiqua" w:hAnsi="Book Antiqua"/>
          <w:lang w:val="es-ES"/>
        </w:rPr>
        <w:t xml:space="preserve"> </w:t>
      </w:r>
    </w:p>
    <w:p w14:paraId="33F4DD2D" w14:textId="528EF361" w:rsidR="0064375F" w:rsidRPr="0064375F" w:rsidRDefault="00EC734A" w:rsidP="0064375F">
      <w:pPr>
        <w:tabs>
          <w:tab w:val="left" w:pos="-720"/>
        </w:tabs>
        <w:suppressAutoHyphens/>
        <w:ind w:firstLine="360"/>
        <w:jc w:val="both"/>
        <w:rPr>
          <w:rFonts w:ascii="Book Antiqua" w:hAnsi="Book Antiqua"/>
          <w:lang w:val="es-ES"/>
        </w:rPr>
      </w:pPr>
      <w:r>
        <w:rPr>
          <w:rFonts w:ascii="Book Antiqua" w:hAnsi="Book Antiqua"/>
          <w:lang w:val="es-ES"/>
        </w:rPr>
        <w:tab/>
        <w:t>El</w:t>
      </w:r>
      <w:r w:rsidR="0064375F" w:rsidRPr="0064375F">
        <w:rPr>
          <w:rFonts w:ascii="Book Antiqua" w:hAnsi="Book Antiqua"/>
          <w:lang w:val="es-ES"/>
        </w:rPr>
        <w:t xml:space="preserve"> P. del S. 530 se alinea perfectamente con estos principios constitucionales y jurisprudenciales. El aumento de 30 años a la pena fija para la reincidencia agravada no es un castigo desproporcionado en el contexto de un delincuente que ha demostrado un patrón persistente de conducta criminal grave, con dos o más delitos </w:t>
      </w:r>
      <w:r w:rsidR="0064375F" w:rsidRPr="0064375F">
        <w:rPr>
          <w:rFonts w:ascii="Book Antiqua" w:hAnsi="Book Antiqua"/>
          <w:lang w:val="es-ES"/>
        </w:rPr>
        <w:lastRenderedPageBreak/>
        <w:t xml:space="preserve">graves previos. Es una medida que busca </w:t>
      </w:r>
      <w:r w:rsidR="00641D42">
        <w:rPr>
          <w:rFonts w:ascii="Book Antiqua" w:hAnsi="Book Antiqua"/>
          <w:lang w:val="es-ES"/>
        </w:rPr>
        <w:t>castigar severamente</w:t>
      </w:r>
      <w:r w:rsidR="0064375F" w:rsidRPr="0064375F">
        <w:rPr>
          <w:rFonts w:ascii="Book Antiqua" w:hAnsi="Book Antiqua"/>
          <w:lang w:val="es-ES"/>
        </w:rPr>
        <w:t xml:space="preserve"> a individuos que representan un riesgo continuo para la sociedad y enviar un fuerte mensaje disuasorio.</w:t>
      </w:r>
    </w:p>
    <w:p w14:paraId="53D5C47D" w14:textId="49C0FBEB" w:rsidR="0064375F" w:rsidRPr="0064375F" w:rsidRDefault="00641D42" w:rsidP="0064375F">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Es importante reconocer que las leyes de </w:t>
      </w:r>
      <w:proofErr w:type="spellStart"/>
      <w:r w:rsidR="00F52F63" w:rsidRPr="00F52F63">
        <w:rPr>
          <w:rFonts w:ascii="Book Antiqua" w:hAnsi="Book Antiqua"/>
          <w:i/>
          <w:iCs/>
          <w:lang w:val="es-ES"/>
        </w:rPr>
        <w:t>three</w:t>
      </w:r>
      <w:proofErr w:type="spellEnd"/>
      <w:r w:rsidR="0064375F" w:rsidRPr="00F52F63">
        <w:rPr>
          <w:rFonts w:ascii="Book Antiqua" w:hAnsi="Book Antiqua"/>
          <w:i/>
          <w:iCs/>
          <w:lang w:val="es-ES"/>
        </w:rPr>
        <w:t xml:space="preserve"> strikes</w:t>
      </w:r>
      <w:r w:rsidR="0064375F" w:rsidRPr="0064375F">
        <w:rPr>
          <w:rFonts w:ascii="Book Antiqua" w:hAnsi="Book Antiqua"/>
          <w:lang w:val="es-ES"/>
        </w:rPr>
        <w:t xml:space="preserve"> han generado controversia, con críticos que cuestionan su sabiduría, eficiencia en costos y efectividad. Sin embargo, como el Tribunal Supremo ha enfatizado, estas críticas están </w:t>
      </w:r>
      <w:r w:rsidR="005C7E5B">
        <w:rPr>
          <w:rFonts w:ascii="Book Antiqua" w:hAnsi="Book Antiqua"/>
          <w:lang w:val="es-ES"/>
        </w:rPr>
        <w:t>“</w:t>
      </w:r>
      <w:r w:rsidR="0064375F" w:rsidRPr="0064375F">
        <w:rPr>
          <w:rFonts w:ascii="Book Antiqua" w:hAnsi="Book Antiqua"/>
          <w:lang w:val="es-ES"/>
        </w:rPr>
        <w:t>apropiadamente dirigidas a la legislatura, que tiene la responsabilidad principal de tomar las difíciles decisiones políticas que subyacen a cualquier esquema de sentencias criminales</w:t>
      </w:r>
      <w:r w:rsidR="005C7E5B">
        <w:rPr>
          <w:rFonts w:ascii="Book Antiqua" w:hAnsi="Book Antiqua"/>
          <w:lang w:val="es-ES"/>
        </w:rPr>
        <w:t>”</w:t>
      </w:r>
      <w:r w:rsidR="0064375F" w:rsidRPr="0064375F">
        <w:rPr>
          <w:rFonts w:ascii="Book Antiqua" w:hAnsi="Book Antiqua"/>
          <w:lang w:val="es-ES"/>
        </w:rPr>
        <w:t>.</w:t>
      </w:r>
      <w:r w:rsidR="005C7E5B">
        <w:rPr>
          <w:rStyle w:val="FootnoteReference"/>
          <w:rFonts w:ascii="Book Antiqua" w:hAnsi="Book Antiqua"/>
          <w:lang w:val="es-ES"/>
        </w:rPr>
        <w:footnoteReference w:id="9"/>
      </w:r>
      <w:r w:rsidR="0064375F" w:rsidRPr="0064375F">
        <w:rPr>
          <w:rFonts w:ascii="Book Antiqua" w:hAnsi="Book Antiqua"/>
          <w:lang w:val="es-ES"/>
        </w:rPr>
        <w:t xml:space="preserve"> </w:t>
      </w:r>
      <w:r w:rsidR="00C21D1D">
        <w:rPr>
          <w:rFonts w:ascii="Book Antiqua" w:hAnsi="Book Antiqua"/>
          <w:lang w:val="es-ES"/>
        </w:rPr>
        <w:t>A juicio del Tribunal Supremo,</w:t>
      </w:r>
      <w:r w:rsidR="0064375F" w:rsidRPr="0064375F">
        <w:rPr>
          <w:rFonts w:ascii="Book Antiqua" w:hAnsi="Book Antiqua"/>
          <w:lang w:val="es-ES"/>
        </w:rPr>
        <w:t xml:space="preserve"> </w:t>
      </w:r>
      <w:r w:rsidR="00C21D1D">
        <w:rPr>
          <w:rFonts w:ascii="Book Antiqua" w:hAnsi="Book Antiqua"/>
          <w:lang w:val="es-ES"/>
        </w:rPr>
        <w:t>e</w:t>
      </w:r>
      <w:r w:rsidR="0064375F" w:rsidRPr="0064375F">
        <w:rPr>
          <w:rFonts w:ascii="Book Antiqua" w:hAnsi="Book Antiqua"/>
          <w:lang w:val="es-ES"/>
        </w:rPr>
        <w:t>s suficiente que el Estado</w:t>
      </w:r>
      <w:r w:rsidR="00C21D1D">
        <w:rPr>
          <w:rFonts w:ascii="Book Antiqua" w:hAnsi="Book Antiqua"/>
          <w:lang w:val="es-ES"/>
        </w:rPr>
        <w:t>, en este caso</w:t>
      </w:r>
      <w:r w:rsidR="0064375F" w:rsidRPr="0064375F">
        <w:rPr>
          <w:rFonts w:ascii="Book Antiqua" w:hAnsi="Book Antiqua"/>
          <w:lang w:val="es-ES"/>
        </w:rPr>
        <w:t xml:space="preserve"> Puerto Rico</w:t>
      </w:r>
      <w:r w:rsidR="00C21D1D">
        <w:rPr>
          <w:rFonts w:ascii="Book Antiqua" w:hAnsi="Book Antiqua"/>
          <w:lang w:val="es-ES"/>
        </w:rPr>
        <w:t>,</w:t>
      </w:r>
      <w:r w:rsidR="0064375F" w:rsidRPr="0064375F">
        <w:rPr>
          <w:rFonts w:ascii="Book Antiqua" w:hAnsi="Book Antiqua"/>
          <w:lang w:val="es-ES"/>
        </w:rPr>
        <w:t xml:space="preserve"> tenga una base razonable para creer que las sentencias drásticamente aumentadas para delincuentes habituales </w:t>
      </w:r>
      <w:r w:rsidR="005C7DEC">
        <w:rPr>
          <w:rFonts w:ascii="Book Antiqua" w:hAnsi="Book Antiqua"/>
          <w:lang w:val="es-ES"/>
        </w:rPr>
        <w:t>“</w:t>
      </w:r>
      <w:r w:rsidR="0064375F" w:rsidRPr="0064375F">
        <w:rPr>
          <w:rFonts w:ascii="Book Antiqua" w:hAnsi="Book Antiqua"/>
          <w:lang w:val="es-ES"/>
        </w:rPr>
        <w:t>promueven los objetivos de [su] sistema de justicia penal de manera sustancial</w:t>
      </w:r>
      <w:r w:rsidR="005C7DEC">
        <w:rPr>
          <w:rFonts w:ascii="Book Antiqua" w:hAnsi="Book Antiqua"/>
          <w:lang w:val="es-ES"/>
        </w:rPr>
        <w:t>”</w:t>
      </w:r>
      <w:r w:rsidR="0064375F" w:rsidRPr="0064375F">
        <w:rPr>
          <w:rFonts w:ascii="Book Antiqua" w:hAnsi="Book Antiqua"/>
          <w:lang w:val="es-ES"/>
        </w:rPr>
        <w:t>.</w:t>
      </w:r>
      <w:r w:rsidR="005C7DEC">
        <w:rPr>
          <w:rStyle w:val="FootnoteReference"/>
          <w:rFonts w:ascii="Book Antiqua" w:hAnsi="Book Antiqua"/>
          <w:lang w:val="es-ES"/>
        </w:rPr>
        <w:footnoteReference w:id="10"/>
      </w:r>
      <w:r w:rsidR="0064375F" w:rsidRPr="0064375F">
        <w:rPr>
          <w:rFonts w:ascii="Book Antiqua" w:hAnsi="Book Antiqua"/>
          <w:lang w:val="es-ES"/>
        </w:rPr>
        <w:t xml:space="preserve"> </w:t>
      </w:r>
    </w:p>
    <w:p w14:paraId="7BDD79F8" w14:textId="4EB3DA04" w:rsidR="00A12823" w:rsidRPr="003D2A51" w:rsidRDefault="00E64136" w:rsidP="0064375F">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En conclusión, la aprobación del P. del S. 530 es una medida fundamental para fortalecer la seguridad pública y restaurar la confianza ciudadana en el sistema de justicia penal de Puerto Rico. Al imponer un aumento de treinta (30) años a la pena fija para la reincidencia agravada, </w:t>
      </w:r>
      <w:r w:rsidR="0058202D">
        <w:rPr>
          <w:rFonts w:ascii="Book Antiqua" w:hAnsi="Book Antiqua"/>
          <w:lang w:val="es-ES"/>
        </w:rPr>
        <w:t>este Senado envía</w:t>
      </w:r>
      <w:r w:rsidR="0064375F" w:rsidRPr="0064375F">
        <w:rPr>
          <w:rFonts w:ascii="Book Antiqua" w:hAnsi="Book Antiqua"/>
          <w:lang w:val="es-ES"/>
        </w:rPr>
        <w:t xml:space="preserve"> un mensaje inequívoco de intolerancia hacia la conducta criminal reiterada</w:t>
      </w:r>
      <w:r w:rsidR="0058202D">
        <w:rPr>
          <w:rFonts w:ascii="Book Antiqua" w:hAnsi="Book Antiqua"/>
          <w:lang w:val="es-ES"/>
        </w:rPr>
        <w:t>,</w:t>
      </w:r>
      <w:r w:rsidR="0064375F" w:rsidRPr="0064375F">
        <w:rPr>
          <w:rFonts w:ascii="Book Antiqua" w:hAnsi="Book Antiqua"/>
          <w:lang w:val="es-ES"/>
        </w:rPr>
        <w:t xml:space="preserve"> garantizando que aquellos que representan un riesgo continuo para la comunidad enfrenten consecuencias proporcionales a su peligrosidad. </w:t>
      </w:r>
    </w:p>
    <w:p w14:paraId="12984714" w14:textId="77777777" w:rsidR="000B071A" w:rsidRPr="003D2A51" w:rsidRDefault="000B071A" w:rsidP="006D5838">
      <w:pPr>
        <w:tabs>
          <w:tab w:val="left" w:pos="-720"/>
        </w:tabs>
        <w:suppressAutoHyphens/>
        <w:ind w:firstLine="360"/>
        <w:jc w:val="both"/>
        <w:rPr>
          <w:rFonts w:ascii="Book Antiqua" w:hAnsi="Book Antiqua"/>
          <w:b/>
          <w:bCs/>
          <w:lang w:val="es-ES"/>
        </w:rPr>
      </w:pPr>
    </w:p>
    <w:p w14:paraId="7885E90D" w14:textId="3575FD60" w:rsidR="00DF45DC" w:rsidRPr="003D2A51" w:rsidRDefault="0096171F" w:rsidP="006D5838">
      <w:pPr>
        <w:tabs>
          <w:tab w:val="left" w:pos="-720"/>
        </w:tabs>
        <w:suppressAutoHyphens/>
        <w:ind w:firstLine="360"/>
        <w:jc w:val="both"/>
        <w:rPr>
          <w:rFonts w:ascii="Book Antiqua" w:hAnsi="Book Antiqua"/>
          <w:lang w:val="es-ES"/>
        </w:rPr>
      </w:pPr>
      <w:r w:rsidRPr="003D2A51">
        <w:rPr>
          <w:rFonts w:ascii="Book Antiqua" w:hAnsi="Book Antiqua"/>
          <w:b/>
          <w:bCs/>
          <w:lang w:val="es-ES"/>
        </w:rPr>
        <w:t>POR TODO LO ANTES EXPUESTO</w:t>
      </w:r>
      <w:r w:rsidRPr="003D2A51">
        <w:rPr>
          <w:rFonts w:ascii="Book Antiqua" w:hAnsi="Book Antiqua"/>
          <w:lang w:val="es-ES"/>
        </w:rPr>
        <w:t xml:space="preserve">, la </w:t>
      </w:r>
      <w:r w:rsidR="001D12A7" w:rsidRPr="003D2A51">
        <w:rPr>
          <w:rFonts w:ascii="Book Antiqua" w:hAnsi="Book Antiqua"/>
          <w:spacing w:val="-3"/>
          <w:lang w:val="es-ES"/>
        </w:rPr>
        <w:t>Comisión de lo Jurídico del Senado de Puerto Rico</w:t>
      </w:r>
      <w:r w:rsidR="001D12A7" w:rsidRPr="003D2A51">
        <w:rPr>
          <w:rFonts w:ascii="Book Antiqua" w:hAnsi="Book Antiqua"/>
          <w:lang w:val="es-ES"/>
        </w:rPr>
        <w:t xml:space="preserve"> </w:t>
      </w:r>
      <w:r w:rsidR="00006DDC" w:rsidRPr="003D2A51">
        <w:rPr>
          <w:rFonts w:ascii="Book Antiqua" w:hAnsi="Book Antiqua"/>
          <w:lang w:val="es-ES"/>
        </w:rPr>
        <w:t xml:space="preserve">tiene a bien presentar ante este Alto Cuerpo el Informe Positivo sobre el </w:t>
      </w:r>
      <w:r w:rsidR="006C59C9">
        <w:rPr>
          <w:rFonts w:ascii="Book Antiqua" w:hAnsi="Book Antiqua"/>
          <w:b/>
          <w:bCs/>
          <w:lang w:val="es-ES"/>
        </w:rPr>
        <w:t>Proyecto del Senado 530</w:t>
      </w:r>
      <w:r w:rsidR="00006DDC" w:rsidRPr="003D2A51">
        <w:rPr>
          <w:rFonts w:ascii="Book Antiqua" w:hAnsi="Book Antiqua"/>
          <w:lang w:val="es-ES"/>
        </w:rPr>
        <w:t xml:space="preserve"> recomendando su aprobación </w:t>
      </w:r>
      <w:r w:rsidR="00006DDC" w:rsidRPr="006C59C9">
        <w:rPr>
          <w:rFonts w:ascii="Book Antiqua" w:hAnsi="Book Antiqua"/>
          <w:lang w:val="es-ES"/>
        </w:rPr>
        <w:t>con las enmiendas contenidas en el entirillado electrónico que se acompaña</w:t>
      </w:r>
      <w:r w:rsidR="006C59C9" w:rsidRPr="006C59C9">
        <w:rPr>
          <w:rFonts w:ascii="Book Antiqua" w:hAnsi="Book Antiqua"/>
          <w:lang w:val="es-ES"/>
        </w:rPr>
        <w:t>.</w:t>
      </w:r>
    </w:p>
    <w:p w14:paraId="02F3C812" w14:textId="77777777" w:rsidR="006861CE" w:rsidRPr="003D2A51" w:rsidRDefault="006861CE" w:rsidP="00337BB7">
      <w:pPr>
        <w:tabs>
          <w:tab w:val="left" w:pos="-720"/>
        </w:tabs>
        <w:suppressAutoHyphens/>
        <w:spacing w:line="360" w:lineRule="auto"/>
        <w:rPr>
          <w:rFonts w:ascii="Book Antiqua" w:hAnsi="Book Antiqua"/>
          <w:lang w:val="es-ES"/>
        </w:rPr>
      </w:pPr>
    </w:p>
    <w:p w14:paraId="10325F5D" w14:textId="2225106C" w:rsidR="00006DDC" w:rsidRPr="003D2A51" w:rsidRDefault="002C402D" w:rsidP="00337BB7">
      <w:pPr>
        <w:tabs>
          <w:tab w:val="left" w:pos="-720"/>
        </w:tabs>
        <w:suppressAutoHyphens/>
        <w:spacing w:line="360" w:lineRule="auto"/>
        <w:rPr>
          <w:rFonts w:ascii="Book Antiqua" w:hAnsi="Book Antiqua"/>
          <w:lang w:val="es-ES"/>
        </w:rPr>
      </w:pPr>
      <w:r w:rsidRPr="003D2A51">
        <w:rPr>
          <w:rFonts w:ascii="Book Antiqua" w:hAnsi="Book Antiqua"/>
          <w:lang w:val="es-ES"/>
        </w:rPr>
        <w:t xml:space="preserve">Respetuosamente sometido, </w:t>
      </w:r>
    </w:p>
    <w:p w14:paraId="2444C5B2" w14:textId="77777777" w:rsidR="00552B8A" w:rsidRPr="003D2A5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3D2A51" w:rsidRDefault="00242E80" w:rsidP="00EE4536">
      <w:pPr>
        <w:tabs>
          <w:tab w:val="left" w:pos="-720"/>
        </w:tabs>
        <w:suppressAutoHyphens/>
        <w:rPr>
          <w:rFonts w:ascii="Book Antiqua" w:hAnsi="Book Antiqua"/>
          <w:b/>
          <w:bCs/>
          <w:lang w:val="es-ES"/>
        </w:rPr>
      </w:pPr>
    </w:p>
    <w:p w14:paraId="6AE93B69" w14:textId="6641F2FE" w:rsidR="00AB2E69" w:rsidRPr="003D2A51" w:rsidRDefault="00D8699D" w:rsidP="00EE4536">
      <w:pPr>
        <w:tabs>
          <w:tab w:val="left" w:pos="-720"/>
        </w:tabs>
        <w:suppressAutoHyphens/>
        <w:rPr>
          <w:rFonts w:ascii="Book Antiqua" w:hAnsi="Book Antiqua"/>
          <w:b/>
          <w:bCs/>
          <w:lang w:val="es-ES"/>
        </w:rPr>
      </w:pPr>
      <w:proofErr w:type="spellStart"/>
      <w:r w:rsidRPr="003D2A51">
        <w:rPr>
          <w:rFonts w:ascii="Book Antiqua" w:hAnsi="Book Antiqua"/>
          <w:b/>
          <w:bCs/>
          <w:lang w:val="es-ES"/>
        </w:rPr>
        <w:t>Hon</w:t>
      </w:r>
      <w:proofErr w:type="spellEnd"/>
      <w:r w:rsidRPr="003D2A51">
        <w:rPr>
          <w:rFonts w:ascii="Book Antiqua" w:hAnsi="Book Antiqua"/>
          <w:b/>
          <w:bCs/>
          <w:lang w:val="es-ES"/>
        </w:rPr>
        <w:t xml:space="preserve">. </w:t>
      </w:r>
      <w:r w:rsidR="001D12A7" w:rsidRPr="003D2A51">
        <w:rPr>
          <w:rFonts w:ascii="Book Antiqua" w:hAnsi="Book Antiqua"/>
          <w:b/>
          <w:bCs/>
          <w:lang w:val="es-ES"/>
        </w:rPr>
        <w:t>Ángel A. Toledo López</w:t>
      </w:r>
    </w:p>
    <w:p w14:paraId="1665555A" w14:textId="77777777" w:rsidR="004F6E72" w:rsidRPr="003D2A51" w:rsidRDefault="00AB2E69" w:rsidP="00EE4536">
      <w:pPr>
        <w:tabs>
          <w:tab w:val="left" w:pos="-720"/>
        </w:tabs>
        <w:suppressAutoHyphens/>
        <w:rPr>
          <w:rFonts w:ascii="Book Antiqua" w:hAnsi="Book Antiqua"/>
          <w:lang w:val="es-ES"/>
        </w:rPr>
      </w:pPr>
      <w:r w:rsidRPr="003D2A51">
        <w:rPr>
          <w:rFonts w:ascii="Book Antiqua" w:hAnsi="Book Antiqua"/>
          <w:lang w:val="es-ES"/>
        </w:rPr>
        <w:t>Presidente</w:t>
      </w:r>
    </w:p>
    <w:p w14:paraId="3FF3D27A" w14:textId="77777777" w:rsidR="001D12A7" w:rsidRPr="003D2A51" w:rsidRDefault="001D12A7" w:rsidP="001D12A7">
      <w:pPr>
        <w:tabs>
          <w:tab w:val="left" w:pos="-720"/>
        </w:tabs>
        <w:suppressAutoHyphens/>
        <w:rPr>
          <w:rFonts w:ascii="Book Antiqua" w:hAnsi="Book Antiqua"/>
          <w:spacing w:val="-3"/>
          <w:lang w:val="es-ES"/>
        </w:rPr>
      </w:pPr>
      <w:r w:rsidRPr="003D2A51">
        <w:rPr>
          <w:rFonts w:ascii="Book Antiqua" w:hAnsi="Book Antiqua"/>
          <w:spacing w:val="-3"/>
          <w:lang w:val="es-ES"/>
        </w:rPr>
        <w:t xml:space="preserve">Comisión de lo Jurídico </w:t>
      </w:r>
    </w:p>
    <w:p w14:paraId="13BD9EC9" w14:textId="2FD02E47" w:rsidR="000B3411" w:rsidRPr="006C59C9" w:rsidRDefault="001D12A7" w:rsidP="006C59C9">
      <w:pPr>
        <w:tabs>
          <w:tab w:val="left" w:pos="-720"/>
        </w:tabs>
        <w:suppressAutoHyphens/>
        <w:rPr>
          <w:rFonts w:ascii="Book Antiqua" w:hAnsi="Book Antiqua"/>
          <w:spacing w:val="-3"/>
          <w:lang w:val="es-ES"/>
        </w:rPr>
      </w:pPr>
      <w:r w:rsidRPr="003D2A51">
        <w:rPr>
          <w:rFonts w:ascii="Book Antiqua" w:hAnsi="Book Antiqua"/>
          <w:spacing w:val="-3"/>
          <w:lang w:val="es-ES"/>
        </w:rPr>
        <w:t>Senado de Puerto Rico</w:t>
      </w:r>
    </w:p>
    <w:sectPr w:rsidR="000B3411" w:rsidRPr="006C59C9"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E9096" w14:textId="77777777" w:rsidR="00CD5E40" w:rsidRDefault="00CD5E40">
      <w:r>
        <w:separator/>
      </w:r>
    </w:p>
  </w:endnote>
  <w:endnote w:type="continuationSeparator" w:id="0">
    <w:p w14:paraId="6887CD99" w14:textId="77777777" w:rsidR="00CD5E40" w:rsidRDefault="00CD5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82EFA" w14:textId="77777777" w:rsidR="00CD5E40" w:rsidRDefault="00CD5E40">
      <w:r>
        <w:separator/>
      </w:r>
    </w:p>
  </w:footnote>
  <w:footnote w:type="continuationSeparator" w:id="0">
    <w:p w14:paraId="0F29B470" w14:textId="77777777" w:rsidR="00CD5E40" w:rsidRDefault="00CD5E40">
      <w:r>
        <w:continuationSeparator/>
      </w:r>
    </w:p>
  </w:footnote>
  <w:footnote w:id="1">
    <w:p w14:paraId="148CAD0F" w14:textId="230220B9" w:rsidR="00706127" w:rsidRPr="009B51E4" w:rsidRDefault="00706127">
      <w:pPr>
        <w:pStyle w:val="FootnoteText"/>
        <w:rPr>
          <w:rFonts w:ascii="Book Antiqua" w:hAnsi="Book Antiqua"/>
        </w:rPr>
      </w:pPr>
      <w:r w:rsidRPr="009B51E4">
        <w:rPr>
          <w:rStyle w:val="FootnoteReference"/>
          <w:rFonts w:ascii="Book Antiqua" w:hAnsi="Book Antiqua"/>
        </w:rPr>
        <w:footnoteRef/>
      </w:r>
      <w:r w:rsidRPr="009B51E4">
        <w:rPr>
          <w:rFonts w:ascii="Book Antiqua" w:hAnsi="Book Antiqua"/>
        </w:rPr>
        <w:t xml:space="preserve"> </w:t>
      </w:r>
      <w:proofErr w:type="spellStart"/>
      <w:r w:rsidRPr="009B51E4">
        <w:rPr>
          <w:rFonts w:ascii="Book Antiqua" w:hAnsi="Book Antiqua"/>
        </w:rPr>
        <w:t>Véase</w:t>
      </w:r>
      <w:proofErr w:type="spellEnd"/>
      <w:r w:rsidRPr="009B51E4">
        <w:rPr>
          <w:rFonts w:ascii="Book Antiqua" w:hAnsi="Book Antiqua"/>
        </w:rPr>
        <w:t xml:space="preserve"> Stanford Law School, </w:t>
      </w:r>
      <w:r w:rsidR="00A66F3C" w:rsidRPr="009B51E4">
        <w:rPr>
          <w:rFonts w:ascii="Book Antiqua" w:hAnsi="Book Antiqua"/>
          <w:i/>
          <w:iCs/>
        </w:rPr>
        <w:t>Three Strikes Basics</w:t>
      </w:r>
      <w:r w:rsidR="00A66F3C" w:rsidRPr="009B51E4">
        <w:rPr>
          <w:rFonts w:ascii="Book Antiqua" w:hAnsi="Book Antiqua"/>
        </w:rPr>
        <w:t xml:space="preserve">, </w:t>
      </w:r>
      <w:hyperlink r:id="rId1" w:history="1">
        <w:r w:rsidR="001E1276" w:rsidRPr="009B51E4">
          <w:rPr>
            <w:rStyle w:val="Hyperlink"/>
            <w:rFonts w:ascii="Book Antiqua" w:hAnsi="Book Antiqua"/>
          </w:rPr>
          <w:t>https://law.stanford.edu/three-strikes-project/three-strikes-basics/</w:t>
        </w:r>
      </w:hyperlink>
      <w:r w:rsidR="001E1276" w:rsidRPr="009B51E4">
        <w:rPr>
          <w:rFonts w:ascii="Book Antiqua" w:hAnsi="Book Antiqua"/>
        </w:rPr>
        <w:t xml:space="preserve">?. </w:t>
      </w:r>
    </w:p>
  </w:footnote>
  <w:footnote w:id="2">
    <w:p w14:paraId="0A30E872" w14:textId="10B33D9B" w:rsidR="007C70D8" w:rsidRPr="009B51E4" w:rsidRDefault="007C70D8" w:rsidP="00E37C6F">
      <w:pPr>
        <w:pStyle w:val="FootnoteText"/>
        <w:jc w:val="both"/>
        <w:rPr>
          <w:rFonts w:ascii="Book Antiqua" w:hAnsi="Book Antiqua"/>
        </w:rPr>
      </w:pPr>
      <w:r w:rsidRPr="009B51E4">
        <w:rPr>
          <w:rStyle w:val="FootnoteReference"/>
          <w:rFonts w:ascii="Book Antiqua" w:hAnsi="Book Antiqua"/>
        </w:rPr>
        <w:footnoteRef/>
      </w:r>
      <w:r w:rsidRPr="009B51E4">
        <w:rPr>
          <w:rFonts w:ascii="Book Antiqua" w:hAnsi="Book Antiqua"/>
        </w:rPr>
        <w:t xml:space="preserve"> </w:t>
      </w:r>
      <w:proofErr w:type="spellStart"/>
      <w:r w:rsidRPr="009B51E4">
        <w:rPr>
          <w:rFonts w:ascii="Book Antiqua" w:hAnsi="Book Antiqua"/>
          <w:i/>
          <w:iCs/>
        </w:rPr>
        <w:t>Véase</w:t>
      </w:r>
      <w:proofErr w:type="spellEnd"/>
      <w:r w:rsidRPr="009B51E4">
        <w:rPr>
          <w:rFonts w:ascii="Book Antiqua" w:hAnsi="Book Antiqua"/>
        </w:rPr>
        <w:t xml:space="preserve"> </w:t>
      </w:r>
      <w:r w:rsidR="00E37C6F" w:rsidRPr="009B51E4">
        <w:rPr>
          <w:rFonts w:ascii="Book Antiqua" w:hAnsi="Book Antiqua"/>
        </w:rPr>
        <w:t xml:space="preserve">Sara Sun Beale, </w:t>
      </w:r>
      <w:r w:rsidR="00E37C6F" w:rsidRPr="009B51E4">
        <w:rPr>
          <w:rFonts w:ascii="Book Antiqua" w:hAnsi="Book Antiqua"/>
          <w:i/>
          <w:iCs/>
        </w:rPr>
        <w:t>The Story of Ewing: Three Strikes Laws and the Limits of the Eighth Amendment Proportionality Review</w:t>
      </w:r>
      <w:r w:rsidR="00E37C6F" w:rsidRPr="009B51E4">
        <w:rPr>
          <w:rFonts w:ascii="Book Antiqua" w:hAnsi="Book Antiqua"/>
        </w:rPr>
        <w:t xml:space="preserve">, </w:t>
      </w:r>
      <w:proofErr w:type="spellStart"/>
      <w:r w:rsidR="001E1276" w:rsidRPr="009B51E4">
        <w:rPr>
          <w:rFonts w:ascii="Book Antiqua" w:hAnsi="Book Antiqua"/>
        </w:rPr>
        <w:t>en</w:t>
      </w:r>
      <w:proofErr w:type="spellEnd"/>
      <w:r w:rsidR="00E37C6F" w:rsidRPr="009B51E4">
        <w:rPr>
          <w:rFonts w:ascii="Book Antiqua" w:hAnsi="Book Antiqua"/>
        </w:rPr>
        <w:t xml:space="preserve"> Criminal Law Stories (Donna Coker &amp; Robert Weisberg eds., Foundation Press, 2013)</w:t>
      </w:r>
    </w:p>
  </w:footnote>
  <w:footnote w:id="3">
    <w:p w14:paraId="19C92967" w14:textId="6410A197" w:rsidR="00BB022F" w:rsidRPr="009B51E4" w:rsidRDefault="00BB022F">
      <w:pPr>
        <w:pStyle w:val="FootnoteText"/>
        <w:rPr>
          <w:rFonts w:ascii="Book Antiqua" w:hAnsi="Book Antiqua"/>
        </w:rPr>
      </w:pPr>
      <w:r w:rsidRPr="009B51E4">
        <w:rPr>
          <w:rStyle w:val="FootnoteReference"/>
          <w:rFonts w:ascii="Book Antiqua" w:hAnsi="Book Antiqua"/>
        </w:rPr>
        <w:footnoteRef/>
      </w:r>
      <w:r w:rsidRPr="009B51E4">
        <w:rPr>
          <w:rFonts w:ascii="Book Antiqua" w:hAnsi="Book Antiqua"/>
        </w:rPr>
        <w:t xml:space="preserve"> Id. </w:t>
      </w:r>
    </w:p>
  </w:footnote>
  <w:footnote w:id="4">
    <w:p w14:paraId="0FECC088" w14:textId="1FC23812" w:rsidR="00331DEA" w:rsidRPr="009B51E4" w:rsidRDefault="00331DEA">
      <w:pPr>
        <w:pStyle w:val="FootnoteText"/>
        <w:rPr>
          <w:rFonts w:ascii="Book Antiqua" w:hAnsi="Book Antiqua"/>
        </w:rPr>
      </w:pPr>
      <w:r w:rsidRPr="009B51E4">
        <w:rPr>
          <w:rStyle w:val="FootnoteReference"/>
          <w:rFonts w:ascii="Book Antiqua" w:hAnsi="Book Antiqua"/>
        </w:rPr>
        <w:footnoteRef/>
      </w:r>
      <w:r w:rsidRPr="009B51E4">
        <w:rPr>
          <w:rFonts w:ascii="Book Antiqua" w:hAnsi="Book Antiqua"/>
        </w:rPr>
        <w:t xml:space="preserve"> Rummel v. Estelle, 445 U.S. 263 (1980).</w:t>
      </w:r>
    </w:p>
  </w:footnote>
  <w:footnote w:id="5">
    <w:p w14:paraId="05C4C7B2" w14:textId="2F2CAD4E" w:rsidR="00473AB3" w:rsidRPr="009B51E4" w:rsidRDefault="00473AB3" w:rsidP="001F1D99">
      <w:pPr>
        <w:pStyle w:val="FootnoteText"/>
        <w:jc w:val="both"/>
        <w:rPr>
          <w:rFonts w:ascii="Book Antiqua" w:hAnsi="Book Antiqua"/>
          <w:lang w:val="es-ES"/>
        </w:rPr>
      </w:pPr>
      <w:r w:rsidRPr="009B51E4">
        <w:rPr>
          <w:rStyle w:val="FootnoteReference"/>
          <w:rFonts w:ascii="Book Antiqua" w:hAnsi="Book Antiqua"/>
        </w:rPr>
        <w:footnoteRef/>
      </w:r>
      <w:r w:rsidRPr="009B51E4">
        <w:rPr>
          <w:rFonts w:ascii="Book Antiqua" w:hAnsi="Book Antiqua"/>
        </w:rPr>
        <w:t xml:space="preserve"> Los </w:t>
      </w:r>
      <w:proofErr w:type="spellStart"/>
      <w:r w:rsidRPr="009B51E4">
        <w:rPr>
          <w:rFonts w:ascii="Book Antiqua" w:hAnsi="Book Antiqua"/>
        </w:rPr>
        <w:t>estados</w:t>
      </w:r>
      <w:proofErr w:type="spellEnd"/>
      <w:r w:rsidRPr="009B51E4">
        <w:rPr>
          <w:rFonts w:ascii="Book Antiqua" w:hAnsi="Book Antiqua"/>
        </w:rPr>
        <w:t xml:space="preserve"> que </w:t>
      </w:r>
      <w:proofErr w:type="spellStart"/>
      <w:r w:rsidRPr="009B51E4">
        <w:rPr>
          <w:rFonts w:ascii="Book Antiqua" w:hAnsi="Book Antiqua"/>
        </w:rPr>
        <w:t>han</w:t>
      </w:r>
      <w:proofErr w:type="spellEnd"/>
      <w:r w:rsidRPr="009B51E4">
        <w:rPr>
          <w:rFonts w:ascii="Book Antiqua" w:hAnsi="Book Antiqua"/>
        </w:rPr>
        <w:t xml:space="preserve"> </w:t>
      </w:r>
      <w:proofErr w:type="spellStart"/>
      <w:r w:rsidRPr="009B51E4">
        <w:rPr>
          <w:rFonts w:ascii="Book Antiqua" w:hAnsi="Book Antiqua"/>
        </w:rPr>
        <w:t>promulgado</w:t>
      </w:r>
      <w:proofErr w:type="spellEnd"/>
      <w:r w:rsidRPr="009B51E4">
        <w:rPr>
          <w:rFonts w:ascii="Book Antiqua" w:hAnsi="Book Antiqua"/>
        </w:rPr>
        <w:t xml:space="preserve"> </w:t>
      </w:r>
      <w:proofErr w:type="spellStart"/>
      <w:r w:rsidRPr="009B51E4">
        <w:rPr>
          <w:rFonts w:ascii="Book Antiqua" w:hAnsi="Book Antiqua"/>
        </w:rPr>
        <w:t>leyes</w:t>
      </w:r>
      <w:proofErr w:type="spellEnd"/>
      <w:r w:rsidRPr="009B51E4">
        <w:rPr>
          <w:rFonts w:ascii="Book Antiqua" w:hAnsi="Book Antiqua"/>
        </w:rPr>
        <w:t xml:space="preserve"> de </w:t>
      </w:r>
      <w:r w:rsidRPr="009B51E4">
        <w:rPr>
          <w:rFonts w:ascii="Book Antiqua" w:hAnsi="Book Antiqua"/>
          <w:i/>
          <w:iCs/>
        </w:rPr>
        <w:t>Three Strikes</w:t>
      </w:r>
      <w:r w:rsidRPr="009B51E4">
        <w:rPr>
          <w:rFonts w:ascii="Book Antiqua" w:hAnsi="Book Antiqua"/>
        </w:rPr>
        <w:t xml:space="preserve"> (o </w:t>
      </w:r>
      <w:proofErr w:type="spellStart"/>
      <w:r w:rsidRPr="009B51E4">
        <w:rPr>
          <w:rFonts w:ascii="Book Antiqua" w:hAnsi="Book Antiqua"/>
        </w:rPr>
        <w:t>variantes</w:t>
      </w:r>
      <w:proofErr w:type="spellEnd"/>
      <w:r w:rsidRPr="009B51E4">
        <w:rPr>
          <w:rFonts w:ascii="Book Antiqua" w:hAnsi="Book Antiqua"/>
        </w:rPr>
        <w:t xml:space="preserve"> </w:t>
      </w:r>
      <w:proofErr w:type="spellStart"/>
      <w:r w:rsidRPr="009B51E4">
        <w:rPr>
          <w:rFonts w:ascii="Book Antiqua" w:hAnsi="Book Antiqua"/>
        </w:rPr>
        <w:t>muy</w:t>
      </w:r>
      <w:proofErr w:type="spellEnd"/>
      <w:r w:rsidRPr="009B51E4">
        <w:rPr>
          <w:rFonts w:ascii="Book Antiqua" w:hAnsi="Book Antiqua"/>
        </w:rPr>
        <w:t xml:space="preserve"> </w:t>
      </w:r>
      <w:proofErr w:type="spellStart"/>
      <w:r w:rsidRPr="009B51E4">
        <w:rPr>
          <w:rFonts w:ascii="Book Antiqua" w:hAnsi="Book Antiqua"/>
        </w:rPr>
        <w:t>similares</w:t>
      </w:r>
      <w:proofErr w:type="spellEnd"/>
      <w:r w:rsidRPr="009B51E4">
        <w:rPr>
          <w:rFonts w:ascii="Book Antiqua" w:hAnsi="Book Antiqua"/>
        </w:rPr>
        <w:t xml:space="preserve">) son </w:t>
      </w:r>
      <w:proofErr w:type="spellStart"/>
      <w:r w:rsidRPr="009B51E4">
        <w:rPr>
          <w:rFonts w:ascii="Book Antiqua" w:hAnsi="Book Antiqua"/>
        </w:rPr>
        <w:t>los</w:t>
      </w:r>
      <w:proofErr w:type="spellEnd"/>
      <w:r w:rsidRPr="009B51E4">
        <w:rPr>
          <w:rFonts w:ascii="Book Antiqua" w:hAnsi="Book Antiqua"/>
        </w:rPr>
        <w:t xml:space="preserve"> </w:t>
      </w:r>
      <w:proofErr w:type="spellStart"/>
      <w:r w:rsidRPr="009B51E4">
        <w:rPr>
          <w:rFonts w:ascii="Book Antiqua" w:hAnsi="Book Antiqua"/>
        </w:rPr>
        <w:t>siguientes</w:t>
      </w:r>
      <w:proofErr w:type="spellEnd"/>
      <w:r w:rsidRPr="009B51E4">
        <w:rPr>
          <w:rFonts w:ascii="Book Antiqua" w:hAnsi="Book Antiqua"/>
        </w:rPr>
        <w:t>:</w:t>
      </w:r>
      <w:r w:rsidR="00423388" w:rsidRPr="009B51E4">
        <w:rPr>
          <w:rFonts w:ascii="Book Antiqua" w:hAnsi="Book Antiqua"/>
        </w:rPr>
        <w:t xml:space="preserve"> </w:t>
      </w:r>
      <w:r w:rsidR="00950114" w:rsidRPr="009B51E4">
        <w:rPr>
          <w:rFonts w:ascii="Book Antiqua" w:hAnsi="Book Antiqua"/>
        </w:rPr>
        <w:t xml:space="preserve">New York, North Carolina, Maryland, Alabama, Delaware, Texas, Washington, California, Colorado, Connecticut, Indiana, Kansas, New Mexico, Virginia, Louisiana, Wisconsin, Tennessee, Arkansas, Florida, Montana, Nevada, New Jersey, North Dakota, Pennsylvania, Utah, Georgia, Vermont, South Carolina, Arizona, Massachusetts y Michigan. </w:t>
      </w:r>
      <w:r w:rsidR="00950114" w:rsidRPr="009B51E4">
        <w:rPr>
          <w:rFonts w:ascii="Book Antiqua" w:hAnsi="Book Antiqua"/>
          <w:lang w:val="es-ES"/>
        </w:rPr>
        <w:t xml:space="preserve">En total, suman 31 estados con esquemas de sanciones para reincidentes, aunque en la mayoría de los estudios se menciona que alrededor de 28 de estas jurisdicciones aplican específicamente la modalidad de </w:t>
      </w:r>
      <w:proofErr w:type="spellStart"/>
      <w:r w:rsidR="00950114" w:rsidRPr="009B51E4">
        <w:rPr>
          <w:rFonts w:ascii="Book Antiqua" w:hAnsi="Book Antiqua"/>
          <w:i/>
          <w:iCs/>
          <w:lang w:val="es-ES"/>
        </w:rPr>
        <w:t>three</w:t>
      </w:r>
      <w:proofErr w:type="spellEnd"/>
      <w:r w:rsidR="00950114" w:rsidRPr="009B51E4">
        <w:rPr>
          <w:rFonts w:ascii="Book Antiqua" w:hAnsi="Book Antiqua"/>
          <w:i/>
          <w:iCs/>
          <w:lang w:val="es-ES"/>
        </w:rPr>
        <w:t xml:space="preserve"> strikes</w:t>
      </w:r>
      <w:r w:rsidR="00950114" w:rsidRPr="009B51E4">
        <w:rPr>
          <w:rFonts w:ascii="Book Antiqua" w:hAnsi="Book Antiqua"/>
          <w:lang w:val="es-ES"/>
        </w:rPr>
        <w:t xml:space="preserve">, ya que algunos estados —como Georgia, South Carolina, Montana, Tennessee y Florida— </w:t>
      </w:r>
      <w:r w:rsidR="001F1D99" w:rsidRPr="009B51E4">
        <w:rPr>
          <w:rFonts w:ascii="Book Antiqua" w:hAnsi="Book Antiqua"/>
          <w:lang w:val="es-ES"/>
        </w:rPr>
        <w:t>tienen</w:t>
      </w:r>
      <w:r w:rsidR="00950114" w:rsidRPr="009B51E4">
        <w:rPr>
          <w:rFonts w:ascii="Book Antiqua" w:hAnsi="Book Antiqua"/>
          <w:lang w:val="es-ES"/>
        </w:rPr>
        <w:t xml:space="preserve"> leyes aún más estrictas de “</w:t>
      </w:r>
      <w:proofErr w:type="spellStart"/>
      <w:r w:rsidR="00950114" w:rsidRPr="009B51E4">
        <w:rPr>
          <w:rFonts w:ascii="Book Antiqua" w:hAnsi="Book Antiqua"/>
          <w:lang w:val="es-ES"/>
        </w:rPr>
        <w:t>two</w:t>
      </w:r>
      <w:proofErr w:type="spellEnd"/>
      <w:r w:rsidR="00950114" w:rsidRPr="009B51E4">
        <w:rPr>
          <w:rFonts w:ascii="Book Antiqua" w:hAnsi="Book Antiqua"/>
          <w:lang w:val="es-ES"/>
        </w:rPr>
        <w:t xml:space="preserve"> strikes” que imponen cadena perpetua sin derecho a libertad condicional tras dos condenas por los delitos más graves.</w:t>
      </w:r>
    </w:p>
  </w:footnote>
  <w:footnote w:id="6">
    <w:p w14:paraId="6A95CCED" w14:textId="3FBAD9B4" w:rsidR="004575A9" w:rsidRPr="009B51E4" w:rsidRDefault="004575A9">
      <w:pPr>
        <w:pStyle w:val="FootnoteText"/>
        <w:rPr>
          <w:rFonts w:ascii="Book Antiqua" w:hAnsi="Book Antiqua"/>
        </w:rPr>
      </w:pPr>
      <w:r w:rsidRPr="009B51E4">
        <w:rPr>
          <w:rStyle w:val="FootnoteReference"/>
          <w:rFonts w:ascii="Book Antiqua" w:hAnsi="Book Antiqua"/>
        </w:rPr>
        <w:footnoteRef/>
      </w:r>
      <w:r w:rsidRPr="009B51E4">
        <w:rPr>
          <w:rFonts w:ascii="Book Antiqua" w:hAnsi="Book Antiqua"/>
        </w:rPr>
        <w:t xml:space="preserve"> </w:t>
      </w:r>
      <w:proofErr w:type="spellStart"/>
      <w:r w:rsidR="00823EC4" w:rsidRPr="009B51E4">
        <w:rPr>
          <w:rFonts w:ascii="Book Antiqua" w:hAnsi="Book Antiqua"/>
          <w:i/>
          <w:iCs/>
        </w:rPr>
        <w:t>Véase</w:t>
      </w:r>
      <w:proofErr w:type="spellEnd"/>
      <w:r w:rsidR="00823EC4" w:rsidRPr="009B51E4">
        <w:rPr>
          <w:rFonts w:ascii="Book Antiqua" w:hAnsi="Book Antiqua"/>
        </w:rPr>
        <w:t xml:space="preserve"> 18 U.S.C. § 3559 - Sentencing classification of offenses.</w:t>
      </w:r>
    </w:p>
  </w:footnote>
  <w:footnote w:id="7">
    <w:p w14:paraId="36E44443" w14:textId="187915EE" w:rsidR="002E3551" w:rsidRPr="009B51E4" w:rsidRDefault="002E3551">
      <w:pPr>
        <w:pStyle w:val="FootnoteText"/>
        <w:rPr>
          <w:rFonts w:ascii="Book Antiqua" w:hAnsi="Book Antiqua"/>
        </w:rPr>
      </w:pPr>
      <w:r w:rsidRPr="009B51E4">
        <w:rPr>
          <w:rStyle w:val="FootnoteReference"/>
          <w:rFonts w:ascii="Book Antiqua" w:hAnsi="Book Antiqua"/>
        </w:rPr>
        <w:footnoteRef/>
      </w:r>
      <w:r w:rsidRPr="009B51E4">
        <w:rPr>
          <w:rFonts w:ascii="Book Antiqua" w:hAnsi="Book Antiqua"/>
        </w:rPr>
        <w:t xml:space="preserve"> Rummel v. Estelle, 445 U.S. 263,</w:t>
      </w:r>
      <w:r w:rsidR="00C5295F" w:rsidRPr="009B51E4">
        <w:rPr>
          <w:rFonts w:ascii="Book Antiqua" w:hAnsi="Book Antiqua"/>
        </w:rPr>
        <w:t xml:space="preserve"> 284</w:t>
      </w:r>
      <w:r w:rsidRPr="009B51E4">
        <w:rPr>
          <w:rFonts w:ascii="Book Antiqua" w:hAnsi="Book Antiqua"/>
        </w:rPr>
        <w:t xml:space="preserve"> (1980)</w:t>
      </w:r>
    </w:p>
  </w:footnote>
  <w:footnote w:id="8">
    <w:p w14:paraId="422CAA96" w14:textId="5A8E1B13" w:rsidR="006418B0" w:rsidRPr="009B51E4" w:rsidRDefault="006418B0">
      <w:pPr>
        <w:pStyle w:val="FootnoteText"/>
        <w:rPr>
          <w:rFonts w:ascii="Book Antiqua" w:hAnsi="Book Antiqua"/>
          <w:lang w:val="es-ES"/>
        </w:rPr>
      </w:pPr>
      <w:r w:rsidRPr="009B51E4">
        <w:rPr>
          <w:rStyle w:val="FootnoteReference"/>
          <w:rFonts w:ascii="Book Antiqua" w:hAnsi="Book Antiqua"/>
        </w:rPr>
        <w:footnoteRef/>
      </w:r>
      <w:r w:rsidRPr="009B51E4">
        <w:rPr>
          <w:rFonts w:ascii="Book Antiqua" w:hAnsi="Book Antiqua"/>
          <w:lang w:val="es-ES"/>
        </w:rPr>
        <w:t xml:space="preserve"> Id. </w:t>
      </w:r>
      <w:r w:rsidR="00EC734A" w:rsidRPr="009B51E4">
        <w:rPr>
          <w:rFonts w:ascii="Book Antiqua" w:hAnsi="Book Antiqua"/>
          <w:lang w:val="es-ES"/>
        </w:rPr>
        <w:t>en</w:t>
      </w:r>
      <w:r w:rsidRPr="009B51E4">
        <w:rPr>
          <w:rFonts w:ascii="Book Antiqua" w:hAnsi="Book Antiqua"/>
          <w:lang w:val="es-ES"/>
        </w:rPr>
        <w:t xml:space="preserve"> la pág. </w:t>
      </w:r>
      <w:r w:rsidR="00EC734A" w:rsidRPr="009B51E4">
        <w:rPr>
          <w:rFonts w:ascii="Book Antiqua" w:hAnsi="Book Antiqua"/>
          <w:lang w:val="es-ES"/>
        </w:rPr>
        <w:t>285.</w:t>
      </w:r>
    </w:p>
  </w:footnote>
  <w:footnote w:id="9">
    <w:p w14:paraId="514875EE" w14:textId="71328EDF" w:rsidR="005C7E5B" w:rsidRPr="009B51E4" w:rsidRDefault="005C7E5B">
      <w:pPr>
        <w:pStyle w:val="FootnoteText"/>
        <w:rPr>
          <w:rFonts w:ascii="Book Antiqua" w:hAnsi="Book Antiqua"/>
          <w:lang w:val="es-ES"/>
        </w:rPr>
      </w:pPr>
      <w:r w:rsidRPr="009B51E4">
        <w:rPr>
          <w:rStyle w:val="FootnoteReference"/>
          <w:rFonts w:ascii="Book Antiqua" w:hAnsi="Book Antiqua"/>
        </w:rPr>
        <w:footnoteRef/>
      </w:r>
      <w:r w:rsidRPr="009B51E4">
        <w:rPr>
          <w:rFonts w:ascii="Book Antiqua" w:hAnsi="Book Antiqua"/>
          <w:lang w:val="es-ES"/>
        </w:rPr>
        <w:t xml:space="preserve"> Ewing v. California, 538 U.S. 11, 28 (2003) (traducción suplida).</w:t>
      </w:r>
    </w:p>
  </w:footnote>
  <w:footnote w:id="10">
    <w:p w14:paraId="2003EB84" w14:textId="45A21697" w:rsidR="005C7DEC" w:rsidRPr="009B51E4" w:rsidRDefault="005C7DEC">
      <w:pPr>
        <w:pStyle w:val="FootnoteText"/>
        <w:rPr>
          <w:rFonts w:ascii="Book Antiqua" w:hAnsi="Book Antiqua"/>
        </w:rPr>
      </w:pPr>
      <w:r w:rsidRPr="009B51E4">
        <w:rPr>
          <w:rStyle w:val="FootnoteReference"/>
          <w:rFonts w:ascii="Book Antiqua" w:hAnsi="Book Antiqua"/>
        </w:rPr>
        <w:footnoteRef/>
      </w:r>
      <w:r w:rsidRPr="009B51E4">
        <w:rPr>
          <w:rFonts w:ascii="Book Antiqua" w:hAnsi="Book Antiqua"/>
        </w:rPr>
        <w:t xml:space="preserve"> Id. </w:t>
      </w:r>
      <w:r w:rsidRPr="009B51E4">
        <w:rPr>
          <w:rFonts w:ascii="Book Antiqua" w:hAnsi="Book Antiqua"/>
          <w:lang w:val="es-ES"/>
        </w:rPr>
        <w:t>(traducción suplida).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02ED453"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554426">
      <w:rPr>
        <w:rFonts w:ascii="Book Antiqua" w:hAnsi="Book Antiqua"/>
        <w:i/>
        <w:iCs/>
        <w:sz w:val="20"/>
        <w:lang w:val="es-PR"/>
      </w:rPr>
      <w:t>P. del S. 530</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148B8100"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554426">
      <w:rPr>
        <w:rFonts w:ascii="Book Antiqua" w:hAnsi="Book Antiqua"/>
        <w:i/>
        <w:iCs/>
        <w:sz w:val="20"/>
        <w:lang w:val="es-PR"/>
      </w:rPr>
      <w:t>P. del S. 530</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104"/>
    <w:rsid w:val="000879BC"/>
    <w:rsid w:val="000902F9"/>
    <w:rsid w:val="00092FF5"/>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22F6"/>
    <w:rsid w:val="00186AB6"/>
    <w:rsid w:val="00187461"/>
    <w:rsid w:val="001A4A02"/>
    <w:rsid w:val="001A7434"/>
    <w:rsid w:val="001B5218"/>
    <w:rsid w:val="001B77D6"/>
    <w:rsid w:val="001C0F9B"/>
    <w:rsid w:val="001C2FA8"/>
    <w:rsid w:val="001C31BA"/>
    <w:rsid w:val="001C5DEB"/>
    <w:rsid w:val="001D12A7"/>
    <w:rsid w:val="001D3C1D"/>
    <w:rsid w:val="001D70F5"/>
    <w:rsid w:val="001D764D"/>
    <w:rsid w:val="001D79E5"/>
    <w:rsid w:val="001E1276"/>
    <w:rsid w:val="001E78B4"/>
    <w:rsid w:val="001F1D99"/>
    <w:rsid w:val="001F3F31"/>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288C"/>
    <w:rsid w:val="002663EA"/>
    <w:rsid w:val="00266EEC"/>
    <w:rsid w:val="002671BE"/>
    <w:rsid w:val="0027212A"/>
    <w:rsid w:val="0027266F"/>
    <w:rsid w:val="002779B7"/>
    <w:rsid w:val="0029628E"/>
    <w:rsid w:val="002B0B9E"/>
    <w:rsid w:val="002B62DE"/>
    <w:rsid w:val="002C18ED"/>
    <w:rsid w:val="002C402D"/>
    <w:rsid w:val="002D185B"/>
    <w:rsid w:val="002D4AC8"/>
    <w:rsid w:val="002E3551"/>
    <w:rsid w:val="002E3F48"/>
    <w:rsid w:val="002E4A52"/>
    <w:rsid w:val="002E66F9"/>
    <w:rsid w:val="002F0440"/>
    <w:rsid w:val="002F14CF"/>
    <w:rsid w:val="002F79D4"/>
    <w:rsid w:val="00301F70"/>
    <w:rsid w:val="00303FA5"/>
    <w:rsid w:val="003059D5"/>
    <w:rsid w:val="0031145E"/>
    <w:rsid w:val="00311782"/>
    <w:rsid w:val="00316786"/>
    <w:rsid w:val="0032041A"/>
    <w:rsid w:val="003239C5"/>
    <w:rsid w:val="00330372"/>
    <w:rsid w:val="00331DEA"/>
    <w:rsid w:val="00334935"/>
    <w:rsid w:val="00335E7F"/>
    <w:rsid w:val="00337BB7"/>
    <w:rsid w:val="0034055D"/>
    <w:rsid w:val="003465C8"/>
    <w:rsid w:val="00352C78"/>
    <w:rsid w:val="00355ABD"/>
    <w:rsid w:val="00381F18"/>
    <w:rsid w:val="0038390D"/>
    <w:rsid w:val="003857EC"/>
    <w:rsid w:val="00386D32"/>
    <w:rsid w:val="0039037B"/>
    <w:rsid w:val="003906D8"/>
    <w:rsid w:val="00393CA6"/>
    <w:rsid w:val="003A201A"/>
    <w:rsid w:val="003B0348"/>
    <w:rsid w:val="003C1AB0"/>
    <w:rsid w:val="003D2A51"/>
    <w:rsid w:val="003D7045"/>
    <w:rsid w:val="003E2410"/>
    <w:rsid w:val="00402413"/>
    <w:rsid w:val="004076B9"/>
    <w:rsid w:val="00407E57"/>
    <w:rsid w:val="00412A61"/>
    <w:rsid w:val="004227D1"/>
    <w:rsid w:val="00423388"/>
    <w:rsid w:val="00424144"/>
    <w:rsid w:val="004278D1"/>
    <w:rsid w:val="004408DF"/>
    <w:rsid w:val="004440CB"/>
    <w:rsid w:val="00444FD2"/>
    <w:rsid w:val="00445E69"/>
    <w:rsid w:val="004575A9"/>
    <w:rsid w:val="0046390A"/>
    <w:rsid w:val="004713D2"/>
    <w:rsid w:val="00473AB3"/>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0E15"/>
    <w:rsid w:val="005354C6"/>
    <w:rsid w:val="00540B6A"/>
    <w:rsid w:val="00540DDE"/>
    <w:rsid w:val="00541FE3"/>
    <w:rsid w:val="005478C9"/>
    <w:rsid w:val="00550023"/>
    <w:rsid w:val="00550412"/>
    <w:rsid w:val="00550E6A"/>
    <w:rsid w:val="00552B8A"/>
    <w:rsid w:val="00554426"/>
    <w:rsid w:val="00555018"/>
    <w:rsid w:val="00571789"/>
    <w:rsid w:val="00573858"/>
    <w:rsid w:val="00573B23"/>
    <w:rsid w:val="005741F6"/>
    <w:rsid w:val="00580EC6"/>
    <w:rsid w:val="005817B7"/>
    <w:rsid w:val="0058202D"/>
    <w:rsid w:val="00592B05"/>
    <w:rsid w:val="005A24EF"/>
    <w:rsid w:val="005A4787"/>
    <w:rsid w:val="005B2884"/>
    <w:rsid w:val="005C5E81"/>
    <w:rsid w:val="005C7DEC"/>
    <w:rsid w:val="005C7E5B"/>
    <w:rsid w:val="005D2E57"/>
    <w:rsid w:val="005D4AA7"/>
    <w:rsid w:val="005E150B"/>
    <w:rsid w:val="005E7E85"/>
    <w:rsid w:val="0061550A"/>
    <w:rsid w:val="00615AB1"/>
    <w:rsid w:val="00615E64"/>
    <w:rsid w:val="00622333"/>
    <w:rsid w:val="006239E8"/>
    <w:rsid w:val="006418B0"/>
    <w:rsid w:val="00641D42"/>
    <w:rsid w:val="006435C0"/>
    <w:rsid w:val="0064375F"/>
    <w:rsid w:val="00650D8E"/>
    <w:rsid w:val="0066129F"/>
    <w:rsid w:val="00662809"/>
    <w:rsid w:val="0067727F"/>
    <w:rsid w:val="006807C0"/>
    <w:rsid w:val="006861CE"/>
    <w:rsid w:val="006A24A9"/>
    <w:rsid w:val="006B3D07"/>
    <w:rsid w:val="006B6346"/>
    <w:rsid w:val="006B7E26"/>
    <w:rsid w:val="006C283C"/>
    <w:rsid w:val="006C59C9"/>
    <w:rsid w:val="006D01F6"/>
    <w:rsid w:val="006D49D8"/>
    <w:rsid w:val="006D5838"/>
    <w:rsid w:val="006D6359"/>
    <w:rsid w:val="006E25FF"/>
    <w:rsid w:val="006E5B7A"/>
    <w:rsid w:val="006F226E"/>
    <w:rsid w:val="006F51A8"/>
    <w:rsid w:val="00706127"/>
    <w:rsid w:val="00714102"/>
    <w:rsid w:val="007163D8"/>
    <w:rsid w:val="007167F5"/>
    <w:rsid w:val="00720B6F"/>
    <w:rsid w:val="007229E9"/>
    <w:rsid w:val="00725174"/>
    <w:rsid w:val="0073675F"/>
    <w:rsid w:val="007472C1"/>
    <w:rsid w:val="007535BB"/>
    <w:rsid w:val="007611FE"/>
    <w:rsid w:val="00777E1D"/>
    <w:rsid w:val="00785050"/>
    <w:rsid w:val="00791F7D"/>
    <w:rsid w:val="00793E19"/>
    <w:rsid w:val="007B4C52"/>
    <w:rsid w:val="007C04E5"/>
    <w:rsid w:val="007C156B"/>
    <w:rsid w:val="007C592E"/>
    <w:rsid w:val="007C70D8"/>
    <w:rsid w:val="007D5A59"/>
    <w:rsid w:val="007E17BE"/>
    <w:rsid w:val="007E3B6D"/>
    <w:rsid w:val="007F0829"/>
    <w:rsid w:val="007F62AB"/>
    <w:rsid w:val="00803A23"/>
    <w:rsid w:val="008061C2"/>
    <w:rsid w:val="00815BF2"/>
    <w:rsid w:val="00820C41"/>
    <w:rsid w:val="008235BE"/>
    <w:rsid w:val="00823EC4"/>
    <w:rsid w:val="00825070"/>
    <w:rsid w:val="00836018"/>
    <w:rsid w:val="00855CD6"/>
    <w:rsid w:val="0086515A"/>
    <w:rsid w:val="00865634"/>
    <w:rsid w:val="00867243"/>
    <w:rsid w:val="008A154B"/>
    <w:rsid w:val="008A40E0"/>
    <w:rsid w:val="008B7425"/>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50114"/>
    <w:rsid w:val="0096171F"/>
    <w:rsid w:val="009645CD"/>
    <w:rsid w:val="00970DEB"/>
    <w:rsid w:val="00972019"/>
    <w:rsid w:val="00981A1F"/>
    <w:rsid w:val="00984F56"/>
    <w:rsid w:val="009A08E8"/>
    <w:rsid w:val="009A4A2C"/>
    <w:rsid w:val="009A4FB3"/>
    <w:rsid w:val="009B51E4"/>
    <w:rsid w:val="009B5669"/>
    <w:rsid w:val="009B619C"/>
    <w:rsid w:val="009C455C"/>
    <w:rsid w:val="009C485F"/>
    <w:rsid w:val="009E20DD"/>
    <w:rsid w:val="009F427F"/>
    <w:rsid w:val="009F524F"/>
    <w:rsid w:val="009F68F4"/>
    <w:rsid w:val="00A049B0"/>
    <w:rsid w:val="00A05EDB"/>
    <w:rsid w:val="00A06A16"/>
    <w:rsid w:val="00A11BDC"/>
    <w:rsid w:val="00A11ED0"/>
    <w:rsid w:val="00A12823"/>
    <w:rsid w:val="00A13CBC"/>
    <w:rsid w:val="00A15144"/>
    <w:rsid w:val="00A2170F"/>
    <w:rsid w:val="00A268A9"/>
    <w:rsid w:val="00A30115"/>
    <w:rsid w:val="00A303ED"/>
    <w:rsid w:val="00A30959"/>
    <w:rsid w:val="00A3182D"/>
    <w:rsid w:val="00A35101"/>
    <w:rsid w:val="00A4134E"/>
    <w:rsid w:val="00A52A66"/>
    <w:rsid w:val="00A52CD9"/>
    <w:rsid w:val="00A6445C"/>
    <w:rsid w:val="00A66F3C"/>
    <w:rsid w:val="00A716DD"/>
    <w:rsid w:val="00A83C12"/>
    <w:rsid w:val="00A870EF"/>
    <w:rsid w:val="00A90DAD"/>
    <w:rsid w:val="00A93C47"/>
    <w:rsid w:val="00AA0006"/>
    <w:rsid w:val="00AB2E69"/>
    <w:rsid w:val="00AB3BCF"/>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75CCF"/>
    <w:rsid w:val="00B807DC"/>
    <w:rsid w:val="00B8514B"/>
    <w:rsid w:val="00B8540B"/>
    <w:rsid w:val="00B944E4"/>
    <w:rsid w:val="00BA0F95"/>
    <w:rsid w:val="00BA43F4"/>
    <w:rsid w:val="00BB022F"/>
    <w:rsid w:val="00BB20A7"/>
    <w:rsid w:val="00BB6946"/>
    <w:rsid w:val="00BB7826"/>
    <w:rsid w:val="00BC7625"/>
    <w:rsid w:val="00BD3BEF"/>
    <w:rsid w:val="00BE1535"/>
    <w:rsid w:val="00BE6740"/>
    <w:rsid w:val="00BF1E8A"/>
    <w:rsid w:val="00BF358A"/>
    <w:rsid w:val="00C0210B"/>
    <w:rsid w:val="00C20997"/>
    <w:rsid w:val="00C21A5A"/>
    <w:rsid w:val="00C21D1D"/>
    <w:rsid w:val="00C22AFC"/>
    <w:rsid w:val="00C31A68"/>
    <w:rsid w:val="00C32ECE"/>
    <w:rsid w:val="00C41CC9"/>
    <w:rsid w:val="00C4275E"/>
    <w:rsid w:val="00C44952"/>
    <w:rsid w:val="00C5295F"/>
    <w:rsid w:val="00C6071A"/>
    <w:rsid w:val="00C65A5F"/>
    <w:rsid w:val="00C7303D"/>
    <w:rsid w:val="00C760D6"/>
    <w:rsid w:val="00C869B3"/>
    <w:rsid w:val="00C9772C"/>
    <w:rsid w:val="00CA1098"/>
    <w:rsid w:val="00CA5E1E"/>
    <w:rsid w:val="00CA6DDD"/>
    <w:rsid w:val="00CB5806"/>
    <w:rsid w:val="00CC4859"/>
    <w:rsid w:val="00CD43AA"/>
    <w:rsid w:val="00CD5E40"/>
    <w:rsid w:val="00CE532D"/>
    <w:rsid w:val="00CE7DA0"/>
    <w:rsid w:val="00CF32AA"/>
    <w:rsid w:val="00CF4C00"/>
    <w:rsid w:val="00D0004D"/>
    <w:rsid w:val="00D01A55"/>
    <w:rsid w:val="00D13D23"/>
    <w:rsid w:val="00D16947"/>
    <w:rsid w:val="00D5351E"/>
    <w:rsid w:val="00D61B6F"/>
    <w:rsid w:val="00D759DB"/>
    <w:rsid w:val="00D8699D"/>
    <w:rsid w:val="00D87E0E"/>
    <w:rsid w:val="00D9263A"/>
    <w:rsid w:val="00D93BA6"/>
    <w:rsid w:val="00D95836"/>
    <w:rsid w:val="00D96D40"/>
    <w:rsid w:val="00DA0051"/>
    <w:rsid w:val="00DA1E64"/>
    <w:rsid w:val="00DB1E53"/>
    <w:rsid w:val="00DB25BF"/>
    <w:rsid w:val="00DB3451"/>
    <w:rsid w:val="00DB4C88"/>
    <w:rsid w:val="00DC2909"/>
    <w:rsid w:val="00DC7D84"/>
    <w:rsid w:val="00DD122E"/>
    <w:rsid w:val="00DD48C9"/>
    <w:rsid w:val="00DD58BD"/>
    <w:rsid w:val="00DE189A"/>
    <w:rsid w:val="00DE6362"/>
    <w:rsid w:val="00DF0352"/>
    <w:rsid w:val="00DF0678"/>
    <w:rsid w:val="00DF45DC"/>
    <w:rsid w:val="00E073CB"/>
    <w:rsid w:val="00E14B9C"/>
    <w:rsid w:val="00E17E3B"/>
    <w:rsid w:val="00E20D6B"/>
    <w:rsid w:val="00E251EA"/>
    <w:rsid w:val="00E35157"/>
    <w:rsid w:val="00E35171"/>
    <w:rsid w:val="00E36FA6"/>
    <w:rsid w:val="00E37C6F"/>
    <w:rsid w:val="00E42B7F"/>
    <w:rsid w:val="00E63FA4"/>
    <w:rsid w:val="00E64136"/>
    <w:rsid w:val="00E722CA"/>
    <w:rsid w:val="00E73DB1"/>
    <w:rsid w:val="00E82727"/>
    <w:rsid w:val="00E86227"/>
    <w:rsid w:val="00E930DD"/>
    <w:rsid w:val="00E9570B"/>
    <w:rsid w:val="00EA477A"/>
    <w:rsid w:val="00EA5757"/>
    <w:rsid w:val="00EB0B16"/>
    <w:rsid w:val="00EB1664"/>
    <w:rsid w:val="00EC5454"/>
    <w:rsid w:val="00EC56E8"/>
    <w:rsid w:val="00EC734A"/>
    <w:rsid w:val="00EE4536"/>
    <w:rsid w:val="00EE59B4"/>
    <w:rsid w:val="00EF237A"/>
    <w:rsid w:val="00EF62F7"/>
    <w:rsid w:val="00F02F4A"/>
    <w:rsid w:val="00F042CB"/>
    <w:rsid w:val="00F3003D"/>
    <w:rsid w:val="00F315D1"/>
    <w:rsid w:val="00F44E24"/>
    <w:rsid w:val="00F4686E"/>
    <w:rsid w:val="00F52F63"/>
    <w:rsid w:val="00F566F4"/>
    <w:rsid w:val="00F60859"/>
    <w:rsid w:val="00F65FAA"/>
    <w:rsid w:val="00F816B8"/>
    <w:rsid w:val="00F85B37"/>
    <w:rsid w:val="00F86C0C"/>
    <w:rsid w:val="00F90AAD"/>
    <w:rsid w:val="00F969D4"/>
    <w:rsid w:val="00FA5E88"/>
    <w:rsid w:val="00FB10AE"/>
    <w:rsid w:val="00FB15C0"/>
    <w:rsid w:val="00FB6815"/>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unhideWhenUsed/>
    <w:rsid w:val="002F79D4"/>
    <w:rPr>
      <w:sz w:val="20"/>
    </w:rPr>
  </w:style>
  <w:style w:type="character" w:customStyle="1" w:styleId="FootnoteTextChar">
    <w:name w:val="Footnote Text Char"/>
    <w:link w:val="FootnoteText"/>
    <w:uiPriority w:val="99"/>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335E7F"/>
    <w:rPr>
      <w:color w:val="467886" w:themeColor="hyperlink"/>
      <w:u w:val="single"/>
    </w:rPr>
  </w:style>
  <w:style w:type="character" w:styleId="UnresolvedMention">
    <w:name w:val="Unresolved Mention"/>
    <w:basedOn w:val="DefaultParagraphFont"/>
    <w:uiPriority w:val="47"/>
    <w:rsid w:val="00335E7F"/>
    <w:rPr>
      <w:color w:val="605E5C"/>
      <w:shd w:val="clear" w:color="auto" w:fill="E1DFDD"/>
    </w:rPr>
  </w:style>
  <w:style w:type="character" w:styleId="FollowedHyperlink">
    <w:name w:val="FollowedHyperlink"/>
    <w:basedOn w:val="DefaultParagraphFont"/>
    <w:uiPriority w:val="99"/>
    <w:semiHidden/>
    <w:unhideWhenUsed/>
    <w:rsid w:val="004639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law.stanford.edu/three-strikes-project/three-strikes-bas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4SQX5P7U7WPY-958212181-817447</_dlc_DocId>
    <_dlc_DocIdUrl xmlns="c890fddd-4e87-4e08-8b51-545f2a3f7b06">
      <Url>https://senpr.sharepoint.com/sites/obralegislativa/_layouts/15/DocIdRedir.aspx?ID=4SQX5P7U7WPY-958212181-817447</Url>
      <Description>4SQX5P7U7WPY-958212181-817447</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1FBA5F9-8E2F-4725-A799-83FD0C9177CC}"/>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E47611E5-1F25-4612-80C8-18C758778912}"/>
</file>

<file path=docProps/app.xml><?xml version="1.0" encoding="utf-8"?>
<Properties xmlns="http://schemas.openxmlformats.org/officeDocument/2006/extended-properties" xmlns:vt="http://schemas.openxmlformats.org/officeDocument/2006/docPropsVTypes">
  <Template>Medida-V2009</Template>
  <TotalTime>2</TotalTime>
  <Pages>7</Pages>
  <Words>2835</Words>
  <Characters>15169</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2025-08-14T16:03:00Z</dcterms:created>
  <dcterms:modified xsi:type="dcterms:W3CDTF">2025-08-14T16:03:00Z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4ff79e42-62b3-45e6-97dd-4d3fd2a6aab6</vt:lpwstr>
  </property>
  <property fmtid="{D5CDD505-2E9C-101B-9397-08002B2CF9AE}" pid="4" name="MediaServiceImageTags">
    <vt:lpwstr/>
  </property>
</Properties>
</file>