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D07BBB"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D07BBB">
        <w:rPr>
          <w:rFonts w:ascii="Book Antiqua" w:hAnsi="Book Antiqua"/>
          <w:sz w:val="28"/>
          <w:szCs w:val="28"/>
          <w:lang w:val="es-ES"/>
        </w:rPr>
        <w:t>GOBIERNO DE PUERTO RICO</w:t>
      </w:r>
    </w:p>
    <w:p w14:paraId="24353140" w14:textId="77777777" w:rsidR="007535BB" w:rsidRPr="00D07BBB"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D07BBB" w14:paraId="4DE77E24" w14:textId="77777777" w:rsidTr="00D95836">
        <w:trPr>
          <w:trHeight w:val="900"/>
        </w:trPr>
        <w:tc>
          <w:tcPr>
            <w:tcW w:w="3170" w:type="dxa"/>
          </w:tcPr>
          <w:p w14:paraId="27AF3912" w14:textId="77777777" w:rsidR="007535BB" w:rsidRPr="00D07BBB" w:rsidRDefault="007535BB" w:rsidP="00D95836">
            <w:pPr>
              <w:rPr>
                <w:rFonts w:ascii="Book Antiqua" w:hAnsi="Book Antiqua"/>
                <w:lang w:val="es-ES"/>
              </w:rPr>
            </w:pPr>
            <w:r w:rsidRPr="00D07BBB">
              <w:rPr>
                <w:rFonts w:ascii="Book Antiqua" w:hAnsi="Book Antiqua"/>
                <w:lang w:val="es-ES"/>
              </w:rPr>
              <w:t>20</w:t>
            </w:r>
            <w:r w:rsidRPr="00D07BBB">
              <w:rPr>
                <w:rFonts w:ascii="Book Antiqua" w:hAnsi="Book Antiqua"/>
                <w:vertAlign w:val="superscript"/>
                <w:lang w:val="es-ES"/>
              </w:rPr>
              <w:t>ma.</w:t>
            </w:r>
            <w:r w:rsidRPr="00D07BBB">
              <w:rPr>
                <w:rFonts w:ascii="Book Antiqua" w:hAnsi="Book Antiqua"/>
                <w:lang w:val="es-ES"/>
              </w:rPr>
              <w:tab/>
              <w:t>Asamblea</w:t>
            </w:r>
          </w:p>
          <w:p w14:paraId="082D32B2" w14:textId="77777777" w:rsidR="007535BB" w:rsidRPr="00D07BBB" w:rsidRDefault="007535BB" w:rsidP="00D95836">
            <w:pPr>
              <w:rPr>
                <w:rFonts w:ascii="Book Antiqua" w:hAnsi="Book Antiqua"/>
                <w:sz w:val="36"/>
                <w:lang w:val="es-ES"/>
              </w:rPr>
            </w:pPr>
            <w:r w:rsidRPr="00D07BBB">
              <w:rPr>
                <w:rFonts w:ascii="Book Antiqua" w:hAnsi="Book Antiqua"/>
                <w:lang w:val="es-ES"/>
              </w:rPr>
              <w:t xml:space="preserve">         </w:t>
            </w:r>
            <w:r w:rsidRPr="00D07BBB">
              <w:rPr>
                <w:rFonts w:ascii="Book Antiqua" w:hAnsi="Book Antiqua"/>
                <w:lang w:val="es-ES"/>
              </w:rPr>
              <w:tab/>
              <w:t xml:space="preserve">Legislativa                                                                                                          </w:t>
            </w:r>
          </w:p>
        </w:tc>
        <w:tc>
          <w:tcPr>
            <w:tcW w:w="3171" w:type="dxa"/>
          </w:tcPr>
          <w:p w14:paraId="48FE9142" w14:textId="77777777" w:rsidR="007535BB" w:rsidRPr="00D07BBB" w:rsidRDefault="007535BB" w:rsidP="00D95836">
            <w:pPr>
              <w:jc w:val="center"/>
              <w:rPr>
                <w:rFonts w:ascii="Book Antiqua" w:hAnsi="Book Antiqua"/>
                <w:sz w:val="36"/>
                <w:lang w:val="es-ES"/>
              </w:rPr>
            </w:pPr>
          </w:p>
        </w:tc>
        <w:tc>
          <w:tcPr>
            <w:tcW w:w="3268" w:type="dxa"/>
          </w:tcPr>
          <w:p w14:paraId="69176C76" w14:textId="2F06252B" w:rsidR="007535BB" w:rsidRPr="00D07BBB" w:rsidRDefault="007535BB" w:rsidP="00D95836">
            <w:pPr>
              <w:rPr>
                <w:rFonts w:ascii="Book Antiqua" w:hAnsi="Book Antiqua"/>
                <w:lang w:val="es-ES"/>
              </w:rPr>
            </w:pPr>
            <w:r w:rsidRPr="00D07BBB">
              <w:rPr>
                <w:rFonts w:ascii="Book Antiqua" w:hAnsi="Book Antiqua"/>
                <w:lang w:val="es-ES"/>
              </w:rPr>
              <w:tab/>
            </w:r>
            <w:r w:rsidR="00E17E3B" w:rsidRPr="00D07BBB">
              <w:rPr>
                <w:rFonts w:ascii="Book Antiqua" w:hAnsi="Book Antiqua"/>
                <w:lang w:val="es-ES"/>
              </w:rPr>
              <w:t>2</w:t>
            </w:r>
            <w:r w:rsidR="00E17E3B" w:rsidRPr="00D07BBB">
              <w:rPr>
                <w:rFonts w:ascii="Book Antiqua" w:hAnsi="Book Antiqua"/>
                <w:vertAlign w:val="superscript"/>
                <w:lang w:val="es-ES"/>
              </w:rPr>
              <w:t>d</w:t>
            </w:r>
            <w:r w:rsidRPr="00D07BBB">
              <w:rPr>
                <w:rFonts w:ascii="Book Antiqua" w:hAnsi="Book Antiqua"/>
                <w:vertAlign w:val="superscript"/>
                <w:lang w:val="es-ES"/>
              </w:rPr>
              <w:t>a.</w:t>
            </w:r>
            <w:r w:rsidRPr="00D07BBB">
              <w:rPr>
                <w:rFonts w:ascii="Book Antiqua" w:hAnsi="Book Antiqua"/>
                <w:lang w:val="es-ES"/>
              </w:rPr>
              <w:t xml:space="preserve"> Sesión</w:t>
            </w:r>
          </w:p>
          <w:p w14:paraId="42A8E2C1" w14:textId="6033C9E1" w:rsidR="007535BB" w:rsidRPr="00D07BBB" w:rsidRDefault="007535BB" w:rsidP="00D95836">
            <w:pPr>
              <w:rPr>
                <w:rFonts w:ascii="Book Antiqua" w:hAnsi="Book Antiqua"/>
                <w:lang w:val="es-ES"/>
              </w:rPr>
            </w:pPr>
            <w:r w:rsidRPr="00D07BBB">
              <w:rPr>
                <w:rFonts w:ascii="Book Antiqua" w:hAnsi="Book Antiqua"/>
                <w:lang w:val="es-ES"/>
              </w:rPr>
              <w:tab/>
              <w:t xml:space="preserve">      Ordinaria</w:t>
            </w:r>
          </w:p>
          <w:p w14:paraId="640FD190" w14:textId="77777777" w:rsidR="007535BB" w:rsidRPr="00D07BBB" w:rsidRDefault="007535BB" w:rsidP="00D95836">
            <w:pPr>
              <w:jc w:val="center"/>
              <w:rPr>
                <w:rFonts w:ascii="Book Antiqua" w:hAnsi="Book Antiqua"/>
                <w:sz w:val="36"/>
                <w:lang w:val="es-ES"/>
              </w:rPr>
            </w:pPr>
          </w:p>
        </w:tc>
      </w:tr>
    </w:tbl>
    <w:bookmarkEnd w:id="0"/>
    <w:p w14:paraId="44DF1C72" w14:textId="77777777" w:rsidR="007535BB" w:rsidRPr="00D07BBB" w:rsidRDefault="007535BB" w:rsidP="0027212A">
      <w:pPr>
        <w:spacing w:line="360" w:lineRule="auto"/>
        <w:jc w:val="center"/>
        <w:rPr>
          <w:rFonts w:ascii="Book Antiqua" w:hAnsi="Book Antiqua"/>
          <w:b/>
          <w:sz w:val="36"/>
          <w:lang w:val="es-ES"/>
        </w:rPr>
      </w:pPr>
      <w:r w:rsidRPr="00D07BBB">
        <w:rPr>
          <w:rFonts w:ascii="Book Antiqua" w:hAnsi="Book Antiqua"/>
          <w:b/>
          <w:sz w:val="36"/>
          <w:lang w:val="es-ES"/>
        </w:rPr>
        <w:t>SENADO DE PUERTO RICO</w:t>
      </w:r>
      <w:bookmarkEnd w:id="1"/>
    </w:p>
    <w:p w14:paraId="3E53146F" w14:textId="13AC5DB5" w:rsidR="007535BB" w:rsidRPr="00D07BBB" w:rsidRDefault="007535BB" w:rsidP="0027212A">
      <w:pPr>
        <w:spacing w:line="360" w:lineRule="auto"/>
        <w:jc w:val="center"/>
        <w:rPr>
          <w:rFonts w:ascii="Book Antiqua" w:hAnsi="Book Antiqua"/>
          <w:b/>
          <w:sz w:val="52"/>
          <w:lang w:val="es-ES"/>
        </w:rPr>
      </w:pPr>
      <w:r w:rsidRPr="00D07BBB">
        <w:rPr>
          <w:rFonts w:ascii="Book Antiqua" w:hAnsi="Book Antiqua"/>
          <w:b/>
          <w:sz w:val="52"/>
          <w:lang w:val="es-ES"/>
        </w:rPr>
        <w:t xml:space="preserve">P. del S. </w:t>
      </w:r>
      <w:r w:rsidR="00874400" w:rsidRPr="00D07BBB">
        <w:rPr>
          <w:rFonts w:ascii="Book Antiqua" w:hAnsi="Book Antiqua"/>
          <w:b/>
          <w:sz w:val="52"/>
          <w:lang w:val="es-ES"/>
        </w:rPr>
        <w:t>537</w:t>
      </w:r>
    </w:p>
    <w:p w14:paraId="1443CA0F" w14:textId="77777777" w:rsidR="007535BB" w:rsidRPr="00D07BBB" w:rsidRDefault="007535BB" w:rsidP="0027212A">
      <w:pPr>
        <w:spacing w:line="360" w:lineRule="auto"/>
        <w:jc w:val="center"/>
        <w:rPr>
          <w:rFonts w:ascii="Book Antiqua" w:hAnsi="Book Antiqua"/>
          <w:b/>
          <w:bCs/>
          <w:lang w:val="es-ES"/>
        </w:rPr>
      </w:pPr>
      <w:r w:rsidRPr="00D07BBB">
        <w:rPr>
          <w:rFonts w:ascii="Book Antiqua" w:hAnsi="Book Antiqua"/>
          <w:b/>
          <w:bCs/>
          <w:lang w:val="es-ES"/>
        </w:rPr>
        <w:t xml:space="preserve"> </w:t>
      </w:r>
      <w:bookmarkStart w:id="3" w:name="_Hlk183037684"/>
      <w:r w:rsidR="001B5218" w:rsidRPr="00D07BBB">
        <w:rPr>
          <w:rFonts w:ascii="Book Antiqua" w:hAnsi="Book Antiqua"/>
          <w:b/>
          <w:bCs/>
          <w:sz w:val="28"/>
          <w:szCs w:val="22"/>
          <w:lang w:val="es-ES"/>
        </w:rPr>
        <w:t xml:space="preserve">INFORME POSITIVO </w:t>
      </w:r>
    </w:p>
    <w:p w14:paraId="07AB4BDD" w14:textId="00ADB316" w:rsidR="001B5218" w:rsidRPr="00D07BBB" w:rsidRDefault="00B75568" w:rsidP="0027212A">
      <w:pPr>
        <w:spacing w:line="360" w:lineRule="auto"/>
        <w:jc w:val="center"/>
        <w:rPr>
          <w:rFonts w:ascii="Book Antiqua" w:hAnsi="Book Antiqua"/>
          <w:lang w:val="es-ES"/>
        </w:rPr>
      </w:pPr>
      <w:r>
        <w:rPr>
          <w:rFonts w:ascii="Book Antiqua" w:hAnsi="Book Antiqua"/>
          <w:lang w:val="es-ES"/>
        </w:rPr>
        <w:t xml:space="preserve">23 </w:t>
      </w:r>
      <w:r w:rsidR="006239E8" w:rsidRPr="00D07BBB">
        <w:rPr>
          <w:rFonts w:ascii="Book Antiqua" w:hAnsi="Book Antiqua"/>
          <w:lang w:val="es-ES"/>
        </w:rPr>
        <w:t xml:space="preserve">de </w:t>
      </w:r>
      <w:r w:rsidR="002E0215" w:rsidRPr="00D07BBB">
        <w:rPr>
          <w:rFonts w:ascii="Book Antiqua" w:hAnsi="Book Antiqua"/>
          <w:lang w:val="es-ES"/>
        </w:rPr>
        <w:t>septiembre</w:t>
      </w:r>
      <w:r w:rsidR="006239E8" w:rsidRPr="00D07BBB">
        <w:rPr>
          <w:rFonts w:ascii="Book Antiqua" w:hAnsi="Book Antiqua"/>
          <w:lang w:val="es-ES"/>
        </w:rPr>
        <w:t xml:space="preserve"> </w:t>
      </w:r>
      <w:r w:rsidR="00D13D23" w:rsidRPr="00D07BBB">
        <w:rPr>
          <w:rFonts w:ascii="Book Antiqua" w:hAnsi="Book Antiqua"/>
          <w:lang w:val="es-ES"/>
        </w:rPr>
        <w:t>de 2025</w:t>
      </w:r>
    </w:p>
    <w:bookmarkEnd w:id="2"/>
    <w:bookmarkEnd w:id="3"/>
    <w:p w14:paraId="518A096B" w14:textId="07DCC0DC" w:rsidR="005B2884" w:rsidRPr="00D07BBB" w:rsidRDefault="001B5218" w:rsidP="001B5218">
      <w:pPr>
        <w:tabs>
          <w:tab w:val="left" w:pos="-720"/>
        </w:tabs>
        <w:suppressAutoHyphens/>
        <w:spacing w:before="240" w:after="240" w:line="240" w:lineRule="atLeast"/>
        <w:rPr>
          <w:rFonts w:ascii="Book Antiqua" w:hAnsi="Book Antiqua"/>
          <w:szCs w:val="24"/>
          <w:lang w:val="es-ES"/>
        </w:rPr>
      </w:pPr>
      <w:r w:rsidRPr="00D07BBB">
        <w:rPr>
          <w:rFonts w:ascii="Book Antiqua" w:hAnsi="Book Antiqua"/>
          <w:b/>
          <w:szCs w:val="24"/>
          <w:lang w:val="es-ES"/>
        </w:rPr>
        <w:t xml:space="preserve">AL SENADO DE PUERTO RICO: </w:t>
      </w:r>
    </w:p>
    <w:p w14:paraId="37982730" w14:textId="5A49BF4F" w:rsidR="005B2884" w:rsidRPr="00D07BBB" w:rsidRDefault="00A52CD9" w:rsidP="00AB6B77">
      <w:pPr>
        <w:suppressAutoHyphens/>
        <w:jc w:val="both"/>
        <w:rPr>
          <w:rFonts w:ascii="Book Antiqua" w:hAnsi="Book Antiqua"/>
          <w:spacing w:val="-3"/>
          <w:szCs w:val="24"/>
          <w:lang w:val="es-ES"/>
        </w:rPr>
      </w:pPr>
      <w:r w:rsidRPr="00D07BBB">
        <w:rPr>
          <w:rFonts w:ascii="Book Antiqua" w:hAnsi="Book Antiqua"/>
          <w:spacing w:val="-3"/>
          <w:lang w:val="es-ES"/>
        </w:rPr>
        <w:t xml:space="preserve">      </w:t>
      </w:r>
      <w:r w:rsidR="009F427F" w:rsidRPr="00D07BBB">
        <w:rPr>
          <w:rFonts w:ascii="Book Antiqua" w:hAnsi="Book Antiqua"/>
          <w:spacing w:val="-3"/>
          <w:szCs w:val="24"/>
          <w:lang w:val="es-ES"/>
        </w:rPr>
        <w:tab/>
      </w:r>
      <w:r w:rsidR="001B5218" w:rsidRPr="00D07BBB">
        <w:rPr>
          <w:rFonts w:ascii="Book Antiqua" w:hAnsi="Book Antiqua"/>
          <w:spacing w:val="-3"/>
          <w:szCs w:val="24"/>
          <w:lang w:val="es-ES"/>
        </w:rPr>
        <w:t xml:space="preserve">La </w:t>
      </w:r>
      <w:r w:rsidR="00E17E3B" w:rsidRPr="00D07BBB">
        <w:rPr>
          <w:rFonts w:ascii="Book Antiqua" w:hAnsi="Book Antiqua"/>
          <w:spacing w:val="-3"/>
          <w:szCs w:val="24"/>
          <w:lang w:val="es-ES"/>
        </w:rPr>
        <w:t>Comisión de lo Jurídico del Senado de Puerto Rico</w:t>
      </w:r>
      <w:r w:rsidR="001B5218" w:rsidRPr="00D07BBB">
        <w:rPr>
          <w:rFonts w:ascii="Book Antiqua" w:hAnsi="Book Antiqua"/>
          <w:spacing w:val="-3"/>
          <w:szCs w:val="24"/>
          <w:lang w:val="es-ES"/>
        </w:rPr>
        <w:t>, previo estudio y consideración</w:t>
      </w:r>
      <w:r w:rsidR="009F427F" w:rsidRPr="00D07BBB">
        <w:rPr>
          <w:rFonts w:ascii="Book Antiqua" w:hAnsi="Book Antiqua"/>
          <w:spacing w:val="-3"/>
          <w:szCs w:val="24"/>
          <w:lang w:val="es-ES"/>
        </w:rPr>
        <w:t xml:space="preserve"> del </w:t>
      </w:r>
      <w:r w:rsidR="00874400" w:rsidRPr="00D07BBB">
        <w:rPr>
          <w:rFonts w:ascii="Book Antiqua" w:hAnsi="Book Antiqua"/>
          <w:spacing w:val="-3"/>
          <w:szCs w:val="24"/>
          <w:lang w:val="es-ES"/>
        </w:rPr>
        <w:t>P. del S. 537</w:t>
      </w:r>
      <w:r w:rsidR="001B5218" w:rsidRPr="00D07BBB">
        <w:rPr>
          <w:rFonts w:ascii="Book Antiqua" w:hAnsi="Book Antiqua"/>
          <w:spacing w:val="-3"/>
          <w:szCs w:val="24"/>
          <w:lang w:val="es-ES"/>
        </w:rPr>
        <w:t xml:space="preserve">, </w:t>
      </w:r>
      <w:r w:rsidR="009F427F" w:rsidRPr="00D07BBB">
        <w:rPr>
          <w:rFonts w:ascii="Book Antiqua" w:hAnsi="Book Antiqua"/>
          <w:spacing w:val="-3"/>
          <w:szCs w:val="24"/>
          <w:lang w:val="es-ES"/>
        </w:rPr>
        <w:t>recomienda a este Alto Cuerpo su</w:t>
      </w:r>
      <w:r w:rsidR="008E051A" w:rsidRPr="00D07BBB">
        <w:rPr>
          <w:rFonts w:ascii="Book Antiqua" w:hAnsi="Book Antiqua"/>
          <w:spacing w:val="-3"/>
          <w:szCs w:val="24"/>
          <w:lang w:val="es-ES"/>
        </w:rPr>
        <w:t xml:space="preserve"> </w:t>
      </w:r>
      <w:r w:rsidR="001B5218" w:rsidRPr="00D07BBB">
        <w:rPr>
          <w:rFonts w:ascii="Book Antiqua" w:hAnsi="Book Antiqua"/>
          <w:spacing w:val="-3"/>
          <w:szCs w:val="24"/>
          <w:lang w:val="es-ES"/>
        </w:rPr>
        <w:t>aprobación, con las enmiendas contenidas en el entirillado electrónico que se acompaña</w:t>
      </w:r>
      <w:r w:rsidR="00874400" w:rsidRPr="00D07BBB">
        <w:rPr>
          <w:rFonts w:ascii="Book Antiqua" w:hAnsi="Book Antiqua"/>
          <w:spacing w:val="-3"/>
          <w:szCs w:val="24"/>
          <w:lang w:val="es-ES"/>
        </w:rPr>
        <w:t xml:space="preserve">. </w:t>
      </w:r>
    </w:p>
    <w:p w14:paraId="1C36686D" w14:textId="77777777" w:rsidR="000C52A1" w:rsidRPr="00D07BBB" w:rsidRDefault="000C52A1" w:rsidP="00AB6B77">
      <w:pPr>
        <w:suppressAutoHyphens/>
        <w:jc w:val="both"/>
        <w:rPr>
          <w:rFonts w:ascii="Book Antiqua" w:hAnsi="Book Antiqua"/>
          <w:spacing w:val="-3"/>
          <w:szCs w:val="24"/>
          <w:lang w:val="es-ES"/>
        </w:rPr>
      </w:pPr>
    </w:p>
    <w:p w14:paraId="632423B1" w14:textId="77777777" w:rsidR="0024131E" w:rsidRPr="00D07BBB" w:rsidRDefault="001B5218" w:rsidP="00AB6B77">
      <w:pPr>
        <w:tabs>
          <w:tab w:val="left" w:pos="-720"/>
        </w:tabs>
        <w:suppressAutoHyphens/>
        <w:jc w:val="center"/>
        <w:rPr>
          <w:rFonts w:ascii="Book Antiqua" w:hAnsi="Book Antiqua"/>
          <w:b/>
          <w:bCs/>
          <w:szCs w:val="24"/>
          <w:lang w:val="es-ES"/>
        </w:rPr>
      </w:pPr>
      <w:r w:rsidRPr="00D07BBB">
        <w:rPr>
          <w:rFonts w:ascii="Book Antiqua" w:hAnsi="Book Antiqua"/>
          <w:b/>
          <w:bCs/>
          <w:szCs w:val="24"/>
          <w:lang w:val="es-ES"/>
        </w:rPr>
        <w:t xml:space="preserve">ALCANCE DE LA MEDIDA </w:t>
      </w:r>
    </w:p>
    <w:p w14:paraId="5B5C79B2" w14:textId="77777777" w:rsidR="000C52A1" w:rsidRPr="00D07BBB" w:rsidRDefault="000C52A1" w:rsidP="00AB6B77">
      <w:pPr>
        <w:tabs>
          <w:tab w:val="left" w:pos="-720"/>
        </w:tabs>
        <w:suppressAutoHyphens/>
        <w:rPr>
          <w:rFonts w:ascii="Book Antiqua" w:hAnsi="Book Antiqua"/>
          <w:b/>
          <w:bCs/>
          <w:szCs w:val="24"/>
          <w:lang w:val="es-ES"/>
        </w:rPr>
      </w:pPr>
    </w:p>
    <w:p w14:paraId="78728E59" w14:textId="77777777" w:rsidR="00874400" w:rsidRPr="00D07BBB" w:rsidRDefault="00874400"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 xml:space="preserve">El Proyecto del Senado 537 (en adelante, el “P. del S. 537”) tiene el propósito de crear la “Ley para el Establecimiento del Sistema Unificado de Reportes de Incidentes de Violencia de Género en Puerto Rico”, a los fines de desarrollar una plataforma digital estandarizada de recopilación, análisis y monitoreo de datos sobre violencia de género; disponer sobre la integración </w:t>
      </w:r>
      <w:proofErr w:type="spellStart"/>
      <w:r w:rsidRPr="00D07BBB">
        <w:rPr>
          <w:rFonts w:ascii="Book Antiqua" w:hAnsi="Book Antiqua"/>
          <w:szCs w:val="24"/>
          <w:lang w:val="es-ES"/>
        </w:rPr>
        <w:t>interagencial</w:t>
      </w:r>
      <w:proofErr w:type="spellEnd"/>
      <w:r w:rsidRPr="00D07BBB">
        <w:rPr>
          <w:rFonts w:ascii="Book Antiqua" w:hAnsi="Book Antiqua"/>
          <w:szCs w:val="24"/>
          <w:lang w:val="es-ES"/>
        </w:rPr>
        <w:t xml:space="preserve"> de datos provenientes de la Policía de Puerto Rico, el Departamento de Justicia, el Departamento de la Familia, el Departamento de Salud, la Oficina de la Procuradora de las Mujeres y el Poder Judicial; y para otros fines relacionados.</w:t>
      </w:r>
    </w:p>
    <w:p w14:paraId="771800BC" w14:textId="77777777" w:rsidR="00A06A16" w:rsidRPr="00D07BBB" w:rsidRDefault="00A06A16" w:rsidP="00AB6B77">
      <w:pPr>
        <w:tabs>
          <w:tab w:val="left" w:pos="-720"/>
        </w:tabs>
        <w:suppressAutoHyphens/>
        <w:ind w:firstLine="360"/>
        <w:jc w:val="center"/>
        <w:rPr>
          <w:rFonts w:ascii="Book Antiqua" w:hAnsi="Book Antiqua"/>
          <w:b/>
          <w:bCs/>
          <w:szCs w:val="24"/>
          <w:lang w:val="es-ES"/>
        </w:rPr>
      </w:pPr>
    </w:p>
    <w:p w14:paraId="6EE110C6" w14:textId="695AAC9E" w:rsidR="006F51A8" w:rsidRPr="00D07BBB" w:rsidRDefault="009F427F" w:rsidP="00AB6B77">
      <w:pPr>
        <w:tabs>
          <w:tab w:val="left" w:pos="-720"/>
        </w:tabs>
        <w:suppressAutoHyphens/>
        <w:ind w:firstLine="360"/>
        <w:jc w:val="center"/>
        <w:rPr>
          <w:rFonts w:ascii="Book Antiqua" w:hAnsi="Book Antiqua"/>
          <w:b/>
          <w:bCs/>
          <w:szCs w:val="24"/>
          <w:lang w:val="es-ES"/>
        </w:rPr>
      </w:pPr>
      <w:r w:rsidRPr="00D07BBB">
        <w:rPr>
          <w:rFonts w:ascii="Book Antiqua" w:hAnsi="Book Antiqua"/>
          <w:b/>
          <w:bCs/>
          <w:szCs w:val="24"/>
          <w:lang w:val="es-ES"/>
        </w:rPr>
        <w:t>ANÁLISIS DE LA MEDIDA</w:t>
      </w:r>
    </w:p>
    <w:p w14:paraId="6FD2A601" w14:textId="77777777" w:rsidR="000C52A1" w:rsidRPr="00D07BBB" w:rsidRDefault="000C52A1" w:rsidP="00AB6B77">
      <w:pPr>
        <w:tabs>
          <w:tab w:val="left" w:pos="-720"/>
        </w:tabs>
        <w:suppressAutoHyphens/>
        <w:ind w:firstLine="360"/>
        <w:jc w:val="center"/>
        <w:rPr>
          <w:rFonts w:ascii="Book Antiqua" w:hAnsi="Book Antiqua"/>
          <w:b/>
          <w:bCs/>
          <w:szCs w:val="24"/>
          <w:lang w:val="es-ES"/>
        </w:rPr>
      </w:pPr>
    </w:p>
    <w:p w14:paraId="5924E5C8" w14:textId="0558F364" w:rsidR="005B775B" w:rsidRPr="00D07BBB" w:rsidRDefault="005B775B" w:rsidP="00AB6B77">
      <w:pPr>
        <w:tabs>
          <w:tab w:val="left" w:pos="-720"/>
        </w:tabs>
        <w:suppressAutoHyphens/>
        <w:ind w:firstLine="360"/>
        <w:jc w:val="center"/>
        <w:rPr>
          <w:rFonts w:ascii="Book Antiqua" w:hAnsi="Book Antiqua"/>
          <w:b/>
          <w:bCs/>
          <w:i/>
          <w:iCs/>
          <w:smallCaps/>
          <w:szCs w:val="24"/>
          <w:lang w:val="es-ES"/>
        </w:rPr>
      </w:pPr>
      <w:r w:rsidRPr="00D07BBB">
        <w:rPr>
          <w:rFonts w:ascii="Book Antiqua" w:hAnsi="Book Antiqua"/>
          <w:b/>
          <w:bCs/>
          <w:i/>
          <w:iCs/>
          <w:smallCaps/>
          <w:szCs w:val="24"/>
          <w:lang w:val="es-ES"/>
        </w:rPr>
        <w:t>La violencia de género según definida por el ordenamiento</w:t>
      </w:r>
    </w:p>
    <w:p w14:paraId="6A58F704" w14:textId="77777777" w:rsidR="005B775B" w:rsidRPr="00D07BBB" w:rsidRDefault="005B775B" w:rsidP="00AB6B77">
      <w:pPr>
        <w:tabs>
          <w:tab w:val="left" w:pos="-720"/>
        </w:tabs>
        <w:suppressAutoHyphens/>
        <w:ind w:firstLine="360"/>
        <w:jc w:val="both"/>
        <w:rPr>
          <w:rFonts w:ascii="Book Antiqua" w:hAnsi="Book Antiqua"/>
          <w:szCs w:val="24"/>
          <w:lang w:val="es-ES"/>
        </w:rPr>
      </w:pPr>
    </w:p>
    <w:p w14:paraId="5C67C99F" w14:textId="703D52B0" w:rsidR="00410423" w:rsidRPr="00D07BBB" w:rsidRDefault="00B403C4"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410423" w:rsidRPr="00D07BBB">
        <w:rPr>
          <w:rFonts w:ascii="Book Antiqua" w:hAnsi="Book Antiqua"/>
          <w:szCs w:val="24"/>
          <w:lang w:val="es-ES"/>
        </w:rPr>
        <w:t>La Asamblea Legislativa ha expresado en el pasado de forma clara que la violencia de género constituye un problema social y de seguridad pública que exige un enfoque integral. Así lo estableció la Ley 3-2022,</w:t>
      </w:r>
      <w:r w:rsidR="003125B4" w:rsidRPr="00D07BBB">
        <w:rPr>
          <w:rFonts w:ascii="Book Antiqua" w:hAnsi="Book Antiqua"/>
          <w:szCs w:val="24"/>
          <w:lang w:val="es-ES"/>
        </w:rPr>
        <w:t xml:space="preserve"> conocida como la </w:t>
      </w:r>
      <w:r w:rsidR="00410423" w:rsidRPr="00D07BBB">
        <w:rPr>
          <w:rFonts w:ascii="Book Antiqua" w:hAnsi="Book Antiqua"/>
          <w:szCs w:val="24"/>
          <w:lang w:val="es-ES"/>
        </w:rPr>
        <w:t xml:space="preserve">“Ley del Programa de Prevención y Seguridad para las Víctimas de Violencia de Género”. En su Exposición de Motivos, la Asamblea destacó que la violencia de género debe atenderse tanto desde la prevención como desde la intervención directa del Estado. La prevención debe comenzar en la niñez y reforzarse en la juventud mediante la </w:t>
      </w:r>
      <w:r w:rsidR="00410423" w:rsidRPr="00D07BBB">
        <w:rPr>
          <w:rFonts w:ascii="Book Antiqua" w:hAnsi="Book Antiqua"/>
          <w:szCs w:val="24"/>
          <w:lang w:val="es-ES"/>
        </w:rPr>
        <w:lastRenderedPageBreak/>
        <w:t>educación, mientras que el sistema de justicia tiene el deber de investigar, procesar y condenar a las personas agresoras, además de garantizar a las víctimas un sistema de protección y vigilancia efectivo.</w:t>
      </w:r>
      <w:r w:rsidR="003125B4" w:rsidRPr="00D07BBB">
        <w:rPr>
          <w:rFonts w:ascii="Book Antiqua" w:hAnsi="Book Antiqua"/>
          <w:szCs w:val="24"/>
          <w:lang w:val="es-ES"/>
        </w:rPr>
        <w:t xml:space="preserve"> </w:t>
      </w:r>
      <w:r w:rsidR="00410423" w:rsidRPr="00D07BBB">
        <w:rPr>
          <w:rFonts w:ascii="Book Antiqua" w:hAnsi="Book Antiqua"/>
          <w:szCs w:val="24"/>
          <w:lang w:val="es-ES"/>
        </w:rPr>
        <w:t>Esa misma Exposición de Motivos resaltó ejemplos concretos de estrategias exitosas, como el programa “Referimiento y Ayuda a Mujeres Abusadas” (RAMA) del Municipio de Carolina, implantado en alianza con la Policía de Puerto Rico, la Policía Municipal y el Tribunal de Carolina. De esta manera, la Asamblea Legislativa dejó claro que su política pública es extender modelos probados de prevención y protección a todo Puerto Rico.</w:t>
      </w:r>
    </w:p>
    <w:p w14:paraId="1108C173" w14:textId="50651B0C" w:rsidR="00410423" w:rsidRPr="00D07BBB" w:rsidRDefault="00B00D74"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410423" w:rsidRPr="00D07BBB">
        <w:rPr>
          <w:rFonts w:ascii="Book Antiqua" w:hAnsi="Book Antiqua"/>
          <w:szCs w:val="24"/>
          <w:lang w:val="es-ES"/>
        </w:rPr>
        <w:t xml:space="preserve">El ordenamiento vigente también reconoce que la violencia de género es amplia y toma diversas formas. La Ley Núm. 54 de 15 de agosto de 1989, según enmendada, </w:t>
      </w:r>
      <w:r w:rsidRPr="00D07BBB">
        <w:rPr>
          <w:rFonts w:ascii="Book Antiqua" w:hAnsi="Book Antiqua"/>
          <w:szCs w:val="24"/>
          <w:lang w:val="es-ES"/>
        </w:rPr>
        <w:t xml:space="preserve">conocida como la </w:t>
      </w:r>
      <w:r w:rsidR="00410423" w:rsidRPr="00D07BBB">
        <w:rPr>
          <w:rFonts w:ascii="Book Antiqua" w:hAnsi="Book Antiqua"/>
          <w:szCs w:val="24"/>
          <w:lang w:val="es-ES"/>
        </w:rPr>
        <w:t>“Ley para la Prevención e Intervención con la Violencia Doméstica”</w:t>
      </w:r>
      <w:r w:rsidRPr="00D07BBB">
        <w:rPr>
          <w:rFonts w:ascii="Book Antiqua" w:hAnsi="Book Antiqua"/>
          <w:szCs w:val="24"/>
          <w:lang w:val="es-ES"/>
        </w:rPr>
        <w:t xml:space="preserve"> (en adelante, la “Ley 54”)</w:t>
      </w:r>
      <w:r w:rsidR="00410423" w:rsidRPr="00D07BBB">
        <w:rPr>
          <w:rFonts w:ascii="Book Antiqua" w:hAnsi="Book Antiqua"/>
          <w:szCs w:val="24"/>
          <w:lang w:val="es-ES"/>
        </w:rPr>
        <w:t>, define y tipifica expresamente varias modalidades. Entre ellas, la violencia cibernética o digital, que ocurre cuando se utiliza cualquier medio de comunicación electrónica o digital</w:t>
      </w:r>
      <w:r w:rsidR="00986DB4" w:rsidRPr="00D07BBB">
        <w:rPr>
          <w:rFonts w:ascii="Book Antiqua" w:hAnsi="Book Antiqua"/>
          <w:szCs w:val="24"/>
          <w:lang w:val="es-ES"/>
        </w:rPr>
        <w:t xml:space="preserve">, </w:t>
      </w:r>
      <w:r w:rsidR="00410423" w:rsidRPr="00D07BBB">
        <w:rPr>
          <w:rFonts w:ascii="Book Antiqua" w:hAnsi="Book Antiqua"/>
          <w:szCs w:val="24"/>
          <w:lang w:val="es-ES"/>
        </w:rPr>
        <w:t xml:space="preserve">como mensajes de texto, correos electrónicos, redes sociales o sistemas de rastreo </w:t>
      </w:r>
      <w:r w:rsidR="00D07BBB" w:rsidRPr="00D07BBB">
        <w:rPr>
          <w:rFonts w:ascii="Book Antiqua" w:hAnsi="Book Antiqua"/>
          <w:szCs w:val="24"/>
          <w:lang w:val="es-ES"/>
        </w:rPr>
        <w:t>satelital, para</w:t>
      </w:r>
      <w:r w:rsidR="00410423" w:rsidRPr="00D07BBB">
        <w:rPr>
          <w:rFonts w:ascii="Book Antiqua" w:hAnsi="Book Antiqua"/>
          <w:szCs w:val="24"/>
          <w:lang w:val="es-ES"/>
        </w:rPr>
        <w:t xml:space="preserve"> acosar, intimidar o amenazar a una persona con quien se sostiene o se ha sostenido una relación de pareja. También incluye la violencia doméstica, entendida como el empleo de fuerza física, intimidación, persecución, violencia económica o psicológica contra una pareja, expareja o persona con quien se haya procreado una hija o un hijo, independientemente de sexo, estado civil, orientación sexual, identidad de género o estatus migratorio.</w:t>
      </w:r>
      <w:r w:rsidRPr="00D07BBB">
        <w:rPr>
          <w:rFonts w:ascii="Book Antiqua" w:hAnsi="Book Antiqua"/>
          <w:szCs w:val="24"/>
          <w:lang w:val="es-ES"/>
        </w:rPr>
        <w:t xml:space="preserve"> </w:t>
      </w:r>
      <w:r w:rsidR="00410423" w:rsidRPr="00D07BBB">
        <w:rPr>
          <w:rFonts w:ascii="Book Antiqua" w:hAnsi="Book Antiqua"/>
          <w:szCs w:val="24"/>
          <w:lang w:val="es-ES"/>
        </w:rPr>
        <w:t xml:space="preserve">La </w:t>
      </w:r>
      <w:r w:rsidR="00986DB4" w:rsidRPr="00D07BBB">
        <w:rPr>
          <w:rFonts w:ascii="Book Antiqua" w:hAnsi="Book Antiqua"/>
          <w:szCs w:val="24"/>
          <w:lang w:val="es-ES"/>
        </w:rPr>
        <w:t xml:space="preserve">Ley 54 </w:t>
      </w:r>
      <w:r w:rsidR="00410423" w:rsidRPr="00D07BBB">
        <w:rPr>
          <w:rFonts w:ascii="Book Antiqua" w:hAnsi="Book Antiqua"/>
          <w:szCs w:val="24"/>
          <w:lang w:val="es-ES"/>
        </w:rPr>
        <w:t>también define la violencia económica, que abarca toda conducta dirigida a menoscabar la estabilidad financiera o habitacional de la víctima, mediante amenazas, fraude, privación de acceso a dinero, activos o asistencia, o interferencia en su desempeño laboral o académico. Asimismo, tipifica la violencia psicológica, caracterizada por conductas de menosprecio, chantaje, persecución, aislamiento, privación de necesidades básicas, amenazas relacionadas con la custodia de hijos o hijas, o la destrucción de objetos de valor personal.</w:t>
      </w:r>
    </w:p>
    <w:p w14:paraId="17F224C2" w14:textId="5FFBC2DC" w:rsidR="00410423" w:rsidRPr="00D07BBB" w:rsidRDefault="004D713B"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410423" w:rsidRPr="00D07BBB">
        <w:rPr>
          <w:rFonts w:ascii="Book Antiqua" w:hAnsi="Book Antiqua"/>
          <w:szCs w:val="24"/>
          <w:lang w:val="es-ES"/>
        </w:rPr>
        <w:t>A este marco se suma la Ley 148-</w:t>
      </w:r>
      <w:r w:rsidRPr="00D07BBB">
        <w:rPr>
          <w:rFonts w:ascii="Book Antiqua" w:hAnsi="Book Antiqua"/>
          <w:szCs w:val="24"/>
          <w:lang w:val="es-ES"/>
        </w:rPr>
        <w:t xml:space="preserve">2015, conocida como la </w:t>
      </w:r>
      <w:r w:rsidR="00410423" w:rsidRPr="00D07BBB">
        <w:rPr>
          <w:rFonts w:ascii="Book Antiqua" w:hAnsi="Book Antiqua"/>
          <w:szCs w:val="24"/>
          <w:lang w:val="es-ES"/>
        </w:rPr>
        <w:t xml:space="preserve">“Ley para la Protección de las Víctimas de Violencia Sexual en Puerto Rico”. En su Artículo 2, la Asamblea Legislativa afirmó que es política pública del </w:t>
      </w:r>
      <w:r w:rsidR="00986DB4" w:rsidRPr="00D07BBB">
        <w:rPr>
          <w:rFonts w:ascii="Book Antiqua" w:hAnsi="Book Antiqua"/>
          <w:szCs w:val="24"/>
          <w:lang w:val="es-ES"/>
        </w:rPr>
        <w:t>Gobierno de Puerto Rico</w:t>
      </w:r>
      <w:r w:rsidR="00410423" w:rsidRPr="00D07BBB">
        <w:rPr>
          <w:rFonts w:ascii="Book Antiqua" w:hAnsi="Book Antiqua"/>
          <w:szCs w:val="24"/>
          <w:lang w:val="es-ES"/>
        </w:rPr>
        <w:t xml:space="preserve"> luchar contra cualquier manifestación de violencia sexual. Se define la violencia sexual como un acto de coacción hacia una persona con el propósito de forzarla a ejecutar una conducta sexual en contra de su voluntad, acto que busca someter su cuerpo y su voluntad. El propósito de dicha ley es proveer mecanismos de protección a las víctimas, como las órdenes de protección, y devolverles control y seguridad sobre sus vidas.</w:t>
      </w:r>
    </w:p>
    <w:p w14:paraId="3F78E0FF" w14:textId="0E44475C" w:rsidR="00410423" w:rsidRPr="00D07BBB" w:rsidRDefault="004D713B"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410423" w:rsidRPr="00D07BBB">
        <w:rPr>
          <w:rFonts w:ascii="Book Antiqua" w:hAnsi="Book Antiqua"/>
          <w:szCs w:val="24"/>
          <w:lang w:val="es-ES"/>
        </w:rPr>
        <w:t xml:space="preserve">En conjunto, estas disposiciones demuestran que el ordenamiento jurídico de Puerto Rico concibe la violencia de género como un fenómeno amplio y multifacético que incluye dimensiones físicas, sexuales, psicológicas, económicas y digitales. La Asamblea Legislativa ha reafirmado en múltiples ocasiones que la prevención, intervención y erradicación de la violencia de género es una política pública prioritaria del Estado, que debe apoyarse con estrategias de educación, protección, investigación y coordinación </w:t>
      </w:r>
      <w:proofErr w:type="spellStart"/>
      <w:r w:rsidR="00410423" w:rsidRPr="00D07BBB">
        <w:rPr>
          <w:rFonts w:ascii="Book Antiqua" w:hAnsi="Book Antiqua"/>
          <w:szCs w:val="24"/>
          <w:lang w:val="es-ES"/>
        </w:rPr>
        <w:t>interagencial</w:t>
      </w:r>
      <w:proofErr w:type="spellEnd"/>
      <w:r w:rsidR="00410423" w:rsidRPr="00D07BBB">
        <w:rPr>
          <w:rFonts w:ascii="Book Antiqua" w:hAnsi="Book Antiqua"/>
          <w:szCs w:val="24"/>
          <w:lang w:val="es-ES"/>
        </w:rPr>
        <w:t>.</w:t>
      </w:r>
    </w:p>
    <w:p w14:paraId="645A7A37" w14:textId="77777777" w:rsidR="00A52CD9" w:rsidRPr="00D07BBB" w:rsidRDefault="00A52CD9" w:rsidP="00AB6B77">
      <w:pPr>
        <w:tabs>
          <w:tab w:val="left" w:pos="-720"/>
        </w:tabs>
        <w:suppressAutoHyphens/>
        <w:jc w:val="both"/>
        <w:rPr>
          <w:rFonts w:ascii="Book Antiqua" w:hAnsi="Book Antiqua"/>
          <w:szCs w:val="24"/>
          <w:lang w:val="es-ES"/>
        </w:rPr>
      </w:pPr>
    </w:p>
    <w:p w14:paraId="51D2D11B" w14:textId="77777777" w:rsidR="00986DB4" w:rsidRPr="00D07BBB" w:rsidRDefault="00986DB4" w:rsidP="00AB6B77">
      <w:pPr>
        <w:tabs>
          <w:tab w:val="left" w:pos="-720"/>
        </w:tabs>
        <w:suppressAutoHyphens/>
        <w:jc w:val="center"/>
        <w:rPr>
          <w:rFonts w:ascii="Book Antiqua" w:hAnsi="Book Antiqua"/>
          <w:b/>
          <w:bCs/>
          <w:smallCaps/>
          <w:szCs w:val="24"/>
          <w:lang w:val="es-ES"/>
        </w:rPr>
      </w:pPr>
      <w:r w:rsidRPr="00D07BBB">
        <w:rPr>
          <w:rFonts w:ascii="Book Antiqua" w:hAnsi="Book Antiqua"/>
          <w:b/>
          <w:bCs/>
          <w:smallCaps/>
          <w:szCs w:val="24"/>
          <w:lang w:val="es-ES"/>
        </w:rPr>
        <w:t>ALCANCE DEL INFORME</w:t>
      </w:r>
    </w:p>
    <w:p w14:paraId="1FACC95C" w14:textId="77777777" w:rsidR="00986DB4" w:rsidRPr="00D07BBB" w:rsidRDefault="00986DB4" w:rsidP="00AB6B77">
      <w:pPr>
        <w:tabs>
          <w:tab w:val="left" w:pos="-720"/>
        </w:tabs>
        <w:suppressAutoHyphens/>
        <w:ind w:firstLine="360"/>
        <w:jc w:val="both"/>
        <w:rPr>
          <w:rFonts w:ascii="Book Antiqua" w:hAnsi="Book Antiqua"/>
          <w:szCs w:val="24"/>
          <w:lang w:val="es-ES"/>
        </w:rPr>
      </w:pPr>
    </w:p>
    <w:p w14:paraId="3F4C6D72" w14:textId="67EB84AE" w:rsidR="00986DB4" w:rsidRPr="00D07BBB" w:rsidRDefault="00986DB4"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t xml:space="preserve">La Comisión de lo Jurídico del Senado de Puerto Rico, como parte del estudio y evaluación del P. del S. 537, </w:t>
      </w:r>
      <w:r w:rsidR="0048178B" w:rsidRPr="00D07BBB">
        <w:rPr>
          <w:rFonts w:ascii="Book Antiqua" w:hAnsi="Book Antiqua"/>
          <w:szCs w:val="24"/>
          <w:lang w:val="es-ES"/>
        </w:rPr>
        <w:t>solicitó los</w:t>
      </w:r>
      <w:r w:rsidRPr="00D07BBB">
        <w:rPr>
          <w:rFonts w:ascii="Book Antiqua" w:hAnsi="Book Antiqua"/>
          <w:szCs w:val="24"/>
          <w:lang w:val="es-ES"/>
        </w:rPr>
        <w:t xml:space="preserve"> comentarios del Departamento de Hacienda, la Policía de Puerto Rico, la Oficina de Innovación y Servicios de Tecnología (PRITS), la Comisión de Derechos Civiles, el Departamento de Justicia y el Departamento de Salud.</w:t>
      </w:r>
    </w:p>
    <w:p w14:paraId="20B03E98" w14:textId="55ACD382" w:rsidR="00872885" w:rsidRPr="00D07BBB" w:rsidRDefault="0048178B" w:rsidP="00883DF8">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t>La</w:t>
      </w:r>
      <w:r w:rsidR="00986DB4" w:rsidRPr="00D07BBB">
        <w:rPr>
          <w:rFonts w:ascii="Book Antiqua" w:hAnsi="Book Antiqua"/>
          <w:szCs w:val="24"/>
          <w:lang w:val="es-ES"/>
        </w:rPr>
        <w:t xml:space="preserve"> Comisión recibió memoriales explicativos y comentarios de las siguientes entidades:</w:t>
      </w:r>
    </w:p>
    <w:p w14:paraId="564A558C" w14:textId="77777777" w:rsidR="00986DB4" w:rsidRPr="00D07BBB" w:rsidRDefault="00986DB4" w:rsidP="00AB6B77">
      <w:pPr>
        <w:numPr>
          <w:ilvl w:val="0"/>
          <w:numId w:val="8"/>
        </w:numPr>
        <w:tabs>
          <w:tab w:val="left" w:pos="-720"/>
        </w:tabs>
        <w:suppressAutoHyphens/>
        <w:jc w:val="both"/>
        <w:rPr>
          <w:rFonts w:ascii="Book Antiqua" w:hAnsi="Book Antiqua"/>
          <w:szCs w:val="24"/>
          <w:lang w:val="es-ES"/>
        </w:rPr>
      </w:pPr>
      <w:r w:rsidRPr="00D07BBB">
        <w:rPr>
          <w:rFonts w:ascii="Book Antiqua" w:hAnsi="Book Antiqua"/>
          <w:szCs w:val="24"/>
          <w:lang w:val="es-ES"/>
        </w:rPr>
        <w:t>Oficina de la Procuradora de las Mujeres,</w:t>
      </w:r>
    </w:p>
    <w:p w14:paraId="7CC0BA7E" w14:textId="77777777" w:rsidR="00986DB4" w:rsidRPr="00D07BBB" w:rsidRDefault="00986DB4" w:rsidP="00AB6B77">
      <w:pPr>
        <w:numPr>
          <w:ilvl w:val="0"/>
          <w:numId w:val="8"/>
        </w:numPr>
        <w:tabs>
          <w:tab w:val="left" w:pos="-720"/>
        </w:tabs>
        <w:suppressAutoHyphens/>
        <w:jc w:val="both"/>
        <w:rPr>
          <w:rFonts w:ascii="Book Antiqua" w:hAnsi="Book Antiqua"/>
          <w:szCs w:val="24"/>
          <w:lang w:val="es-ES"/>
        </w:rPr>
      </w:pPr>
      <w:r w:rsidRPr="00D07BBB">
        <w:rPr>
          <w:rFonts w:ascii="Book Antiqua" w:hAnsi="Book Antiqua"/>
          <w:szCs w:val="24"/>
          <w:lang w:val="es-ES"/>
        </w:rPr>
        <w:t>Instituto de Estadísticas de Puerto Rico,</w:t>
      </w:r>
    </w:p>
    <w:p w14:paraId="08BF5D6D" w14:textId="77777777" w:rsidR="00986DB4" w:rsidRPr="00D07BBB" w:rsidRDefault="00986DB4" w:rsidP="00AB6B77">
      <w:pPr>
        <w:numPr>
          <w:ilvl w:val="0"/>
          <w:numId w:val="8"/>
        </w:numPr>
        <w:tabs>
          <w:tab w:val="left" w:pos="-720"/>
        </w:tabs>
        <w:suppressAutoHyphens/>
        <w:jc w:val="both"/>
        <w:rPr>
          <w:rFonts w:ascii="Book Antiqua" w:hAnsi="Book Antiqua"/>
          <w:szCs w:val="24"/>
          <w:lang w:val="es-ES"/>
        </w:rPr>
      </w:pPr>
      <w:r w:rsidRPr="00D07BBB">
        <w:rPr>
          <w:rFonts w:ascii="Book Antiqua" w:hAnsi="Book Antiqua"/>
          <w:szCs w:val="24"/>
          <w:lang w:val="es-ES"/>
        </w:rPr>
        <w:t>Oficina del Contralor de Puerto Rico,</w:t>
      </w:r>
    </w:p>
    <w:p w14:paraId="306FD66C" w14:textId="5261B603" w:rsidR="00986DB4" w:rsidRPr="00D07BBB" w:rsidRDefault="00986DB4" w:rsidP="00AB6B77">
      <w:pPr>
        <w:numPr>
          <w:ilvl w:val="0"/>
          <w:numId w:val="8"/>
        </w:numPr>
        <w:tabs>
          <w:tab w:val="left" w:pos="-720"/>
        </w:tabs>
        <w:suppressAutoHyphens/>
        <w:jc w:val="both"/>
        <w:rPr>
          <w:rFonts w:ascii="Book Antiqua" w:hAnsi="Book Antiqua"/>
          <w:szCs w:val="24"/>
          <w:lang w:val="es-ES"/>
        </w:rPr>
      </w:pPr>
      <w:r w:rsidRPr="00D07BBB">
        <w:rPr>
          <w:rFonts w:ascii="Book Antiqua" w:hAnsi="Book Antiqua"/>
          <w:szCs w:val="24"/>
          <w:lang w:val="es-ES"/>
        </w:rPr>
        <w:t>Oficina de Administración de los Tribunales y</w:t>
      </w:r>
    </w:p>
    <w:p w14:paraId="4544DEB9" w14:textId="623A64A6" w:rsidR="00872885" w:rsidRPr="00883DF8" w:rsidRDefault="00986DB4" w:rsidP="00883DF8">
      <w:pPr>
        <w:numPr>
          <w:ilvl w:val="0"/>
          <w:numId w:val="8"/>
        </w:numPr>
        <w:tabs>
          <w:tab w:val="left" w:pos="-720"/>
        </w:tabs>
        <w:suppressAutoHyphens/>
        <w:jc w:val="both"/>
        <w:rPr>
          <w:rFonts w:ascii="Book Antiqua" w:hAnsi="Book Antiqua"/>
          <w:szCs w:val="24"/>
          <w:lang w:val="es-ES"/>
        </w:rPr>
      </w:pPr>
      <w:r w:rsidRPr="00D07BBB">
        <w:rPr>
          <w:rFonts w:ascii="Book Antiqua" w:hAnsi="Book Antiqua"/>
          <w:szCs w:val="24"/>
          <w:lang w:val="es-ES"/>
        </w:rPr>
        <w:t>Departamento de la Familia.</w:t>
      </w:r>
    </w:p>
    <w:p w14:paraId="490B674E" w14:textId="5219317C" w:rsidR="00986DB4" w:rsidRPr="00D07BBB" w:rsidRDefault="00986DB4"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Sus comparecencias y memoriales permitieron evaluar la viabilidad técnica, presupuestaria y jurídica del proyecto, así como la necesidad de articular el SURI-VG como herramienta de política pública basada en evidencia.</w:t>
      </w:r>
      <w:r w:rsidR="008D2401" w:rsidRPr="00D07BBB">
        <w:rPr>
          <w:rFonts w:ascii="Book Antiqua" w:hAnsi="Book Antiqua"/>
          <w:szCs w:val="24"/>
          <w:lang w:val="es-ES"/>
        </w:rPr>
        <w:t xml:space="preserve"> De igual forma, la Comisión consultó el impacto fiscal de la medida con la Oficina de Presupuesto de la Asamblea Legislativa. </w:t>
      </w:r>
    </w:p>
    <w:p w14:paraId="0EC32890" w14:textId="77777777" w:rsidR="003D1E44" w:rsidRPr="00D07BBB" w:rsidRDefault="003D1E44" w:rsidP="00AB6B77">
      <w:pPr>
        <w:tabs>
          <w:tab w:val="left" w:pos="-720"/>
        </w:tabs>
        <w:suppressAutoHyphens/>
        <w:ind w:firstLine="360"/>
        <w:jc w:val="both"/>
        <w:rPr>
          <w:rFonts w:ascii="Book Antiqua" w:hAnsi="Book Antiqua"/>
          <w:szCs w:val="24"/>
          <w:lang w:val="es-ES"/>
        </w:rPr>
      </w:pPr>
    </w:p>
    <w:p w14:paraId="43FF112E" w14:textId="71D93ACC" w:rsidR="003D1E44" w:rsidRPr="00D07BBB" w:rsidRDefault="003D1E44" w:rsidP="00AB6B77">
      <w:pPr>
        <w:tabs>
          <w:tab w:val="left" w:pos="-720"/>
        </w:tabs>
        <w:suppressAutoHyphens/>
        <w:jc w:val="center"/>
        <w:rPr>
          <w:rFonts w:ascii="Book Antiqua" w:hAnsi="Book Antiqua"/>
          <w:b/>
          <w:bCs/>
          <w:szCs w:val="24"/>
          <w:lang w:val="es-ES"/>
        </w:rPr>
      </w:pPr>
      <w:r w:rsidRPr="00D07BBB">
        <w:rPr>
          <w:rFonts w:ascii="Book Antiqua" w:hAnsi="Book Antiqua"/>
          <w:b/>
          <w:bCs/>
          <w:szCs w:val="24"/>
          <w:lang w:val="es-ES"/>
        </w:rPr>
        <w:t>OFICINA DE LA PROCURADORA DE LAS MUJERES</w:t>
      </w:r>
    </w:p>
    <w:p w14:paraId="128C174E" w14:textId="77777777" w:rsidR="003D1E44" w:rsidRPr="00D07BBB" w:rsidRDefault="003D1E44" w:rsidP="00AB6B77">
      <w:pPr>
        <w:tabs>
          <w:tab w:val="left" w:pos="-720"/>
        </w:tabs>
        <w:suppressAutoHyphens/>
        <w:jc w:val="both"/>
        <w:rPr>
          <w:rFonts w:ascii="Book Antiqua" w:hAnsi="Book Antiqua"/>
          <w:szCs w:val="24"/>
          <w:lang w:val="es-ES"/>
        </w:rPr>
      </w:pPr>
    </w:p>
    <w:p w14:paraId="2F8CA17A" w14:textId="5D5F5E78" w:rsidR="003D1E44" w:rsidRPr="00D07BBB" w:rsidRDefault="00872885"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D1E44" w:rsidRPr="00D07BBB">
        <w:rPr>
          <w:rFonts w:ascii="Book Antiqua" w:hAnsi="Book Antiqua"/>
          <w:szCs w:val="24"/>
          <w:lang w:val="es-ES"/>
        </w:rPr>
        <w:t>La Oficina de la Procuradora de las Mujeres (OPM) favorece la aprobación del P. del S. 537. A juicio de la OPM, la medida responde a una necesidad urgente: contar con un sistema unificado de datos confiables y comparables para atender de forma efectiva la violencia de género en Puerto Rico.</w:t>
      </w:r>
    </w:p>
    <w:p w14:paraId="411BA4A1" w14:textId="6A178E6A" w:rsidR="003D1E44" w:rsidRPr="00D07BBB" w:rsidRDefault="00872885"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D1E44" w:rsidRPr="00D07BBB">
        <w:rPr>
          <w:rFonts w:ascii="Book Antiqua" w:hAnsi="Book Antiqua"/>
          <w:szCs w:val="24"/>
          <w:lang w:val="es-ES"/>
        </w:rPr>
        <w:t xml:space="preserve">La OPM expuso que </w:t>
      </w:r>
      <w:r w:rsidR="00C012FE" w:rsidRPr="00D07BBB">
        <w:rPr>
          <w:rFonts w:ascii="Book Antiqua" w:hAnsi="Book Antiqua"/>
          <w:szCs w:val="24"/>
          <w:lang w:val="es-ES"/>
        </w:rPr>
        <w:t>actualmente</w:t>
      </w:r>
      <w:r w:rsidR="003D1E44" w:rsidRPr="00D07BBB">
        <w:rPr>
          <w:rFonts w:ascii="Book Antiqua" w:hAnsi="Book Antiqua"/>
          <w:szCs w:val="24"/>
          <w:lang w:val="es-ES"/>
        </w:rPr>
        <w:t xml:space="preserve"> los sistemas de recopilación de datos son fragmentados, con duplicidad, subregistros y vacíos. Esto impide diagnosticar con precisión la magnitud del problema, identificar patrones de riesgo, evaluar la efectividad de programas e intervenciones, coordinar respuestas multisectoriales en tiempo real y, en general, diseñar política pública basada en evidencia. Como ejemplo negativo, resaltaron que la falta de acceso a información </w:t>
      </w:r>
      <w:proofErr w:type="spellStart"/>
      <w:r w:rsidR="003D1E44" w:rsidRPr="00D07BBB">
        <w:rPr>
          <w:rFonts w:ascii="Book Antiqua" w:hAnsi="Book Antiqua"/>
          <w:szCs w:val="24"/>
          <w:lang w:val="es-ES"/>
        </w:rPr>
        <w:t>interagencial</w:t>
      </w:r>
      <w:proofErr w:type="spellEnd"/>
      <w:r w:rsidR="003D1E44" w:rsidRPr="00D07BBB">
        <w:rPr>
          <w:rFonts w:ascii="Book Antiqua" w:hAnsi="Book Antiqua"/>
          <w:szCs w:val="24"/>
          <w:lang w:val="es-ES"/>
        </w:rPr>
        <w:t xml:space="preserve"> en tiempo real ha limitado la capacidad del Estado para dar seguimiento a víctimas, fiscalizar órdenes de protección y manejar casos complejos.</w:t>
      </w:r>
    </w:p>
    <w:p w14:paraId="5C879020" w14:textId="2E22D43D" w:rsidR="003D1E44" w:rsidRPr="00D07BBB" w:rsidRDefault="008B099E"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D1E44" w:rsidRPr="00D07BBB">
        <w:rPr>
          <w:rFonts w:ascii="Book Antiqua" w:hAnsi="Book Antiqua"/>
          <w:szCs w:val="24"/>
          <w:lang w:val="es-ES"/>
        </w:rPr>
        <w:t>La OPM destacó como positivo que el Instituto de Estadísticas sea el administrador del Sistema Unificado de Reportes de Incidentes de Violencia de Género (SURI-VG). Reconocen que el Instituto cuenta con la experiencia y peritaje para fijar estándares uniformes y asegurar independencia operacional. Además, subrayaron que el sistema debe ser interoperable y cumplir con altos estándares de privacidad y anonimato para que las agencias puedan compartir y auditar información sin poner en riesgo la confidencialidad de las víctimas.</w:t>
      </w:r>
    </w:p>
    <w:p w14:paraId="57B0FB15" w14:textId="58AA051C" w:rsidR="003D1E44" w:rsidRPr="00D07BBB" w:rsidRDefault="00D4745D"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lastRenderedPageBreak/>
        <w:tab/>
      </w:r>
      <w:r w:rsidR="003D1E44" w:rsidRPr="00D07BBB">
        <w:rPr>
          <w:rFonts w:ascii="Book Antiqua" w:hAnsi="Book Antiqua"/>
          <w:szCs w:val="24"/>
          <w:lang w:val="es-ES"/>
        </w:rPr>
        <w:t xml:space="preserve">En conclusión, la OPM apoya la aprobación del P. del S. 537 y lo ve como un paso estratégico para institucionalizar una política pública fundamentada en evidencia, con coordinación </w:t>
      </w:r>
      <w:proofErr w:type="spellStart"/>
      <w:r w:rsidR="003D1E44" w:rsidRPr="00D07BBB">
        <w:rPr>
          <w:rFonts w:ascii="Book Antiqua" w:hAnsi="Book Antiqua"/>
          <w:szCs w:val="24"/>
          <w:lang w:val="es-ES"/>
        </w:rPr>
        <w:t>interagencial</w:t>
      </w:r>
      <w:proofErr w:type="spellEnd"/>
      <w:r w:rsidR="003D1E44" w:rsidRPr="00D07BBB">
        <w:rPr>
          <w:rFonts w:ascii="Book Antiqua" w:hAnsi="Book Antiqua"/>
          <w:szCs w:val="24"/>
          <w:lang w:val="es-ES"/>
        </w:rPr>
        <w:t xml:space="preserve"> y transparencia. La oficina reafirmó su disposición de continuar colaborando con la Comisión de lo Jurídico en el desarrollo e implantación de esta medida.</w:t>
      </w:r>
    </w:p>
    <w:p w14:paraId="3A1467D1" w14:textId="77777777" w:rsidR="003D1E44" w:rsidRPr="00D07BBB" w:rsidRDefault="003D1E44" w:rsidP="00AB6B77">
      <w:pPr>
        <w:tabs>
          <w:tab w:val="left" w:pos="-720"/>
        </w:tabs>
        <w:suppressAutoHyphens/>
        <w:ind w:firstLine="360"/>
        <w:jc w:val="both"/>
        <w:rPr>
          <w:rFonts w:ascii="Book Antiqua" w:hAnsi="Book Antiqua"/>
          <w:szCs w:val="24"/>
          <w:lang w:val="es-ES"/>
        </w:rPr>
      </w:pPr>
    </w:p>
    <w:p w14:paraId="405B97DA" w14:textId="1D026E2A" w:rsidR="003D1E44" w:rsidRPr="00D07BBB" w:rsidRDefault="003D1E44" w:rsidP="00AB6B77">
      <w:pPr>
        <w:tabs>
          <w:tab w:val="left" w:pos="-720"/>
        </w:tabs>
        <w:suppressAutoHyphens/>
        <w:jc w:val="center"/>
        <w:rPr>
          <w:rFonts w:ascii="Book Antiqua" w:hAnsi="Book Antiqua"/>
          <w:b/>
          <w:bCs/>
          <w:szCs w:val="24"/>
          <w:lang w:val="es-ES"/>
        </w:rPr>
      </w:pPr>
      <w:r w:rsidRPr="00D07BBB">
        <w:rPr>
          <w:rFonts w:ascii="Book Antiqua" w:hAnsi="Book Antiqua"/>
          <w:b/>
          <w:bCs/>
          <w:szCs w:val="24"/>
          <w:lang w:val="es-ES"/>
        </w:rPr>
        <w:t>INSTITUTO DE ESTADÍSTICAS DE PUERTO RICO</w:t>
      </w:r>
    </w:p>
    <w:p w14:paraId="427317B5" w14:textId="77777777" w:rsidR="003177A7" w:rsidRPr="00D07BBB" w:rsidRDefault="003177A7" w:rsidP="00AB6B77">
      <w:pPr>
        <w:tabs>
          <w:tab w:val="left" w:pos="-720"/>
        </w:tabs>
        <w:suppressAutoHyphens/>
        <w:jc w:val="center"/>
        <w:rPr>
          <w:rFonts w:ascii="Book Antiqua" w:hAnsi="Book Antiqua"/>
          <w:b/>
          <w:bCs/>
          <w:szCs w:val="24"/>
          <w:lang w:val="es-ES"/>
        </w:rPr>
      </w:pPr>
    </w:p>
    <w:p w14:paraId="1DBAB60F" w14:textId="0D92DEF6" w:rsidR="003177A7" w:rsidRPr="00D07BBB" w:rsidRDefault="00D4745D"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177A7" w:rsidRPr="00D07BBB">
        <w:rPr>
          <w:rFonts w:ascii="Book Antiqua" w:hAnsi="Book Antiqua"/>
          <w:szCs w:val="24"/>
          <w:lang w:val="es-ES"/>
        </w:rPr>
        <w:t>El Instituto de Estadísticas de Puerto Rico (IEPR) apoya la aprobación del P. del S. 537. Señaló que la medida está en plena sintonía con su mandato legal de coordinar y estandarizar los sistemas estadísticos del Gobierno. Además, recordó que ya administra plataformas de datos sobre violencia de género y feminicidios, por lo que el SURI-VG debe construirse sobre esas bases y mantenerse bajo su supervisión.</w:t>
      </w:r>
    </w:p>
    <w:p w14:paraId="1EE71F2A" w14:textId="00B34041" w:rsidR="003177A7" w:rsidRPr="00D07BBB" w:rsidRDefault="00434BB0"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177A7" w:rsidRPr="00D07BBB">
        <w:rPr>
          <w:rFonts w:ascii="Book Antiqua" w:hAnsi="Book Antiqua"/>
          <w:szCs w:val="24"/>
          <w:lang w:val="es-ES"/>
        </w:rPr>
        <w:t>El IEPR enfatizó, sin embargo, que el éxito del sistema dependerá de atender varias condiciones esenciales. Primero, la ley debe garantizar una asignación presupuestaria recurrente, pues la experiencia con la Ley 40-2021</w:t>
      </w:r>
      <w:r w:rsidR="00133C3E" w:rsidRPr="00D07BBB">
        <w:rPr>
          <w:rStyle w:val="FootnoteReference"/>
          <w:rFonts w:ascii="Book Antiqua" w:hAnsi="Book Antiqua"/>
          <w:szCs w:val="24"/>
          <w:lang w:val="es-ES"/>
        </w:rPr>
        <w:footnoteReference w:id="1"/>
      </w:r>
      <w:r w:rsidR="003177A7" w:rsidRPr="00D07BBB">
        <w:rPr>
          <w:rFonts w:ascii="Book Antiqua" w:hAnsi="Book Antiqua"/>
          <w:szCs w:val="24"/>
          <w:lang w:val="es-ES"/>
        </w:rPr>
        <w:t xml:space="preserve"> demostró que mandatos sin fondos quedan inoperantes. Segundo, urge establecer definiciones operacionales uniformes para que los datos de las distintas agencias sean comparables. Tercero, se requiere reforzar la protección de la privacidad, con el anonimato, controles de acceso y protocolos de seguridad estrictos.</w:t>
      </w:r>
    </w:p>
    <w:p w14:paraId="23A34D33" w14:textId="68F6AB36" w:rsidR="003177A7" w:rsidRPr="00D07BBB" w:rsidRDefault="003515C5"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177A7" w:rsidRPr="00D07BBB">
        <w:rPr>
          <w:rFonts w:ascii="Book Antiqua" w:hAnsi="Book Antiqua"/>
          <w:szCs w:val="24"/>
          <w:lang w:val="es-ES"/>
        </w:rPr>
        <w:t xml:space="preserve">El Instituto también recomendó incluir capacitaciones al personal de todas las agencias que manejarán la información, así como asegurar la armonización legislativa con la Ley 40-2021 para evitar duplicidad de esfuerzos. Propuso la creación de un comité técnico </w:t>
      </w:r>
      <w:proofErr w:type="spellStart"/>
      <w:r w:rsidR="003177A7" w:rsidRPr="00D07BBB">
        <w:rPr>
          <w:rFonts w:ascii="Book Antiqua" w:hAnsi="Book Antiqua"/>
          <w:szCs w:val="24"/>
          <w:lang w:val="es-ES"/>
        </w:rPr>
        <w:t>interagencial</w:t>
      </w:r>
      <w:proofErr w:type="spellEnd"/>
      <w:r w:rsidR="003177A7" w:rsidRPr="00D07BBB">
        <w:rPr>
          <w:rFonts w:ascii="Book Antiqua" w:hAnsi="Book Antiqua"/>
          <w:szCs w:val="24"/>
          <w:lang w:val="es-ES"/>
        </w:rPr>
        <w:t xml:space="preserve"> permanente para supervisar la implementación y resolver problemas operativos. Además, sugirió que la ley ordene la publicación periódica de informes analíticos para que los datos se traduzcan en conocimiento útil para la toma de decisiones.</w:t>
      </w:r>
    </w:p>
    <w:p w14:paraId="3099DAFB" w14:textId="65739CA9" w:rsidR="003177A7" w:rsidRPr="00D07BBB" w:rsidRDefault="00E20211"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177A7" w:rsidRPr="00D07BBB">
        <w:rPr>
          <w:rFonts w:ascii="Book Antiqua" w:hAnsi="Book Antiqua"/>
          <w:szCs w:val="24"/>
          <w:lang w:val="es-ES"/>
        </w:rPr>
        <w:t xml:space="preserve">En conclusión, el IEPR respaldó el P. del S. 537 como un “esfuerzo clave” para atender la violencia de género. No obstante, advirtió que sin recursos fiscales recurrentes el sistema no será sostenible y subrayó que su efectividad dependerá de la colaboración </w:t>
      </w:r>
      <w:proofErr w:type="spellStart"/>
      <w:r w:rsidR="003177A7" w:rsidRPr="00D07BBB">
        <w:rPr>
          <w:rFonts w:ascii="Book Antiqua" w:hAnsi="Book Antiqua"/>
          <w:szCs w:val="24"/>
          <w:lang w:val="es-ES"/>
        </w:rPr>
        <w:t>interagencial</w:t>
      </w:r>
      <w:proofErr w:type="spellEnd"/>
      <w:r w:rsidR="003177A7" w:rsidRPr="00D07BBB">
        <w:rPr>
          <w:rFonts w:ascii="Book Antiqua" w:hAnsi="Book Antiqua"/>
          <w:szCs w:val="24"/>
          <w:lang w:val="es-ES"/>
        </w:rPr>
        <w:t xml:space="preserve"> y de la integración armónica con legislación vigente.</w:t>
      </w:r>
    </w:p>
    <w:p w14:paraId="0EDF753A" w14:textId="77777777" w:rsidR="003177A7" w:rsidRPr="00D07BBB" w:rsidRDefault="003177A7" w:rsidP="00AB6B77">
      <w:pPr>
        <w:tabs>
          <w:tab w:val="left" w:pos="-720"/>
        </w:tabs>
        <w:suppressAutoHyphens/>
        <w:jc w:val="both"/>
        <w:rPr>
          <w:rFonts w:ascii="Book Antiqua" w:hAnsi="Book Antiqua"/>
          <w:szCs w:val="24"/>
          <w:lang w:val="es-ES"/>
        </w:rPr>
      </w:pPr>
    </w:p>
    <w:p w14:paraId="626417CA" w14:textId="5AA847DF" w:rsidR="003177A7" w:rsidRPr="00D07BBB" w:rsidRDefault="003177A7" w:rsidP="00AB6B77">
      <w:pPr>
        <w:tabs>
          <w:tab w:val="left" w:pos="-720"/>
        </w:tabs>
        <w:suppressAutoHyphens/>
        <w:jc w:val="center"/>
        <w:rPr>
          <w:rFonts w:ascii="Book Antiqua" w:hAnsi="Book Antiqua"/>
          <w:b/>
          <w:bCs/>
          <w:szCs w:val="24"/>
          <w:lang w:val="es-ES"/>
        </w:rPr>
      </w:pPr>
      <w:r w:rsidRPr="00D07BBB">
        <w:rPr>
          <w:rFonts w:ascii="Book Antiqua" w:hAnsi="Book Antiqua"/>
          <w:b/>
          <w:bCs/>
          <w:szCs w:val="24"/>
          <w:lang w:val="es-ES"/>
        </w:rPr>
        <w:t>OFICINA DEL CONTRALOR DE PUERTO RICO</w:t>
      </w:r>
    </w:p>
    <w:p w14:paraId="11A6F11E" w14:textId="77777777" w:rsidR="003177A7" w:rsidRPr="00D07BBB" w:rsidRDefault="003177A7" w:rsidP="00AB6B77">
      <w:pPr>
        <w:tabs>
          <w:tab w:val="left" w:pos="-720"/>
        </w:tabs>
        <w:suppressAutoHyphens/>
        <w:jc w:val="center"/>
        <w:rPr>
          <w:rFonts w:ascii="Book Antiqua" w:hAnsi="Book Antiqua"/>
          <w:b/>
          <w:bCs/>
          <w:szCs w:val="24"/>
          <w:lang w:val="es-ES"/>
        </w:rPr>
      </w:pPr>
    </w:p>
    <w:p w14:paraId="01C0C57B" w14:textId="055AE8F6" w:rsidR="003177A7" w:rsidRPr="00D07BBB" w:rsidRDefault="00E20211"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177A7" w:rsidRPr="00D07BBB">
        <w:rPr>
          <w:rFonts w:ascii="Book Antiqua" w:hAnsi="Book Antiqua"/>
          <w:szCs w:val="24"/>
          <w:lang w:val="es-ES"/>
        </w:rPr>
        <w:t xml:space="preserve">La Oficina del Contralor de Puerto Rico (OCPR) reconoció que el P. del S. 537 busca institucionalizar un sistema digital </w:t>
      </w:r>
      <w:proofErr w:type="spellStart"/>
      <w:r w:rsidR="003177A7" w:rsidRPr="00D07BBB">
        <w:rPr>
          <w:rFonts w:ascii="Book Antiqua" w:hAnsi="Book Antiqua"/>
          <w:szCs w:val="24"/>
          <w:lang w:val="es-ES"/>
        </w:rPr>
        <w:t>interagencial</w:t>
      </w:r>
      <w:proofErr w:type="spellEnd"/>
      <w:r w:rsidR="003177A7" w:rsidRPr="00D07BBB">
        <w:rPr>
          <w:rFonts w:ascii="Book Antiqua" w:hAnsi="Book Antiqua"/>
          <w:szCs w:val="24"/>
          <w:lang w:val="es-ES"/>
        </w:rPr>
        <w:t xml:space="preserve"> con estándares uniformes para la recolección, clasificación y análisis de datos sobre violencia de género. Destacó que dicho sistema sería accesible a las agencias pertinentes y sujeto a supervisión técnica y auditoría independiente.</w:t>
      </w:r>
    </w:p>
    <w:p w14:paraId="5B64A482" w14:textId="0BA7D014" w:rsidR="003177A7" w:rsidRPr="00D07BBB" w:rsidRDefault="00E20211"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lastRenderedPageBreak/>
        <w:tab/>
      </w:r>
      <w:r w:rsidR="003177A7" w:rsidRPr="00D07BBB">
        <w:rPr>
          <w:rFonts w:ascii="Book Antiqua" w:hAnsi="Book Antiqua"/>
          <w:szCs w:val="24"/>
          <w:lang w:val="es-ES"/>
        </w:rPr>
        <w:t>La OCPR señaló que la violencia de género sigue siendo una de las crisis sociales más graves en Puerto Rico. A pesar de esfuerzos legislativos anteriores, todavía no existe un sistema robusto y unificado que permita articular respuestas coordinadas, asignar recursos estratégicamente y evaluar con precisión las políticas públicas.</w:t>
      </w:r>
    </w:p>
    <w:p w14:paraId="3F0806DA" w14:textId="3FE65746" w:rsidR="003177A7" w:rsidRPr="00D07BBB" w:rsidRDefault="00E20211"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177A7" w:rsidRPr="00D07BBB">
        <w:rPr>
          <w:rFonts w:ascii="Book Antiqua" w:hAnsi="Book Antiqua"/>
          <w:szCs w:val="24"/>
          <w:lang w:val="es-ES"/>
        </w:rPr>
        <w:t>En su análisis, la Oficina destacó las obligaciones principales que dispone el proyecto: la creación de la Ley para el Establecimiento del SURI-VG, la declaración de política pública en favor de un sistema digital estandarizado, la integración de datos de Policía, Justicia, Familia, Salud, OPM y el Poder Judicial, la obligación del Instituto de Estadísticas de publicar informes trimestrales con datos agregados y clasificados, y la realización de auditorías anuales por parte de la OCPR y la Comisión de Derechos Civiles.</w:t>
      </w:r>
    </w:p>
    <w:p w14:paraId="31FBB668" w14:textId="2DBC1352" w:rsidR="003177A7" w:rsidRPr="00D07BBB" w:rsidRDefault="000F29E3"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177A7" w:rsidRPr="00D07BBB">
        <w:rPr>
          <w:rFonts w:ascii="Book Antiqua" w:hAnsi="Book Antiqua"/>
          <w:szCs w:val="24"/>
          <w:lang w:val="es-ES"/>
        </w:rPr>
        <w:t>La Contralora aclaró que la OCPR no define ni promulga política pública. Su rol es estrictamente fiscalizador del uso de fondos públicos. Reiteró que respaldan toda medida que promueva transparencia e integridad en los procesos gubernamentales, pero enfatizó que la evaluación de política pública corresponde a otras entidades como Justicia, OPM, el Instituto de Estadísticas, la Policía y PRITS.</w:t>
      </w:r>
    </w:p>
    <w:p w14:paraId="20918C20" w14:textId="233E07B5" w:rsidR="003177A7" w:rsidRPr="00D07BBB" w:rsidRDefault="000F29E3"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177A7" w:rsidRPr="00D07BBB">
        <w:rPr>
          <w:rFonts w:ascii="Book Antiqua" w:hAnsi="Book Antiqua"/>
          <w:szCs w:val="24"/>
          <w:lang w:val="es-ES"/>
        </w:rPr>
        <w:t>En conclusión, la OCPR no se opone al P. del S. 537. Respalda la creación de sistemas que aumenten la transparencia y la confiabilidad de los datos, siempre que se implementen conforme a la ley. Sin embargo, limitó su intervención a subrayar que su función será auditar el uso y confiabilidad del sistema, no dirigir ni diseñar la política pública.</w:t>
      </w:r>
    </w:p>
    <w:p w14:paraId="65FAD256" w14:textId="77777777" w:rsidR="003177A7" w:rsidRPr="00D07BBB" w:rsidRDefault="003177A7" w:rsidP="00AB6B77">
      <w:pPr>
        <w:tabs>
          <w:tab w:val="left" w:pos="-720"/>
        </w:tabs>
        <w:suppressAutoHyphens/>
        <w:ind w:firstLine="360"/>
        <w:jc w:val="both"/>
        <w:rPr>
          <w:rFonts w:ascii="Book Antiqua" w:hAnsi="Book Antiqua"/>
          <w:szCs w:val="24"/>
          <w:lang w:val="es-ES"/>
        </w:rPr>
      </w:pPr>
    </w:p>
    <w:p w14:paraId="4C7CD94D" w14:textId="6775619C" w:rsidR="003177A7" w:rsidRPr="00D07BBB" w:rsidRDefault="003177A7" w:rsidP="00AB6B77">
      <w:pPr>
        <w:tabs>
          <w:tab w:val="left" w:pos="-720"/>
        </w:tabs>
        <w:suppressAutoHyphens/>
        <w:jc w:val="center"/>
        <w:rPr>
          <w:rFonts w:ascii="Book Antiqua" w:hAnsi="Book Antiqua"/>
          <w:b/>
          <w:bCs/>
          <w:szCs w:val="24"/>
          <w:lang w:val="es-ES"/>
        </w:rPr>
      </w:pPr>
      <w:r w:rsidRPr="00D07BBB">
        <w:rPr>
          <w:rFonts w:ascii="Book Antiqua" w:hAnsi="Book Antiqua"/>
          <w:b/>
          <w:bCs/>
          <w:szCs w:val="24"/>
          <w:lang w:val="es-ES"/>
        </w:rPr>
        <w:t>OFICINA DE LA ADMINISTRACIÓN DE LOS TRIBUNALES</w:t>
      </w:r>
    </w:p>
    <w:p w14:paraId="15C8A08D" w14:textId="77777777" w:rsidR="000F29E3" w:rsidRPr="00D07BBB" w:rsidRDefault="000F29E3" w:rsidP="00AB6B77">
      <w:pPr>
        <w:tabs>
          <w:tab w:val="left" w:pos="-720"/>
        </w:tabs>
        <w:suppressAutoHyphens/>
        <w:ind w:firstLine="360"/>
        <w:jc w:val="both"/>
        <w:rPr>
          <w:rFonts w:ascii="Book Antiqua" w:hAnsi="Book Antiqua"/>
          <w:szCs w:val="24"/>
          <w:lang w:val="es-ES"/>
        </w:rPr>
      </w:pPr>
    </w:p>
    <w:p w14:paraId="4A9934AB" w14:textId="1660F3C0" w:rsidR="003177A7" w:rsidRPr="00D07BBB" w:rsidRDefault="000F29E3"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177A7" w:rsidRPr="00D07BBB">
        <w:rPr>
          <w:rFonts w:ascii="Book Antiqua" w:hAnsi="Book Antiqua"/>
          <w:szCs w:val="24"/>
          <w:lang w:val="es-ES"/>
        </w:rPr>
        <w:t>El Poder Judicial de Puerto Rico, por conducto de la Oficina de Administración de los Tribunales (OAT), reconoció como un objetivo loable la creación de un sistema unificado de datos sobre violencia de género. Señaló su disposición a colaborar con el Instituto de Estadísticas, la OPM y PRITS, aportando la información estadística que ya produce y publica, como los datos sobre órdenes de protección disponibles en su portal y en sus anuarios estadísticos.</w:t>
      </w:r>
    </w:p>
    <w:p w14:paraId="7286642D" w14:textId="2073D6B5" w:rsidR="003177A7" w:rsidRPr="00D07BBB" w:rsidRDefault="000F29E3"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177A7" w:rsidRPr="00D07BBB">
        <w:rPr>
          <w:rFonts w:ascii="Book Antiqua" w:hAnsi="Book Antiqua"/>
          <w:szCs w:val="24"/>
          <w:lang w:val="es-ES"/>
        </w:rPr>
        <w:t>No obstante, el Tribunal planteó varias preocupaciones. En primer lugar, advirtió que el proyecto utiliza definiciones vagas. El Artículo 4 menciona querellas y procesos penales, pero no precisa qué delitos se incluyen bajo el concepto de violencia de género. Tampoco se especifica qué abarcan las intervenciones del Departamento de la Familia ni los casos del Departamento de Salud, lo que podría dejar la identificación de datos a discreción de cada agencia.</w:t>
      </w:r>
    </w:p>
    <w:p w14:paraId="28BE0D4F" w14:textId="3F9602C8" w:rsidR="003177A7" w:rsidRPr="00D07BBB" w:rsidRDefault="003B3ADC"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177A7" w:rsidRPr="00D07BBB">
        <w:rPr>
          <w:rFonts w:ascii="Book Antiqua" w:hAnsi="Book Antiqua"/>
          <w:szCs w:val="24"/>
          <w:lang w:val="es-ES"/>
        </w:rPr>
        <w:t xml:space="preserve">En segundo lugar, la OAT subrayó la necesidad de proteger la confidencialidad de la información judicial. Señaló que los datos sobre víctimas de violencia doméstica solo pueden compartirse con autorización expresa o bajo los parámetros legales ya vigentes, como los que establece la </w:t>
      </w:r>
      <w:r w:rsidR="002417AA" w:rsidRPr="00D07BBB">
        <w:rPr>
          <w:rFonts w:ascii="Book Antiqua" w:hAnsi="Book Antiqua"/>
          <w:szCs w:val="24"/>
          <w:lang w:val="es-ES"/>
        </w:rPr>
        <w:t xml:space="preserve">Ley Núm. 54 de 15 de agosto de 1989 </w:t>
      </w:r>
      <w:r w:rsidR="003177A7" w:rsidRPr="00D07BBB">
        <w:rPr>
          <w:rFonts w:ascii="Book Antiqua" w:hAnsi="Book Antiqua"/>
          <w:szCs w:val="24"/>
          <w:lang w:val="es-ES"/>
        </w:rPr>
        <w:t>y la Ley 148-2015.</w:t>
      </w:r>
    </w:p>
    <w:p w14:paraId="1E114606" w14:textId="3AB7FDF2" w:rsidR="003177A7" w:rsidRPr="00D07BBB" w:rsidRDefault="003B3ADC"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lastRenderedPageBreak/>
        <w:tab/>
      </w:r>
      <w:r w:rsidR="003177A7" w:rsidRPr="00D07BBB">
        <w:rPr>
          <w:rFonts w:ascii="Book Antiqua" w:hAnsi="Book Antiqua"/>
          <w:szCs w:val="24"/>
          <w:lang w:val="es-ES"/>
        </w:rPr>
        <w:t>En tercer lugar, expresó reservas sobre la carga administrativa y la autonomía judicial. Recordó que la OAT ya genera informes y estadísticas, y que imponer obligaciones duplicadas sin claridad puede ser problemático. Asimismo, destacó que cualquier mandato debe respetar la independencia del Poder Judicial en el manejo de la información bajo su custodia.</w:t>
      </w:r>
    </w:p>
    <w:p w14:paraId="17B8221C" w14:textId="1DDAAF94" w:rsidR="003177A7" w:rsidRPr="00D07BBB" w:rsidRDefault="003B3ADC"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177A7" w:rsidRPr="00D07BBB">
        <w:rPr>
          <w:rFonts w:ascii="Book Antiqua" w:hAnsi="Book Antiqua"/>
          <w:szCs w:val="24"/>
          <w:lang w:val="es-ES"/>
        </w:rPr>
        <w:t>Finalmente, señaló las dificultades que plantean las obligaciones técnicas previstas en el Artículo 6</w:t>
      </w:r>
      <w:r w:rsidR="00A57A51" w:rsidRPr="00D07BBB">
        <w:rPr>
          <w:rFonts w:ascii="Book Antiqua" w:hAnsi="Book Antiqua"/>
          <w:szCs w:val="24"/>
          <w:lang w:val="es-ES"/>
        </w:rPr>
        <w:t xml:space="preserve"> del proyecto</w:t>
      </w:r>
      <w:r w:rsidR="003177A7" w:rsidRPr="00D07BBB">
        <w:rPr>
          <w:rFonts w:ascii="Book Antiqua" w:hAnsi="Book Antiqua"/>
          <w:szCs w:val="24"/>
          <w:lang w:val="es-ES"/>
        </w:rPr>
        <w:t>. La exigencia de transmitir datos en tiempo real o mediante integraciones automatizadas implica costos y esfuerzos tecnológicos significativos, pero la medida no asigna presupuesto específico para atenderlos.</w:t>
      </w:r>
    </w:p>
    <w:p w14:paraId="0E013C0E" w14:textId="698E74C3" w:rsidR="003177A7" w:rsidRPr="00D07BBB" w:rsidRDefault="00A57A51"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177A7" w:rsidRPr="00D07BBB">
        <w:rPr>
          <w:rFonts w:ascii="Book Antiqua" w:hAnsi="Book Antiqua"/>
          <w:szCs w:val="24"/>
          <w:lang w:val="es-ES"/>
        </w:rPr>
        <w:t>En sus recomendaciones, la OAT pidió mayor precisión en las definiciones y categorías de datos, y reclamó que se establezca una asignación presupuestaria concreta. Solicitó, además, que se considere la viabilidad y disponibilidad de recursos tecnológicos del Poder Judicial. Concluyó que la amplitud del lenguaje legal puede generar discrecionalidad excesiva y que conviene aclarar los alcances del proyecto antes de su aprobación.</w:t>
      </w:r>
    </w:p>
    <w:p w14:paraId="60699B2F" w14:textId="19225F4B" w:rsidR="003177A7" w:rsidRPr="00D07BBB" w:rsidRDefault="00A57A51"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3177A7" w:rsidRPr="00D07BBB">
        <w:rPr>
          <w:rFonts w:ascii="Book Antiqua" w:hAnsi="Book Antiqua"/>
          <w:szCs w:val="24"/>
          <w:lang w:val="es-ES"/>
        </w:rPr>
        <w:t xml:space="preserve">En suma, </w:t>
      </w:r>
      <w:r w:rsidR="002417AA" w:rsidRPr="00D07BBB">
        <w:rPr>
          <w:rFonts w:ascii="Book Antiqua" w:hAnsi="Book Antiqua"/>
          <w:szCs w:val="24"/>
          <w:lang w:val="es-ES"/>
        </w:rPr>
        <w:t xml:space="preserve">la OAT </w:t>
      </w:r>
      <w:r w:rsidR="003177A7" w:rsidRPr="00D07BBB">
        <w:rPr>
          <w:rFonts w:ascii="Book Antiqua" w:hAnsi="Book Antiqua"/>
          <w:szCs w:val="24"/>
          <w:lang w:val="es-ES"/>
        </w:rPr>
        <w:t>expresó un apoyo condicionado. No se opone al SURI-VG, pero advirtió que el proyecto, tal como está redactado, presenta lenguaje demasiado amplio y ambiguo, carece de presupuesto definido, y debe proteger tanto la confidencialidad de la información como la autonomía judicial en la administración de los datos.</w:t>
      </w:r>
    </w:p>
    <w:p w14:paraId="1700D2FE" w14:textId="77777777" w:rsidR="002417AA" w:rsidRPr="00D07BBB" w:rsidRDefault="002417AA" w:rsidP="00AB6B77">
      <w:pPr>
        <w:tabs>
          <w:tab w:val="left" w:pos="-720"/>
        </w:tabs>
        <w:suppressAutoHyphens/>
        <w:ind w:firstLine="360"/>
        <w:jc w:val="both"/>
        <w:rPr>
          <w:rFonts w:ascii="Book Antiqua" w:hAnsi="Book Antiqua"/>
          <w:szCs w:val="24"/>
          <w:lang w:val="es-ES"/>
        </w:rPr>
      </w:pPr>
    </w:p>
    <w:p w14:paraId="64574B3A" w14:textId="5C8151FE" w:rsidR="002417AA" w:rsidRPr="00D07BBB" w:rsidRDefault="002417AA" w:rsidP="00AB6B77">
      <w:pPr>
        <w:tabs>
          <w:tab w:val="left" w:pos="-720"/>
        </w:tabs>
        <w:suppressAutoHyphens/>
        <w:jc w:val="center"/>
        <w:rPr>
          <w:rFonts w:ascii="Book Antiqua" w:hAnsi="Book Antiqua"/>
          <w:b/>
          <w:bCs/>
          <w:szCs w:val="24"/>
          <w:lang w:val="es-ES"/>
        </w:rPr>
      </w:pPr>
      <w:r w:rsidRPr="00D07BBB">
        <w:rPr>
          <w:rFonts w:ascii="Book Antiqua" w:hAnsi="Book Antiqua"/>
          <w:b/>
          <w:bCs/>
          <w:szCs w:val="24"/>
          <w:lang w:val="es-ES"/>
        </w:rPr>
        <w:t>DEPARTAMENTO DE LA FAMILIA</w:t>
      </w:r>
    </w:p>
    <w:p w14:paraId="5E46CFE7" w14:textId="77777777" w:rsidR="002417AA" w:rsidRPr="00D07BBB" w:rsidRDefault="002417AA" w:rsidP="00AB6B77">
      <w:pPr>
        <w:tabs>
          <w:tab w:val="left" w:pos="-720"/>
        </w:tabs>
        <w:suppressAutoHyphens/>
        <w:ind w:firstLine="360"/>
        <w:jc w:val="both"/>
        <w:rPr>
          <w:rFonts w:ascii="Book Antiqua" w:hAnsi="Book Antiqua"/>
          <w:szCs w:val="24"/>
          <w:lang w:val="es-ES"/>
        </w:rPr>
      </w:pPr>
    </w:p>
    <w:p w14:paraId="122C6C73" w14:textId="56AE7CC9" w:rsidR="002417AA" w:rsidRPr="00D07BBB" w:rsidRDefault="00A57A51"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2417AA" w:rsidRPr="00D07BBB">
        <w:rPr>
          <w:rFonts w:ascii="Book Antiqua" w:hAnsi="Book Antiqua"/>
          <w:szCs w:val="24"/>
          <w:lang w:val="es-ES"/>
        </w:rPr>
        <w:t>El Departamento de la Familia subrayó que es la agencia estatal encargada de ejecutar programas para atender problemas sociales como criminalidad, violencia doméstica, maltrato de menores, uso de drogas y deserción escolar. Recordó que su política pública está definida por la Ley Núm. 171 de 28 de junio de 1968 (Plan de Reorganización Núm. 1 de 1995), que le da jurisdicción sobre la protección de la niñez, la familia y la comunidad. Por ello, enfatizó que toda legislación que incida en estas áreas debe analizarse con cuidado para asegurar que sea cónsona con su mandato.</w:t>
      </w:r>
    </w:p>
    <w:p w14:paraId="4D491FF0" w14:textId="00CEC9E1" w:rsidR="002417AA" w:rsidRPr="00D07BBB" w:rsidRDefault="009E7980"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2417AA" w:rsidRPr="00D07BBB">
        <w:rPr>
          <w:rFonts w:ascii="Book Antiqua" w:hAnsi="Book Antiqua"/>
          <w:szCs w:val="24"/>
          <w:lang w:val="es-ES"/>
        </w:rPr>
        <w:t>En su diagnóstico, el Departamento de la Familia describió la violencia de género como una acción intencional del agresor para agredir, humillar o maltratar, anulando la personalidad de la víctima. Señaló que los casos han aumentado de forma notable en los últimos años, con crímenes notorios contra mujeres, y concluyó que el Estado debe continuar tomando medidas firmes para la prevención y erradicación de este problema.</w:t>
      </w:r>
    </w:p>
    <w:p w14:paraId="095B21D1" w14:textId="0B000263" w:rsidR="002417AA" w:rsidRPr="00D07BBB" w:rsidRDefault="009E7980"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2417AA" w:rsidRPr="00D07BBB">
        <w:rPr>
          <w:rFonts w:ascii="Book Antiqua" w:hAnsi="Book Antiqua"/>
          <w:szCs w:val="24"/>
          <w:lang w:val="es-ES"/>
        </w:rPr>
        <w:t xml:space="preserve">El Departamento de la Familia reconoció como correcta la política pública de crear el SURI-VG. Lo valoró como una plataforma digital unificada, interoperable y protegida que permitirá recopilar y monitorear datos relevantes. No obstante, resaltó que el proyecto impacta principalmente al Instituto de Estadísticas, por lo que recomendó que </w:t>
      </w:r>
      <w:r w:rsidRPr="00D07BBB">
        <w:rPr>
          <w:rFonts w:ascii="Book Antiqua" w:hAnsi="Book Antiqua"/>
          <w:szCs w:val="24"/>
          <w:lang w:val="es-ES"/>
        </w:rPr>
        <w:t>esta</w:t>
      </w:r>
      <w:r w:rsidR="002417AA" w:rsidRPr="00D07BBB">
        <w:rPr>
          <w:rFonts w:ascii="Book Antiqua" w:hAnsi="Book Antiqua"/>
          <w:szCs w:val="24"/>
          <w:lang w:val="es-ES"/>
        </w:rPr>
        <w:t xml:space="preserve"> Comisión consulte con dicho organismo para obtener las recomendaciones técnicas necesarias para su implementación.</w:t>
      </w:r>
    </w:p>
    <w:p w14:paraId="082D0A6C" w14:textId="20F1128A" w:rsidR="002417AA" w:rsidRPr="00D07BBB" w:rsidRDefault="009E7980"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lastRenderedPageBreak/>
        <w:tab/>
      </w:r>
      <w:r w:rsidR="002417AA" w:rsidRPr="00D07BBB">
        <w:rPr>
          <w:rFonts w:ascii="Book Antiqua" w:hAnsi="Book Antiqua"/>
          <w:szCs w:val="24"/>
          <w:lang w:val="es-ES"/>
        </w:rPr>
        <w:t>El Departamento recalcó que el Instituto de Estadísticas ya recopila información sobre feminicidios y violencia doméstica o sexual, clasificando datos por contexto, tipo de arma, género y edad. Consideró que esos mecanismos deben servir de base para el SURI-VG a fin de evitar duplicidad de esfuerzos. Reconoció, además, que el Instituto tiene el mandato de establecer criterios y normas uniformes para la recopilación y análisis de datos, lo que lo convierte en la entidad idónea para la administración técnica del sistema.</w:t>
      </w:r>
    </w:p>
    <w:p w14:paraId="47B3C129" w14:textId="30673649" w:rsidR="002417AA" w:rsidRPr="00D07BBB" w:rsidRDefault="006D1699"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2417AA" w:rsidRPr="00D07BBB">
        <w:rPr>
          <w:rFonts w:ascii="Book Antiqua" w:hAnsi="Book Antiqua"/>
          <w:szCs w:val="24"/>
          <w:lang w:val="es-ES"/>
        </w:rPr>
        <w:t>En conclusión, el Departamento de la Familia apoyó la aprobación del P. del S. 537 como medida que fortalecerá la política pública de prevención y atención de la violencia de género. Recomendó que la ejecución de la ley se apoye en el peritaje del Instituto de Estadísticas para garantizar objetividad, corrección y uniformidad en los datos. Reiteró su compromiso de fiscalizar y dar seguimiento a toda legislación que impacte a las familias, niños y adolescentes de Puerto Rico y afirmó que respaldará toda legislación que afiance el bienestar y la equidad.</w:t>
      </w:r>
    </w:p>
    <w:p w14:paraId="0F02E34B" w14:textId="77777777" w:rsidR="008D2401" w:rsidRPr="00D07BBB" w:rsidRDefault="008D2401" w:rsidP="00AB6B77">
      <w:pPr>
        <w:tabs>
          <w:tab w:val="left" w:pos="-720"/>
        </w:tabs>
        <w:suppressAutoHyphens/>
        <w:ind w:firstLine="360"/>
        <w:jc w:val="both"/>
        <w:rPr>
          <w:rFonts w:ascii="Book Antiqua" w:hAnsi="Book Antiqua"/>
          <w:szCs w:val="24"/>
          <w:lang w:val="es-ES"/>
        </w:rPr>
      </w:pPr>
    </w:p>
    <w:p w14:paraId="4B38B4A4" w14:textId="002A8E18" w:rsidR="008D2401" w:rsidRPr="00D07BBB" w:rsidRDefault="008D2401" w:rsidP="008D2401">
      <w:pPr>
        <w:tabs>
          <w:tab w:val="left" w:pos="-720"/>
        </w:tabs>
        <w:suppressAutoHyphens/>
        <w:ind w:firstLine="360"/>
        <w:jc w:val="center"/>
        <w:rPr>
          <w:rFonts w:ascii="Book Antiqua" w:hAnsi="Book Antiqua"/>
          <w:b/>
          <w:bCs/>
          <w:szCs w:val="24"/>
          <w:lang w:val="es-ES"/>
        </w:rPr>
      </w:pPr>
      <w:r w:rsidRPr="00D07BBB">
        <w:rPr>
          <w:rFonts w:ascii="Book Antiqua" w:hAnsi="Book Antiqua"/>
          <w:b/>
          <w:bCs/>
          <w:szCs w:val="24"/>
          <w:lang w:val="es-ES"/>
        </w:rPr>
        <w:t>OFICINA DE PRESUPUESTO DE LA ASAMBLEA LEGISLATIVA</w:t>
      </w:r>
    </w:p>
    <w:p w14:paraId="0EB9526F" w14:textId="77777777" w:rsidR="008D2401" w:rsidRPr="00D07BBB" w:rsidRDefault="008D2401" w:rsidP="00AB6B77">
      <w:pPr>
        <w:tabs>
          <w:tab w:val="left" w:pos="-720"/>
        </w:tabs>
        <w:suppressAutoHyphens/>
        <w:ind w:firstLine="360"/>
        <w:jc w:val="both"/>
        <w:rPr>
          <w:rFonts w:ascii="Book Antiqua" w:hAnsi="Book Antiqua"/>
          <w:szCs w:val="24"/>
          <w:lang w:val="es-ES"/>
        </w:rPr>
      </w:pPr>
    </w:p>
    <w:p w14:paraId="622BA2B9" w14:textId="72DFD368" w:rsidR="008D2401" w:rsidRPr="00D07BBB" w:rsidRDefault="008D2401" w:rsidP="004C4D4E">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t>La Oficina de Presupuesto de la Asamblea Legislativa (OPAL)</w:t>
      </w:r>
      <w:r w:rsidR="0016459A" w:rsidRPr="00D07BBB">
        <w:rPr>
          <w:rFonts w:ascii="Book Antiqua" w:hAnsi="Book Antiqua"/>
          <w:szCs w:val="24"/>
          <w:lang w:val="es-ES"/>
        </w:rPr>
        <w:t xml:space="preserve"> concluyó que la medida no tiene impacto fiscal ya que en la actualidad estos datos ya son compilados por el IEPR a través de sus bases de datos existentes sobre la violencia de genero. En ese sentido, la OPAL coligió que la medida no tiene impacto fiscal y que, de</w:t>
      </w:r>
      <w:r w:rsidR="004C4D4E" w:rsidRPr="00D07BBB">
        <w:rPr>
          <w:rFonts w:ascii="Book Antiqua" w:hAnsi="Book Antiqua"/>
          <w:szCs w:val="24"/>
          <w:lang w:val="es-ES"/>
        </w:rPr>
        <w:t xml:space="preserve"> </w:t>
      </w:r>
      <w:r w:rsidR="0016459A" w:rsidRPr="00D07BBB">
        <w:rPr>
          <w:rFonts w:ascii="Book Antiqua" w:hAnsi="Book Antiqua"/>
          <w:szCs w:val="24"/>
          <w:lang w:val="es-ES"/>
        </w:rPr>
        <w:t>tenerlo, representaría un gasto mínimo,</w:t>
      </w:r>
      <w:r w:rsidR="004C4D4E" w:rsidRPr="00D07BBB">
        <w:rPr>
          <w:rFonts w:ascii="Book Antiqua" w:hAnsi="Book Antiqua"/>
          <w:szCs w:val="24"/>
          <w:lang w:val="es-ES"/>
        </w:rPr>
        <w:t xml:space="preserve"> </w:t>
      </w:r>
      <w:r w:rsidR="0016459A" w:rsidRPr="00D07BBB">
        <w:rPr>
          <w:rFonts w:ascii="Book Antiqua" w:hAnsi="Book Antiqua"/>
          <w:szCs w:val="24"/>
          <w:lang w:val="es-ES"/>
        </w:rPr>
        <w:t>que podría ser asumido con los recursos</w:t>
      </w:r>
      <w:r w:rsidR="004C4D4E" w:rsidRPr="00D07BBB">
        <w:rPr>
          <w:rFonts w:ascii="Book Antiqua" w:hAnsi="Book Antiqua"/>
          <w:szCs w:val="24"/>
          <w:lang w:val="es-ES"/>
        </w:rPr>
        <w:t xml:space="preserve"> </w:t>
      </w:r>
      <w:r w:rsidR="0016459A" w:rsidRPr="00D07BBB">
        <w:rPr>
          <w:rFonts w:ascii="Book Antiqua" w:hAnsi="Book Antiqua"/>
          <w:szCs w:val="24"/>
          <w:lang w:val="es-ES"/>
        </w:rPr>
        <w:t>existentes de la entidad.</w:t>
      </w:r>
    </w:p>
    <w:p w14:paraId="35931FC5" w14:textId="77777777" w:rsidR="00940E84" w:rsidRPr="00D07BBB" w:rsidRDefault="00940E84" w:rsidP="00AB6B77">
      <w:pPr>
        <w:tabs>
          <w:tab w:val="left" w:pos="-720"/>
        </w:tabs>
        <w:suppressAutoHyphens/>
        <w:jc w:val="both"/>
        <w:rPr>
          <w:rFonts w:ascii="Book Antiqua" w:hAnsi="Book Antiqua"/>
          <w:szCs w:val="24"/>
          <w:lang w:val="es-ES"/>
        </w:rPr>
      </w:pPr>
    </w:p>
    <w:p w14:paraId="302CAC3A" w14:textId="141F50AB" w:rsidR="00D13D23" w:rsidRPr="00D07BBB" w:rsidRDefault="0096171F" w:rsidP="00AB6B77">
      <w:pPr>
        <w:tabs>
          <w:tab w:val="left" w:pos="-720"/>
        </w:tabs>
        <w:suppressAutoHyphens/>
        <w:ind w:firstLine="360"/>
        <w:jc w:val="center"/>
        <w:rPr>
          <w:rFonts w:ascii="Book Antiqua" w:hAnsi="Book Antiqua"/>
          <w:b/>
          <w:bCs/>
          <w:szCs w:val="24"/>
          <w:lang w:val="es-ES"/>
        </w:rPr>
      </w:pPr>
      <w:r w:rsidRPr="00D07BBB">
        <w:rPr>
          <w:rFonts w:ascii="Book Antiqua" w:hAnsi="Book Antiqua"/>
          <w:b/>
          <w:bCs/>
          <w:szCs w:val="24"/>
          <w:lang w:val="es-ES"/>
        </w:rPr>
        <w:t>I</w:t>
      </w:r>
      <w:r w:rsidR="002C402D" w:rsidRPr="00D07BBB">
        <w:rPr>
          <w:rFonts w:ascii="Book Antiqua" w:hAnsi="Book Antiqua"/>
          <w:b/>
          <w:bCs/>
          <w:szCs w:val="24"/>
          <w:lang w:val="es-ES"/>
        </w:rPr>
        <w:t>MPACTO FISCAL</w:t>
      </w:r>
      <w:r w:rsidR="00D13D23" w:rsidRPr="00D07BBB">
        <w:rPr>
          <w:rFonts w:ascii="Book Antiqua" w:hAnsi="Book Antiqua"/>
          <w:b/>
          <w:bCs/>
          <w:szCs w:val="24"/>
          <w:lang w:val="es-ES"/>
        </w:rPr>
        <w:t xml:space="preserve"> MUNICIPAL </w:t>
      </w:r>
    </w:p>
    <w:p w14:paraId="144378DC" w14:textId="77777777" w:rsidR="000C52A1" w:rsidRPr="00D07BBB" w:rsidRDefault="000C52A1" w:rsidP="00AB6B77">
      <w:pPr>
        <w:tabs>
          <w:tab w:val="left" w:pos="-720"/>
        </w:tabs>
        <w:suppressAutoHyphens/>
        <w:ind w:firstLine="360"/>
        <w:jc w:val="center"/>
        <w:rPr>
          <w:rFonts w:ascii="Book Antiqua" w:hAnsi="Book Antiqua"/>
          <w:b/>
          <w:bCs/>
          <w:szCs w:val="24"/>
          <w:lang w:val="es-ES"/>
        </w:rPr>
      </w:pPr>
    </w:p>
    <w:p w14:paraId="3CD7EB56" w14:textId="722595B3" w:rsidR="002C402D" w:rsidRPr="00D07BBB" w:rsidRDefault="004F6E72"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D13D23" w:rsidRPr="00D07BBB">
        <w:rPr>
          <w:rFonts w:ascii="Book Antiqua" w:hAnsi="Book Antiqua"/>
          <w:szCs w:val="24"/>
          <w:lang w:val="es-ES"/>
        </w:rPr>
        <w:t xml:space="preserve">En cumplimiento con el Artículo 1.007 de la Ley Núm. 107–2020, según enmendada, conocida como “Código Municipal de Puerto Rico”, la </w:t>
      </w:r>
      <w:r w:rsidR="00BE6740" w:rsidRPr="00D07BBB">
        <w:rPr>
          <w:rFonts w:ascii="Book Antiqua" w:hAnsi="Book Antiqua"/>
          <w:spacing w:val="-3"/>
          <w:szCs w:val="24"/>
          <w:lang w:val="es-ES"/>
        </w:rPr>
        <w:t>Comisión de lo Jurídico del Senado de Puerto Rico</w:t>
      </w:r>
      <w:r w:rsidR="00BE6740" w:rsidRPr="00D07BBB">
        <w:rPr>
          <w:rFonts w:ascii="Book Antiqua" w:hAnsi="Book Antiqua"/>
          <w:szCs w:val="24"/>
          <w:lang w:val="es-ES"/>
        </w:rPr>
        <w:t xml:space="preserve"> </w:t>
      </w:r>
      <w:r w:rsidRPr="00D07BBB">
        <w:rPr>
          <w:rFonts w:ascii="Book Antiqua" w:hAnsi="Book Antiqua"/>
          <w:szCs w:val="24"/>
          <w:lang w:val="es-ES"/>
        </w:rPr>
        <w:t xml:space="preserve">certifica que el </w:t>
      </w:r>
      <w:r w:rsidR="00201567" w:rsidRPr="00D07BBB">
        <w:rPr>
          <w:rFonts w:ascii="Book Antiqua" w:hAnsi="Book Antiqua"/>
          <w:szCs w:val="24"/>
          <w:lang w:val="es-ES"/>
        </w:rPr>
        <w:t>P. del S.</w:t>
      </w:r>
      <w:r w:rsidR="002417AA" w:rsidRPr="00D07BBB">
        <w:rPr>
          <w:rFonts w:ascii="Book Antiqua" w:hAnsi="Book Antiqua"/>
          <w:szCs w:val="24"/>
          <w:lang w:val="es-ES"/>
        </w:rPr>
        <w:t xml:space="preserve"> 537</w:t>
      </w:r>
      <w:r w:rsidR="00201567" w:rsidRPr="00D07BBB">
        <w:rPr>
          <w:rFonts w:ascii="Book Antiqua" w:hAnsi="Book Antiqua"/>
          <w:szCs w:val="24"/>
          <w:lang w:val="es-ES"/>
        </w:rPr>
        <w:t xml:space="preserve"> </w:t>
      </w:r>
      <w:r w:rsidR="00D13D23" w:rsidRPr="00D07BBB">
        <w:rPr>
          <w:rFonts w:ascii="Book Antiqua" w:hAnsi="Book Antiqua"/>
          <w:szCs w:val="24"/>
          <w:lang w:val="es-ES"/>
        </w:rPr>
        <w:t>no impone una obligación económica en el presupuesto</w:t>
      </w:r>
      <w:r w:rsidR="00946BB4" w:rsidRPr="00D07BBB">
        <w:rPr>
          <w:rFonts w:ascii="Book Antiqua" w:hAnsi="Book Antiqua"/>
          <w:szCs w:val="24"/>
          <w:lang w:val="es-ES"/>
        </w:rPr>
        <w:t xml:space="preserve"> de los gobiernos municipales. </w:t>
      </w:r>
    </w:p>
    <w:p w14:paraId="426C19E9" w14:textId="77777777" w:rsidR="00946BB4" w:rsidRPr="00D07BBB" w:rsidRDefault="00946BB4" w:rsidP="00AB6B77">
      <w:pPr>
        <w:tabs>
          <w:tab w:val="left" w:pos="-720"/>
        </w:tabs>
        <w:suppressAutoHyphens/>
        <w:ind w:firstLine="360"/>
        <w:jc w:val="both"/>
        <w:rPr>
          <w:rFonts w:ascii="Book Antiqua" w:hAnsi="Book Antiqua"/>
          <w:szCs w:val="24"/>
          <w:lang w:val="es-ES"/>
        </w:rPr>
      </w:pPr>
    </w:p>
    <w:p w14:paraId="482AC70D" w14:textId="77777777" w:rsidR="0096171F" w:rsidRPr="00D07BBB" w:rsidRDefault="0096171F" w:rsidP="00AB6B77">
      <w:pPr>
        <w:tabs>
          <w:tab w:val="left" w:pos="-720"/>
        </w:tabs>
        <w:suppressAutoHyphens/>
        <w:ind w:firstLine="360"/>
        <w:jc w:val="center"/>
        <w:rPr>
          <w:rFonts w:ascii="Book Antiqua" w:hAnsi="Book Antiqua"/>
          <w:b/>
          <w:bCs/>
          <w:szCs w:val="24"/>
          <w:lang w:val="es-ES"/>
        </w:rPr>
      </w:pPr>
      <w:r w:rsidRPr="00D07BBB">
        <w:rPr>
          <w:rFonts w:ascii="Book Antiqua" w:hAnsi="Book Antiqua"/>
          <w:b/>
          <w:bCs/>
          <w:szCs w:val="24"/>
          <w:lang w:val="es-ES"/>
        </w:rPr>
        <w:t>C</w:t>
      </w:r>
      <w:r w:rsidR="002C402D" w:rsidRPr="00D07BBB">
        <w:rPr>
          <w:rFonts w:ascii="Book Antiqua" w:hAnsi="Book Antiqua"/>
          <w:b/>
          <w:bCs/>
          <w:szCs w:val="24"/>
          <w:lang w:val="es-ES"/>
        </w:rPr>
        <w:t xml:space="preserve">ONCLUSIÓN </w:t>
      </w:r>
    </w:p>
    <w:p w14:paraId="040801D3" w14:textId="77777777" w:rsidR="000C52A1" w:rsidRPr="00D07BBB" w:rsidRDefault="000C52A1" w:rsidP="00AB6B77">
      <w:pPr>
        <w:tabs>
          <w:tab w:val="left" w:pos="-720"/>
        </w:tabs>
        <w:suppressAutoHyphens/>
        <w:ind w:firstLine="360"/>
        <w:jc w:val="center"/>
        <w:rPr>
          <w:rFonts w:ascii="Book Antiqua" w:hAnsi="Book Antiqua"/>
          <w:b/>
          <w:bCs/>
          <w:szCs w:val="24"/>
          <w:lang w:val="es-ES"/>
        </w:rPr>
      </w:pPr>
    </w:p>
    <w:p w14:paraId="747F9A90" w14:textId="145A74CA" w:rsidR="009B74A6" w:rsidRPr="00D07BBB" w:rsidRDefault="00006DDC"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9B74A6" w:rsidRPr="00D07BBB">
        <w:rPr>
          <w:rFonts w:ascii="Book Antiqua" w:hAnsi="Book Antiqua"/>
          <w:szCs w:val="24"/>
          <w:lang w:val="es-ES"/>
        </w:rPr>
        <w:t xml:space="preserve">La Comisión de lo Jurídico del Senado de Puerto Rico efectuó un análisis minucioso del P. del S. 537, según fue referido. Como parte de este proceso, evaluamos el marco normativo vigente, incluyendo la Ley Núm. 54 de 15 de agosto de 1989, según enmendada, </w:t>
      </w:r>
      <w:r w:rsidR="006D1699" w:rsidRPr="00D07BBB">
        <w:rPr>
          <w:rFonts w:ascii="Book Antiqua" w:hAnsi="Book Antiqua"/>
          <w:szCs w:val="24"/>
          <w:lang w:val="es-ES"/>
        </w:rPr>
        <w:t xml:space="preserve">conocida como la </w:t>
      </w:r>
      <w:r w:rsidR="009B74A6" w:rsidRPr="00D07BBB">
        <w:rPr>
          <w:rFonts w:ascii="Book Antiqua" w:hAnsi="Book Antiqua"/>
          <w:szCs w:val="24"/>
          <w:lang w:val="es-ES"/>
        </w:rPr>
        <w:t>“Ley para la Prevención e Intervención con la Violencia Doméstica”, la Ley 148-2015,</w:t>
      </w:r>
      <w:r w:rsidR="002D54DD" w:rsidRPr="00D07BBB">
        <w:rPr>
          <w:rFonts w:ascii="Book Antiqua" w:hAnsi="Book Antiqua"/>
          <w:szCs w:val="24"/>
          <w:lang w:val="es-ES"/>
        </w:rPr>
        <w:t xml:space="preserve"> conocida como</w:t>
      </w:r>
      <w:r w:rsidR="00E638E0" w:rsidRPr="00D07BBB">
        <w:rPr>
          <w:rFonts w:ascii="Book Antiqua" w:hAnsi="Book Antiqua"/>
          <w:szCs w:val="24"/>
          <w:lang w:val="es-ES"/>
        </w:rPr>
        <w:t xml:space="preserve"> la</w:t>
      </w:r>
      <w:r w:rsidR="009B74A6" w:rsidRPr="00D07BBB">
        <w:rPr>
          <w:rFonts w:ascii="Book Antiqua" w:hAnsi="Book Antiqua"/>
          <w:szCs w:val="24"/>
          <w:lang w:val="es-ES"/>
        </w:rPr>
        <w:t xml:space="preserve"> “Ley para la Protección de las Víctimas de Violencia Sexual en Puerto Rico”, y la Ley 3-2022,</w:t>
      </w:r>
      <w:r w:rsidR="002D54DD" w:rsidRPr="00D07BBB">
        <w:rPr>
          <w:rFonts w:ascii="Book Antiqua" w:hAnsi="Book Antiqua"/>
          <w:szCs w:val="24"/>
          <w:lang w:val="es-ES"/>
        </w:rPr>
        <w:t xml:space="preserve"> conocida como</w:t>
      </w:r>
      <w:r w:rsidR="009B74A6" w:rsidRPr="00D07BBB">
        <w:rPr>
          <w:rFonts w:ascii="Book Antiqua" w:hAnsi="Book Antiqua"/>
          <w:szCs w:val="24"/>
          <w:lang w:val="es-ES"/>
        </w:rPr>
        <w:t xml:space="preserve"> </w:t>
      </w:r>
      <w:r w:rsidR="00DC059D" w:rsidRPr="00D07BBB">
        <w:rPr>
          <w:rFonts w:ascii="Book Antiqua" w:hAnsi="Book Antiqua"/>
          <w:szCs w:val="24"/>
          <w:lang w:val="es-ES"/>
        </w:rPr>
        <w:t xml:space="preserve">la </w:t>
      </w:r>
      <w:r w:rsidR="009B74A6" w:rsidRPr="00D07BBB">
        <w:rPr>
          <w:rFonts w:ascii="Book Antiqua" w:hAnsi="Book Antiqua"/>
          <w:szCs w:val="24"/>
          <w:lang w:val="es-ES"/>
        </w:rPr>
        <w:t xml:space="preserve">“Ley del Programa de Prevención y Seguridad para las Víctimas de Violencia de Género”. Asimismo, consideramos la experiencia reciente bajo la Ley </w:t>
      </w:r>
      <w:r w:rsidR="00744062" w:rsidRPr="00D07BBB">
        <w:rPr>
          <w:rFonts w:ascii="Book Antiqua" w:hAnsi="Book Antiqua"/>
          <w:szCs w:val="24"/>
          <w:lang w:val="es-ES"/>
        </w:rPr>
        <w:t>157-20</w:t>
      </w:r>
      <w:r w:rsidR="00680FC9" w:rsidRPr="00D07BBB">
        <w:rPr>
          <w:rFonts w:ascii="Book Antiqua" w:hAnsi="Book Antiqua"/>
          <w:szCs w:val="24"/>
          <w:lang w:val="es-ES"/>
        </w:rPr>
        <w:t>20</w:t>
      </w:r>
      <w:r w:rsidR="009B74A6" w:rsidRPr="00D07BBB">
        <w:rPr>
          <w:rFonts w:ascii="Book Antiqua" w:hAnsi="Book Antiqua"/>
          <w:szCs w:val="24"/>
          <w:lang w:val="es-ES"/>
        </w:rPr>
        <w:t xml:space="preserve">, </w:t>
      </w:r>
      <w:r w:rsidR="00680FC9" w:rsidRPr="00D07BBB">
        <w:rPr>
          <w:rFonts w:ascii="Book Antiqua" w:hAnsi="Book Antiqua"/>
          <w:szCs w:val="24"/>
          <w:lang w:val="es-ES"/>
        </w:rPr>
        <w:t xml:space="preserve">según enmendada, conocida como la </w:t>
      </w:r>
      <w:r w:rsidR="009B74A6" w:rsidRPr="00D07BBB">
        <w:rPr>
          <w:rFonts w:ascii="Book Antiqua" w:hAnsi="Book Antiqua"/>
          <w:szCs w:val="24"/>
          <w:lang w:val="es-ES"/>
        </w:rPr>
        <w:t xml:space="preserve">“Ley del Protocolo para Casos de Feminicidio y </w:t>
      </w:r>
      <w:proofErr w:type="spellStart"/>
      <w:r w:rsidR="009B74A6" w:rsidRPr="00D07BBB">
        <w:rPr>
          <w:rFonts w:ascii="Book Antiqua" w:hAnsi="Book Antiqua"/>
          <w:szCs w:val="24"/>
          <w:lang w:val="es-ES"/>
        </w:rPr>
        <w:lastRenderedPageBreak/>
        <w:t>Transfeminicidio</w:t>
      </w:r>
      <w:proofErr w:type="spellEnd"/>
      <w:r w:rsidR="009B74A6" w:rsidRPr="00D07BBB">
        <w:rPr>
          <w:rFonts w:ascii="Book Antiqua" w:hAnsi="Book Antiqua"/>
          <w:szCs w:val="24"/>
          <w:lang w:val="es-ES"/>
        </w:rPr>
        <w:t xml:space="preserve"> y la Compilación y Manejo de Estadísticas”. La Comisión también revisó los memoriales sometidos por el Instituto de Estadísticas, la Oficina de la Procuradora de las Mujeres, la Oficina del Contralor, la Oficina de Administración de los Tribunales</w:t>
      </w:r>
      <w:r w:rsidR="00C15BA2" w:rsidRPr="00D07BBB">
        <w:rPr>
          <w:rFonts w:ascii="Book Antiqua" w:hAnsi="Book Antiqua"/>
          <w:szCs w:val="24"/>
          <w:lang w:val="es-ES"/>
        </w:rPr>
        <w:t>,</w:t>
      </w:r>
      <w:r w:rsidR="009B74A6" w:rsidRPr="00D07BBB">
        <w:rPr>
          <w:rFonts w:ascii="Book Antiqua" w:hAnsi="Book Antiqua"/>
          <w:szCs w:val="24"/>
          <w:lang w:val="es-ES"/>
        </w:rPr>
        <w:t xml:space="preserve"> el Departamento de la Familia</w:t>
      </w:r>
      <w:r w:rsidR="00C15BA2" w:rsidRPr="00D07BBB">
        <w:rPr>
          <w:rFonts w:ascii="Book Antiqua" w:hAnsi="Book Antiqua"/>
          <w:szCs w:val="24"/>
          <w:lang w:val="es-ES"/>
        </w:rPr>
        <w:t xml:space="preserve"> y la Oficina de Presupuesto de la Asamblea Legislativa</w:t>
      </w:r>
      <w:r w:rsidR="009B74A6" w:rsidRPr="00D07BBB">
        <w:rPr>
          <w:rFonts w:ascii="Book Antiqua" w:hAnsi="Book Antiqua"/>
          <w:szCs w:val="24"/>
          <w:lang w:val="es-ES"/>
        </w:rPr>
        <w:t>.</w:t>
      </w:r>
    </w:p>
    <w:p w14:paraId="5E597641" w14:textId="597F7633" w:rsidR="009B74A6" w:rsidRPr="00D07BBB" w:rsidRDefault="00DC0657"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9B74A6" w:rsidRPr="00D07BBB">
        <w:rPr>
          <w:rFonts w:ascii="Book Antiqua" w:hAnsi="Book Antiqua"/>
          <w:szCs w:val="24"/>
          <w:lang w:val="es-ES"/>
        </w:rPr>
        <w:t>La Comisión coincide en que la aprobación del P. del S. 537 es necesaria para dotar al Estado de una herramienta institucional que permita recopilar, integrar y analizar datos confiables sobre violencia de género. Es necesario evitar sistemas que estén fragmentados, que dupliquen esfuerzos y dejen vacíos que impiden medir con precisión la magnitud del problema. El SURI-VG responde a ese déficit estructural.</w:t>
      </w:r>
    </w:p>
    <w:p w14:paraId="291A83B1" w14:textId="0966F446" w:rsidR="009B74A6" w:rsidRPr="00D07BBB" w:rsidRDefault="00FC16BD"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9B74A6" w:rsidRPr="00D07BBB">
        <w:rPr>
          <w:rFonts w:ascii="Book Antiqua" w:hAnsi="Book Antiqua"/>
          <w:szCs w:val="24"/>
          <w:lang w:val="es-ES"/>
        </w:rPr>
        <w:t>El análisis de los memoriales evidenció un apoyo mayoritario a la medida. No obstante, se levantaron preocupaciones legítimas sobre la vaguedad en las definiciones y la ausencia de una asignación presupuestaria específica. La Comisión comparte la importancia de atender estos asuntos y, mediante las enmiendas incluidas en el entirillado electrónico, hemos incorporado lenguaje dirigido a eliminar esas ambigüedades y a establecer de manera clara el ámbito presupuestario para garantizar la implantación y sostenibilidad del sistema.</w:t>
      </w:r>
    </w:p>
    <w:p w14:paraId="793ADC3D" w14:textId="5CDE20A5" w:rsidR="009B74A6" w:rsidRPr="00D07BBB" w:rsidRDefault="00FC16BD"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9B74A6" w:rsidRPr="00D07BBB">
        <w:rPr>
          <w:rFonts w:ascii="Book Antiqua" w:hAnsi="Book Antiqua"/>
          <w:szCs w:val="24"/>
          <w:lang w:val="es-ES"/>
        </w:rPr>
        <w:t>Con este ajuste, el P. del S. 537 asegura que el Sistema Unificado de Reportes de Incidentes de Violencia de Género se construya sobre bases sólidas: un marco legal claro</w:t>
      </w:r>
      <w:r w:rsidR="00F35EF6" w:rsidRPr="00D07BBB">
        <w:rPr>
          <w:rFonts w:ascii="Book Antiqua" w:hAnsi="Book Antiqua"/>
          <w:szCs w:val="24"/>
          <w:lang w:val="es-ES"/>
        </w:rPr>
        <w:t xml:space="preserve"> </w:t>
      </w:r>
      <w:r w:rsidR="009B74A6" w:rsidRPr="00D07BBB">
        <w:rPr>
          <w:rFonts w:ascii="Book Antiqua" w:hAnsi="Book Antiqua"/>
          <w:szCs w:val="24"/>
          <w:lang w:val="es-ES"/>
        </w:rPr>
        <w:t>y la coordinación técnica del Instituto de Estadísticas junto con la Oficina de la Procuradora de las Mujeres y PRITS. El proyecto, además, prevé auditorías externas a cargo de la Oficina del Contralor lo que fortalece la transparencia y la rendición de cuentas.</w:t>
      </w:r>
    </w:p>
    <w:p w14:paraId="6220002D" w14:textId="7D108485" w:rsidR="009B74A6" w:rsidRPr="00D07BBB" w:rsidRDefault="00F35EF6" w:rsidP="00AB6B77">
      <w:pPr>
        <w:tabs>
          <w:tab w:val="left" w:pos="-720"/>
        </w:tabs>
        <w:suppressAutoHyphens/>
        <w:ind w:firstLine="360"/>
        <w:jc w:val="both"/>
        <w:rPr>
          <w:rFonts w:ascii="Book Antiqua" w:hAnsi="Book Antiqua"/>
          <w:szCs w:val="24"/>
          <w:lang w:val="es-ES"/>
        </w:rPr>
      </w:pPr>
      <w:r w:rsidRPr="00D07BBB">
        <w:rPr>
          <w:rFonts w:ascii="Book Antiqua" w:hAnsi="Book Antiqua"/>
          <w:szCs w:val="24"/>
          <w:lang w:val="es-ES"/>
        </w:rPr>
        <w:tab/>
      </w:r>
      <w:r w:rsidR="009B74A6" w:rsidRPr="00D07BBB">
        <w:rPr>
          <w:rFonts w:ascii="Book Antiqua" w:hAnsi="Book Antiqua"/>
          <w:szCs w:val="24"/>
          <w:lang w:val="es-ES"/>
        </w:rPr>
        <w:t>En suma, esta Comisión entiende que la aprobación del P. del S. 537 no solo es jurídicamente correcta, sino también una política pública impostergable. Representa un paso firme para institucionalizar un sistema de datos unificado, seguro y confiable, indispensable para formular estrategias de prevención, protección y atención a las víctimas de violencia de género en Puerto Rico.</w:t>
      </w:r>
    </w:p>
    <w:p w14:paraId="12984714" w14:textId="00B3AD78" w:rsidR="000B071A" w:rsidRPr="00D07BBB" w:rsidRDefault="000B071A" w:rsidP="00AB6B77">
      <w:pPr>
        <w:tabs>
          <w:tab w:val="left" w:pos="-720"/>
        </w:tabs>
        <w:suppressAutoHyphens/>
        <w:ind w:firstLine="360"/>
        <w:jc w:val="both"/>
        <w:rPr>
          <w:rFonts w:ascii="Book Antiqua" w:hAnsi="Book Antiqua"/>
          <w:b/>
          <w:bCs/>
          <w:szCs w:val="24"/>
          <w:lang w:val="es-ES"/>
        </w:rPr>
      </w:pPr>
    </w:p>
    <w:p w14:paraId="7885E90D" w14:textId="54B8852C" w:rsidR="00DF45DC" w:rsidRPr="00D07BBB" w:rsidRDefault="00F35EF6" w:rsidP="00AB6B77">
      <w:pPr>
        <w:tabs>
          <w:tab w:val="left" w:pos="-720"/>
        </w:tabs>
        <w:suppressAutoHyphens/>
        <w:ind w:firstLine="360"/>
        <w:jc w:val="both"/>
        <w:rPr>
          <w:rFonts w:ascii="Book Antiqua" w:hAnsi="Book Antiqua"/>
          <w:szCs w:val="24"/>
          <w:lang w:val="es-ES"/>
        </w:rPr>
      </w:pPr>
      <w:r w:rsidRPr="00D07BBB">
        <w:rPr>
          <w:rFonts w:ascii="Book Antiqua" w:hAnsi="Book Antiqua"/>
          <w:b/>
          <w:bCs/>
          <w:szCs w:val="24"/>
          <w:lang w:val="es-ES"/>
        </w:rPr>
        <w:tab/>
      </w:r>
      <w:r w:rsidR="0096171F" w:rsidRPr="00D07BBB">
        <w:rPr>
          <w:rFonts w:ascii="Book Antiqua" w:hAnsi="Book Antiqua"/>
          <w:b/>
          <w:bCs/>
          <w:szCs w:val="24"/>
          <w:lang w:val="es-ES"/>
        </w:rPr>
        <w:t>POR TODO LO ANTES EXPUESTO</w:t>
      </w:r>
      <w:r w:rsidR="0096171F" w:rsidRPr="00D07BBB">
        <w:rPr>
          <w:rFonts w:ascii="Book Antiqua" w:hAnsi="Book Antiqua"/>
          <w:szCs w:val="24"/>
          <w:lang w:val="es-ES"/>
        </w:rPr>
        <w:t xml:space="preserve">, </w:t>
      </w:r>
      <w:r w:rsidR="009B74A6" w:rsidRPr="00D07BBB">
        <w:rPr>
          <w:rFonts w:ascii="Book Antiqua" w:hAnsi="Book Antiqua"/>
          <w:szCs w:val="24"/>
          <w:lang w:val="es-ES"/>
        </w:rPr>
        <w:t>la Comisión de lo Jurídico del Senado de Puerto Rico tiene a bien presentar ante este Alto Cuerpo el Informe Positivo sobre el Proyecto del Senado 537, recomendando su aprobación con las enmiendas contenidas en el entirillado electrónico que se acompaña.</w:t>
      </w:r>
    </w:p>
    <w:p w14:paraId="02F3C812" w14:textId="77777777" w:rsidR="006861CE" w:rsidRPr="00D07BBB" w:rsidRDefault="006861CE" w:rsidP="00337BB7">
      <w:pPr>
        <w:tabs>
          <w:tab w:val="left" w:pos="-720"/>
        </w:tabs>
        <w:suppressAutoHyphens/>
        <w:spacing w:line="360" w:lineRule="auto"/>
        <w:rPr>
          <w:rFonts w:ascii="Book Antiqua" w:hAnsi="Book Antiqua"/>
          <w:lang w:val="es-ES"/>
        </w:rPr>
      </w:pPr>
    </w:p>
    <w:p w14:paraId="10325F5D" w14:textId="0BF4F746" w:rsidR="00006DDC" w:rsidRPr="00D07BBB" w:rsidRDefault="00547C2D" w:rsidP="00337BB7">
      <w:pPr>
        <w:tabs>
          <w:tab w:val="left" w:pos="-720"/>
        </w:tabs>
        <w:suppressAutoHyphens/>
        <w:spacing w:line="360" w:lineRule="auto"/>
        <w:rPr>
          <w:rFonts w:ascii="Book Antiqua" w:hAnsi="Book Antiqua"/>
          <w:b/>
          <w:bCs/>
          <w:lang w:val="es-ES"/>
        </w:rPr>
      </w:pPr>
      <w:r w:rsidRPr="00D07BBB">
        <w:rPr>
          <w:rFonts w:ascii="Book Antiqua" w:hAnsi="Book Antiqua"/>
          <w:b/>
          <w:bCs/>
          <w:lang w:val="es-ES"/>
        </w:rPr>
        <w:t>RESPETUOSAMENTE SOMETIDO</w:t>
      </w:r>
      <w:r w:rsidR="00AB6B77" w:rsidRPr="00D07BBB">
        <w:rPr>
          <w:rFonts w:ascii="Book Antiqua" w:hAnsi="Book Antiqua"/>
          <w:b/>
          <w:bCs/>
          <w:lang w:val="es-ES"/>
        </w:rPr>
        <w:t>.</w:t>
      </w:r>
    </w:p>
    <w:p w14:paraId="2444C5B2" w14:textId="77777777" w:rsidR="00552B8A" w:rsidRPr="00D07BBB"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D07BBB" w:rsidRDefault="00242E80" w:rsidP="00EE4536">
      <w:pPr>
        <w:tabs>
          <w:tab w:val="left" w:pos="-720"/>
        </w:tabs>
        <w:suppressAutoHyphens/>
        <w:rPr>
          <w:rFonts w:ascii="Book Antiqua" w:hAnsi="Book Antiqua"/>
          <w:b/>
          <w:bCs/>
          <w:lang w:val="es-ES"/>
        </w:rPr>
      </w:pPr>
    </w:p>
    <w:p w14:paraId="6AE93B69" w14:textId="6641F2FE" w:rsidR="00AB2E69" w:rsidRPr="00D07BBB" w:rsidRDefault="00D8699D" w:rsidP="00EE4536">
      <w:pPr>
        <w:tabs>
          <w:tab w:val="left" w:pos="-720"/>
        </w:tabs>
        <w:suppressAutoHyphens/>
        <w:rPr>
          <w:rFonts w:ascii="Book Antiqua" w:hAnsi="Book Antiqua"/>
          <w:b/>
          <w:bCs/>
          <w:lang w:val="es-ES"/>
        </w:rPr>
      </w:pPr>
      <w:proofErr w:type="spellStart"/>
      <w:r w:rsidRPr="00D07BBB">
        <w:rPr>
          <w:rFonts w:ascii="Book Antiqua" w:hAnsi="Book Antiqua"/>
          <w:b/>
          <w:bCs/>
          <w:lang w:val="es-ES"/>
        </w:rPr>
        <w:t>Hon</w:t>
      </w:r>
      <w:proofErr w:type="spellEnd"/>
      <w:r w:rsidRPr="00D07BBB">
        <w:rPr>
          <w:rFonts w:ascii="Book Antiqua" w:hAnsi="Book Antiqua"/>
          <w:b/>
          <w:bCs/>
          <w:lang w:val="es-ES"/>
        </w:rPr>
        <w:t xml:space="preserve">. </w:t>
      </w:r>
      <w:r w:rsidR="001D12A7" w:rsidRPr="00D07BBB">
        <w:rPr>
          <w:rFonts w:ascii="Book Antiqua" w:hAnsi="Book Antiqua"/>
          <w:b/>
          <w:bCs/>
          <w:lang w:val="es-ES"/>
        </w:rPr>
        <w:t>Ángel A. Toledo López</w:t>
      </w:r>
    </w:p>
    <w:p w14:paraId="1665555A" w14:textId="77777777" w:rsidR="004F6E72" w:rsidRPr="00D07BBB" w:rsidRDefault="00AB2E69" w:rsidP="00EE4536">
      <w:pPr>
        <w:tabs>
          <w:tab w:val="left" w:pos="-720"/>
        </w:tabs>
        <w:suppressAutoHyphens/>
        <w:rPr>
          <w:rFonts w:ascii="Book Antiqua" w:hAnsi="Book Antiqua"/>
          <w:lang w:val="es-ES"/>
        </w:rPr>
      </w:pPr>
      <w:r w:rsidRPr="00D07BBB">
        <w:rPr>
          <w:rFonts w:ascii="Book Antiqua" w:hAnsi="Book Antiqua"/>
          <w:lang w:val="es-ES"/>
        </w:rPr>
        <w:t>Presidente</w:t>
      </w:r>
    </w:p>
    <w:p w14:paraId="3FF3D27A" w14:textId="77777777" w:rsidR="001D12A7" w:rsidRPr="00D07BBB" w:rsidRDefault="001D12A7" w:rsidP="001D12A7">
      <w:pPr>
        <w:tabs>
          <w:tab w:val="left" w:pos="-720"/>
        </w:tabs>
        <w:suppressAutoHyphens/>
        <w:rPr>
          <w:rFonts w:ascii="Book Antiqua" w:hAnsi="Book Antiqua"/>
          <w:spacing w:val="-3"/>
          <w:lang w:val="es-ES"/>
        </w:rPr>
      </w:pPr>
      <w:r w:rsidRPr="00D07BBB">
        <w:rPr>
          <w:rFonts w:ascii="Book Antiqua" w:hAnsi="Book Antiqua"/>
          <w:spacing w:val="-3"/>
          <w:lang w:val="es-ES"/>
        </w:rPr>
        <w:t xml:space="preserve">Comisión de lo Jurídico </w:t>
      </w:r>
    </w:p>
    <w:p w14:paraId="13BD9EC9" w14:textId="43E6BA15" w:rsidR="000B3411" w:rsidRPr="00883DF8" w:rsidRDefault="001D12A7" w:rsidP="00883DF8">
      <w:pPr>
        <w:tabs>
          <w:tab w:val="left" w:pos="-720"/>
        </w:tabs>
        <w:suppressAutoHyphens/>
        <w:rPr>
          <w:rFonts w:ascii="Book Antiqua" w:hAnsi="Book Antiqua"/>
          <w:spacing w:val="-3"/>
          <w:lang w:val="es-ES"/>
        </w:rPr>
      </w:pPr>
      <w:r w:rsidRPr="00D07BBB">
        <w:rPr>
          <w:rFonts w:ascii="Book Antiqua" w:hAnsi="Book Antiqua"/>
          <w:spacing w:val="-3"/>
          <w:lang w:val="es-ES"/>
        </w:rPr>
        <w:t>Senado de Puerto Rico</w:t>
      </w:r>
    </w:p>
    <w:sectPr w:rsidR="000B3411" w:rsidRPr="00883DF8"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CA400" w14:textId="77777777" w:rsidR="00C65B77" w:rsidRDefault="00C65B77">
      <w:r>
        <w:separator/>
      </w:r>
    </w:p>
  </w:endnote>
  <w:endnote w:type="continuationSeparator" w:id="0">
    <w:p w14:paraId="316550E0" w14:textId="77777777" w:rsidR="00C65B77" w:rsidRDefault="00C65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32ECB" w14:textId="77777777" w:rsidR="00C65B77" w:rsidRDefault="00C65B77">
      <w:r>
        <w:separator/>
      </w:r>
    </w:p>
  </w:footnote>
  <w:footnote w:type="continuationSeparator" w:id="0">
    <w:p w14:paraId="1087D95F" w14:textId="77777777" w:rsidR="00C65B77" w:rsidRDefault="00C65B77">
      <w:r>
        <w:continuationSeparator/>
      </w:r>
    </w:p>
  </w:footnote>
  <w:footnote w:id="1">
    <w:p w14:paraId="77B4BD73" w14:textId="0F381788" w:rsidR="00133C3E" w:rsidRPr="00133C3E" w:rsidRDefault="00133C3E">
      <w:pPr>
        <w:pStyle w:val="FootnoteText"/>
        <w:rPr>
          <w:lang w:val="es-ES"/>
        </w:rPr>
      </w:pPr>
      <w:r>
        <w:rPr>
          <w:rStyle w:val="FootnoteReference"/>
        </w:rPr>
        <w:footnoteRef/>
      </w:r>
      <w:r w:rsidRPr="00133C3E">
        <w:rPr>
          <w:lang w:val="es-ES"/>
        </w:rPr>
        <w:t xml:space="preserve"> Para reconocer y establecer el feminicidio y transfeminicidio como conductas que constituyen el delito de asesinato en primer grado.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6850B573" w:rsidR="00C760D6" w:rsidRPr="007B4C52" w:rsidRDefault="007B4C52" w:rsidP="007B4C52">
    <w:pPr>
      <w:pStyle w:val="Header"/>
      <w:jc w:val="right"/>
      <w:rPr>
        <w:rFonts w:ascii="Book Antiqua" w:hAnsi="Book Antiqua"/>
        <w:i/>
        <w:iCs/>
        <w:sz w:val="20"/>
        <w:lang w:val="es-PR"/>
      </w:rPr>
    </w:pPr>
    <w:bookmarkStart w:id="4" w:name="_Hlk194440197"/>
    <w:r w:rsidRPr="007B4C52">
      <w:rPr>
        <w:rFonts w:ascii="Book Antiqua" w:hAnsi="Book Antiqua"/>
        <w:i/>
        <w:iCs/>
        <w:sz w:val="20"/>
        <w:lang w:val="es-PR"/>
      </w:rPr>
      <w:t xml:space="preserve">Informe Positivo sobre el </w:t>
    </w:r>
    <w:r w:rsidR="003F61A1">
      <w:rPr>
        <w:rFonts w:ascii="Book Antiqua" w:hAnsi="Book Antiqua"/>
        <w:i/>
        <w:iCs/>
        <w:sz w:val="20"/>
        <w:lang w:val="es-PR"/>
      </w:rPr>
      <w:t>P. del S. 537</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4"/>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2973FA08"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2417AA">
      <w:rPr>
        <w:rFonts w:ascii="Book Antiqua" w:hAnsi="Book Antiqua"/>
        <w:i/>
        <w:iCs/>
        <w:sz w:val="20"/>
        <w:lang w:val="es-PR"/>
      </w:rPr>
      <w:t>P. del S. 537</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FB7AA2"/>
    <w:multiLevelType w:val="multilevel"/>
    <w:tmpl w:val="CAF6C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C41365"/>
    <w:multiLevelType w:val="hybridMultilevel"/>
    <w:tmpl w:val="962A308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5"/>
  </w:num>
  <w:num w:numId="6" w16cid:durableId="2085452212">
    <w:abstractNumId w:val="6"/>
  </w:num>
  <w:num w:numId="7" w16cid:durableId="1374191573">
    <w:abstractNumId w:val="7"/>
  </w:num>
  <w:num w:numId="8" w16cid:durableId="40176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29E3"/>
    <w:rsid w:val="000F7663"/>
    <w:rsid w:val="000F7979"/>
    <w:rsid w:val="0010073E"/>
    <w:rsid w:val="00104CF6"/>
    <w:rsid w:val="00107712"/>
    <w:rsid w:val="00111E71"/>
    <w:rsid w:val="00114F93"/>
    <w:rsid w:val="001312DC"/>
    <w:rsid w:val="00133C3E"/>
    <w:rsid w:val="00152956"/>
    <w:rsid w:val="00152AEE"/>
    <w:rsid w:val="00157BC8"/>
    <w:rsid w:val="0016459A"/>
    <w:rsid w:val="00172EE0"/>
    <w:rsid w:val="00186AB6"/>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642B"/>
    <w:rsid w:val="0024131E"/>
    <w:rsid w:val="002417AA"/>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D54DD"/>
    <w:rsid w:val="002E0215"/>
    <w:rsid w:val="002E3F48"/>
    <w:rsid w:val="002E4A52"/>
    <w:rsid w:val="002E66F9"/>
    <w:rsid w:val="002F0440"/>
    <w:rsid w:val="002F79D4"/>
    <w:rsid w:val="00303FA5"/>
    <w:rsid w:val="003059D5"/>
    <w:rsid w:val="00311782"/>
    <w:rsid w:val="003125B4"/>
    <w:rsid w:val="00316786"/>
    <w:rsid w:val="003177A7"/>
    <w:rsid w:val="003239C5"/>
    <w:rsid w:val="00330372"/>
    <w:rsid w:val="00334935"/>
    <w:rsid w:val="00337BB7"/>
    <w:rsid w:val="0034055D"/>
    <w:rsid w:val="003465C8"/>
    <w:rsid w:val="003515C5"/>
    <w:rsid w:val="00352C78"/>
    <w:rsid w:val="00381F18"/>
    <w:rsid w:val="0038390D"/>
    <w:rsid w:val="003857EC"/>
    <w:rsid w:val="00386D32"/>
    <w:rsid w:val="0039037B"/>
    <w:rsid w:val="003906D8"/>
    <w:rsid w:val="00393CA6"/>
    <w:rsid w:val="003A201A"/>
    <w:rsid w:val="003B0348"/>
    <w:rsid w:val="003B3ADC"/>
    <w:rsid w:val="003D1E44"/>
    <w:rsid w:val="003D7045"/>
    <w:rsid w:val="003F61A1"/>
    <w:rsid w:val="00402413"/>
    <w:rsid w:val="004076B9"/>
    <w:rsid w:val="00410423"/>
    <w:rsid w:val="00412A61"/>
    <w:rsid w:val="004227D1"/>
    <w:rsid w:val="00424144"/>
    <w:rsid w:val="004278D1"/>
    <w:rsid w:val="00434BB0"/>
    <w:rsid w:val="004408DF"/>
    <w:rsid w:val="004440CB"/>
    <w:rsid w:val="00444FD2"/>
    <w:rsid w:val="00445E69"/>
    <w:rsid w:val="004713D2"/>
    <w:rsid w:val="0048178B"/>
    <w:rsid w:val="004817F3"/>
    <w:rsid w:val="00481C39"/>
    <w:rsid w:val="00487AC3"/>
    <w:rsid w:val="004918F1"/>
    <w:rsid w:val="004A05FC"/>
    <w:rsid w:val="004A0FD4"/>
    <w:rsid w:val="004A18C6"/>
    <w:rsid w:val="004B0082"/>
    <w:rsid w:val="004C370E"/>
    <w:rsid w:val="004C4D4E"/>
    <w:rsid w:val="004D2BC7"/>
    <w:rsid w:val="004D4E14"/>
    <w:rsid w:val="004D713B"/>
    <w:rsid w:val="004E7F65"/>
    <w:rsid w:val="004F5A8D"/>
    <w:rsid w:val="004F6E72"/>
    <w:rsid w:val="004F7173"/>
    <w:rsid w:val="0051050B"/>
    <w:rsid w:val="00530395"/>
    <w:rsid w:val="005354C6"/>
    <w:rsid w:val="00540B6A"/>
    <w:rsid w:val="00540DDE"/>
    <w:rsid w:val="00541FE3"/>
    <w:rsid w:val="005478C9"/>
    <w:rsid w:val="00547C2D"/>
    <w:rsid w:val="00550023"/>
    <w:rsid w:val="00550412"/>
    <w:rsid w:val="00552B8A"/>
    <w:rsid w:val="00555018"/>
    <w:rsid w:val="00571789"/>
    <w:rsid w:val="00573858"/>
    <w:rsid w:val="00573B23"/>
    <w:rsid w:val="005741F6"/>
    <w:rsid w:val="00580EC6"/>
    <w:rsid w:val="005817B7"/>
    <w:rsid w:val="00592511"/>
    <w:rsid w:val="00592B05"/>
    <w:rsid w:val="005A24EF"/>
    <w:rsid w:val="005A4787"/>
    <w:rsid w:val="005B2884"/>
    <w:rsid w:val="005B775B"/>
    <w:rsid w:val="005C5E81"/>
    <w:rsid w:val="005D2E57"/>
    <w:rsid w:val="005D4AA7"/>
    <w:rsid w:val="005E150B"/>
    <w:rsid w:val="005E7E85"/>
    <w:rsid w:val="0061550A"/>
    <w:rsid w:val="00615AB1"/>
    <w:rsid w:val="00615E64"/>
    <w:rsid w:val="00622333"/>
    <w:rsid w:val="006239E8"/>
    <w:rsid w:val="00650D8E"/>
    <w:rsid w:val="0066129F"/>
    <w:rsid w:val="00662809"/>
    <w:rsid w:val="006807C0"/>
    <w:rsid w:val="00680FC9"/>
    <w:rsid w:val="006861CE"/>
    <w:rsid w:val="006A24A9"/>
    <w:rsid w:val="006B3D07"/>
    <w:rsid w:val="006B6346"/>
    <w:rsid w:val="006B7E26"/>
    <w:rsid w:val="006C283C"/>
    <w:rsid w:val="006D01F6"/>
    <w:rsid w:val="006D1699"/>
    <w:rsid w:val="006D49D8"/>
    <w:rsid w:val="006D5838"/>
    <w:rsid w:val="006D6359"/>
    <w:rsid w:val="006E5B7A"/>
    <w:rsid w:val="006F226E"/>
    <w:rsid w:val="006F51A8"/>
    <w:rsid w:val="00703B83"/>
    <w:rsid w:val="00714102"/>
    <w:rsid w:val="007163D8"/>
    <w:rsid w:val="007167F5"/>
    <w:rsid w:val="00716AC2"/>
    <w:rsid w:val="00720B6F"/>
    <w:rsid w:val="007229E9"/>
    <w:rsid w:val="00725174"/>
    <w:rsid w:val="0073675F"/>
    <w:rsid w:val="00744062"/>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72885"/>
    <w:rsid w:val="00874400"/>
    <w:rsid w:val="00883DF8"/>
    <w:rsid w:val="008A154B"/>
    <w:rsid w:val="008A40E0"/>
    <w:rsid w:val="008B099E"/>
    <w:rsid w:val="008C18B2"/>
    <w:rsid w:val="008C331F"/>
    <w:rsid w:val="008C39D5"/>
    <w:rsid w:val="008D2401"/>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4F56"/>
    <w:rsid w:val="00986DB4"/>
    <w:rsid w:val="009A08E8"/>
    <w:rsid w:val="009A4A2C"/>
    <w:rsid w:val="009A4FB3"/>
    <w:rsid w:val="009B5669"/>
    <w:rsid w:val="009B619C"/>
    <w:rsid w:val="009B74A6"/>
    <w:rsid w:val="009C455C"/>
    <w:rsid w:val="009E20DD"/>
    <w:rsid w:val="009E7980"/>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57A51"/>
    <w:rsid w:val="00A6445C"/>
    <w:rsid w:val="00A83C12"/>
    <w:rsid w:val="00A870EF"/>
    <w:rsid w:val="00A90DAD"/>
    <w:rsid w:val="00A93C47"/>
    <w:rsid w:val="00AA0006"/>
    <w:rsid w:val="00AB2E69"/>
    <w:rsid w:val="00AB6B77"/>
    <w:rsid w:val="00AC3813"/>
    <w:rsid w:val="00AD076F"/>
    <w:rsid w:val="00AD4B71"/>
    <w:rsid w:val="00AE555C"/>
    <w:rsid w:val="00AF12FB"/>
    <w:rsid w:val="00AF56F5"/>
    <w:rsid w:val="00B00D74"/>
    <w:rsid w:val="00B03E1C"/>
    <w:rsid w:val="00B14832"/>
    <w:rsid w:val="00B216D4"/>
    <w:rsid w:val="00B24B05"/>
    <w:rsid w:val="00B25721"/>
    <w:rsid w:val="00B316DC"/>
    <w:rsid w:val="00B36F9D"/>
    <w:rsid w:val="00B37EF9"/>
    <w:rsid w:val="00B403C4"/>
    <w:rsid w:val="00B46464"/>
    <w:rsid w:val="00B47BDF"/>
    <w:rsid w:val="00B571D9"/>
    <w:rsid w:val="00B57451"/>
    <w:rsid w:val="00B6135D"/>
    <w:rsid w:val="00B702A0"/>
    <w:rsid w:val="00B70EB9"/>
    <w:rsid w:val="00B75568"/>
    <w:rsid w:val="00B807DC"/>
    <w:rsid w:val="00B8514B"/>
    <w:rsid w:val="00B8540B"/>
    <w:rsid w:val="00BA0F95"/>
    <w:rsid w:val="00BA43F4"/>
    <w:rsid w:val="00BB20A7"/>
    <w:rsid w:val="00BB6946"/>
    <w:rsid w:val="00BB7826"/>
    <w:rsid w:val="00BC7625"/>
    <w:rsid w:val="00BD3BEF"/>
    <w:rsid w:val="00BE1535"/>
    <w:rsid w:val="00BE3E24"/>
    <w:rsid w:val="00BE6740"/>
    <w:rsid w:val="00BF358A"/>
    <w:rsid w:val="00C012FE"/>
    <w:rsid w:val="00C0210B"/>
    <w:rsid w:val="00C15BA2"/>
    <w:rsid w:val="00C20997"/>
    <w:rsid w:val="00C21A5A"/>
    <w:rsid w:val="00C22AFC"/>
    <w:rsid w:val="00C32ECE"/>
    <w:rsid w:val="00C41CC9"/>
    <w:rsid w:val="00C4275E"/>
    <w:rsid w:val="00C6071A"/>
    <w:rsid w:val="00C65A5F"/>
    <w:rsid w:val="00C65B77"/>
    <w:rsid w:val="00C7303D"/>
    <w:rsid w:val="00C760D6"/>
    <w:rsid w:val="00C869B3"/>
    <w:rsid w:val="00C9772C"/>
    <w:rsid w:val="00C97DE6"/>
    <w:rsid w:val="00CA1098"/>
    <w:rsid w:val="00CA5E1E"/>
    <w:rsid w:val="00CA6DDD"/>
    <w:rsid w:val="00CB287B"/>
    <w:rsid w:val="00CB5806"/>
    <w:rsid w:val="00CC4859"/>
    <w:rsid w:val="00CE532D"/>
    <w:rsid w:val="00CE7DA0"/>
    <w:rsid w:val="00CF32AA"/>
    <w:rsid w:val="00CF4C00"/>
    <w:rsid w:val="00D0004D"/>
    <w:rsid w:val="00D01A55"/>
    <w:rsid w:val="00D07BBB"/>
    <w:rsid w:val="00D13D23"/>
    <w:rsid w:val="00D16947"/>
    <w:rsid w:val="00D4745D"/>
    <w:rsid w:val="00D5351E"/>
    <w:rsid w:val="00D61B6F"/>
    <w:rsid w:val="00D759DB"/>
    <w:rsid w:val="00D8699D"/>
    <w:rsid w:val="00D9263A"/>
    <w:rsid w:val="00D93BA6"/>
    <w:rsid w:val="00D95836"/>
    <w:rsid w:val="00D96D40"/>
    <w:rsid w:val="00DA0051"/>
    <w:rsid w:val="00DA1E64"/>
    <w:rsid w:val="00DB25BF"/>
    <w:rsid w:val="00DB3451"/>
    <w:rsid w:val="00DB4C88"/>
    <w:rsid w:val="00DC059D"/>
    <w:rsid w:val="00DC0657"/>
    <w:rsid w:val="00DC2909"/>
    <w:rsid w:val="00DC7D84"/>
    <w:rsid w:val="00DD122E"/>
    <w:rsid w:val="00DD48C9"/>
    <w:rsid w:val="00DD58BD"/>
    <w:rsid w:val="00DE189A"/>
    <w:rsid w:val="00DE3795"/>
    <w:rsid w:val="00DE6362"/>
    <w:rsid w:val="00DF0352"/>
    <w:rsid w:val="00DF45DC"/>
    <w:rsid w:val="00E07E4D"/>
    <w:rsid w:val="00E14B9C"/>
    <w:rsid w:val="00E17E3B"/>
    <w:rsid w:val="00E20211"/>
    <w:rsid w:val="00E251EA"/>
    <w:rsid w:val="00E26727"/>
    <w:rsid w:val="00E35157"/>
    <w:rsid w:val="00E35171"/>
    <w:rsid w:val="00E36FA6"/>
    <w:rsid w:val="00E638E0"/>
    <w:rsid w:val="00E63FA4"/>
    <w:rsid w:val="00E722CA"/>
    <w:rsid w:val="00E73DB1"/>
    <w:rsid w:val="00E930DD"/>
    <w:rsid w:val="00E9570B"/>
    <w:rsid w:val="00EA477A"/>
    <w:rsid w:val="00EA5757"/>
    <w:rsid w:val="00EB0B16"/>
    <w:rsid w:val="00EB1664"/>
    <w:rsid w:val="00EC5454"/>
    <w:rsid w:val="00EC56E8"/>
    <w:rsid w:val="00EE4536"/>
    <w:rsid w:val="00EF237A"/>
    <w:rsid w:val="00EF62F7"/>
    <w:rsid w:val="00F02F4A"/>
    <w:rsid w:val="00F042CB"/>
    <w:rsid w:val="00F14875"/>
    <w:rsid w:val="00F3003D"/>
    <w:rsid w:val="00F315D1"/>
    <w:rsid w:val="00F35EF6"/>
    <w:rsid w:val="00F44E24"/>
    <w:rsid w:val="00F4686E"/>
    <w:rsid w:val="00F566F4"/>
    <w:rsid w:val="00F60859"/>
    <w:rsid w:val="00F65FAA"/>
    <w:rsid w:val="00F816B8"/>
    <w:rsid w:val="00F85B37"/>
    <w:rsid w:val="00F86C0C"/>
    <w:rsid w:val="00F90AAD"/>
    <w:rsid w:val="00F969D4"/>
    <w:rsid w:val="00FB10AE"/>
    <w:rsid w:val="00FC16BD"/>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2417AA"/>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unhideWhenUsed/>
    <w:qFormat/>
    <w:rsid w:val="003D1E44"/>
    <w:pPr>
      <w:keepNext/>
      <w:keepLines/>
      <w:spacing w:before="40"/>
      <w:outlineLvl w:val="2"/>
    </w:pPr>
    <w:rPr>
      <w:rFonts w:asciiTheme="majorHAnsi" w:eastAsiaTheme="majorEastAsia" w:hAnsiTheme="majorHAnsi" w:cstheme="majorBidi"/>
      <w:color w:val="0A2F4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customStyle="1" w:styleId="Heading3Char">
    <w:name w:val="Heading 3 Char"/>
    <w:basedOn w:val="DefaultParagraphFont"/>
    <w:link w:val="Heading3"/>
    <w:uiPriority w:val="9"/>
    <w:rsid w:val="003D1E44"/>
    <w:rPr>
      <w:rFonts w:asciiTheme="majorHAnsi" w:eastAsiaTheme="majorEastAsia" w:hAnsiTheme="majorHAnsi" w:cstheme="majorBidi"/>
      <w:color w:val="0A2F4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33605">
      <w:bodyDiv w:val="1"/>
      <w:marLeft w:val="0"/>
      <w:marRight w:val="0"/>
      <w:marTop w:val="0"/>
      <w:marBottom w:val="0"/>
      <w:divBdr>
        <w:top w:val="none" w:sz="0" w:space="0" w:color="auto"/>
        <w:left w:val="none" w:sz="0" w:space="0" w:color="auto"/>
        <w:bottom w:val="none" w:sz="0" w:space="0" w:color="auto"/>
        <w:right w:val="none" w:sz="0" w:space="0" w:color="auto"/>
      </w:divBdr>
    </w:div>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05639">
      <w:bodyDiv w:val="1"/>
      <w:marLeft w:val="0"/>
      <w:marRight w:val="0"/>
      <w:marTop w:val="0"/>
      <w:marBottom w:val="0"/>
      <w:divBdr>
        <w:top w:val="none" w:sz="0" w:space="0" w:color="auto"/>
        <w:left w:val="none" w:sz="0" w:space="0" w:color="auto"/>
        <w:bottom w:val="none" w:sz="0" w:space="0" w:color="auto"/>
        <w:right w:val="none" w:sz="0" w:space="0" w:color="auto"/>
      </w:divBdr>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3952161">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293401">
      <w:bodyDiv w:val="1"/>
      <w:marLeft w:val="0"/>
      <w:marRight w:val="0"/>
      <w:marTop w:val="0"/>
      <w:marBottom w:val="0"/>
      <w:divBdr>
        <w:top w:val="none" w:sz="0" w:space="0" w:color="auto"/>
        <w:left w:val="none" w:sz="0" w:space="0" w:color="auto"/>
        <w:bottom w:val="none" w:sz="0" w:space="0" w:color="auto"/>
        <w:right w:val="none" w:sz="0" w:space="0" w:color="auto"/>
      </w:divBdr>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102980">
      <w:bodyDiv w:val="1"/>
      <w:marLeft w:val="0"/>
      <w:marRight w:val="0"/>
      <w:marTop w:val="0"/>
      <w:marBottom w:val="0"/>
      <w:divBdr>
        <w:top w:val="none" w:sz="0" w:space="0" w:color="auto"/>
        <w:left w:val="none" w:sz="0" w:space="0" w:color="auto"/>
        <w:bottom w:val="none" w:sz="0" w:space="0" w:color="auto"/>
        <w:right w:val="none" w:sz="0" w:space="0" w:color="auto"/>
      </w:divBdr>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29622">
      <w:bodyDiv w:val="1"/>
      <w:marLeft w:val="0"/>
      <w:marRight w:val="0"/>
      <w:marTop w:val="0"/>
      <w:marBottom w:val="0"/>
      <w:divBdr>
        <w:top w:val="none" w:sz="0" w:space="0" w:color="auto"/>
        <w:left w:val="none" w:sz="0" w:space="0" w:color="auto"/>
        <w:bottom w:val="none" w:sz="0" w:space="0" w:color="auto"/>
        <w:right w:val="none" w:sz="0" w:space="0" w:color="auto"/>
      </w:divBdr>
    </w:div>
    <w:div w:id="489491883">
      <w:bodyDiv w:val="1"/>
      <w:marLeft w:val="0"/>
      <w:marRight w:val="0"/>
      <w:marTop w:val="0"/>
      <w:marBottom w:val="0"/>
      <w:divBdr>
        <w:top w:val="none" w:sz="0" w:space="0" w:color="auto"/>
        <w:left w:val="none" w:sz="0" w:space="0" w:color="auto"/>
        <w:bottom w:val="none" w:sz="0" w:space="0" w:color="auto"/>
        <w:right w:val="none" w:sz="0" w:space="0" w:color="auto"/>
      </w:divBdr>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799132">
      <w:bodyDiv w:val="1"/>
      <w:marLeft w:val="0"/>
      <w:marRight w:val="0"/>
      <w:marTop w:val="0"/>
      <w:marBottom w:val="0"/>
      <w:divBdr>
        <w:top w:val="none" w:sz="0" w:space="0" w:color="auto"/>
        <w:left w:val="none" w:sz="0" w:space="0" w:color="auto"/>
        <w:bottom w:val="none" w:sz="0" w:space="0" w:color="auto"/>
        <w:right w:val="none" w:sz="0" w:space="0" w:color="auto"/>
      </w:divBdr>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475294">
      <w:bodyDiv w:val="1"/>
      <w:marLeft w:val="0"/>
      <w:marRight w:val="0"/>
      <w:marTop w:val="0"/>
      <w:marBottom w:val="0"/>
      <w:divBdr>
        <w:top w:val="none" w:sz="0" w:space="0" w:color="auto"/>
        <w:left w:val="none" w:sz="0" w:space="0" w:color="auto"/>
        <w:bottom w:val="none" w:sz="0" w:space="0" w:color="auto"/>
        <w:right w:val="none" w:sz="0" w:space="0" w:color="auto"/>
      </w:divBdr>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926805">
      <w:bodyDiv w:val="1"/>
      <w:marLeft w:val="0"/>
      <w:marRight w:val="0"/>
      <w:marTop w:val="0"/>
      <w:marBottom w:val="0"/>
      <w:divBdr>
        <w:top w:val="none" w:sz="0" w:space="0" w:color="auto"/>
        <w:left w:val="none" w:sz="0" w:space="0" w:color="auto"/>
        <w:bottom w:val="none" w:sz="0" w:space="0" w:color="auto"/>
        <w:right w:val="none" w:sz="0" w:space="0" w:color="auto"/>
      </w:divBdr>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15612">
      <w:bodyDiv w:val="1"/>
      <w:marLeft w:val="0"/>
      <w:marRight w:val="0"/>
      <w:marTop w:val="0"/>
      <w:marBottom w:val="0"/>
      <w:divBdr>
        <w:top w:val="none" w:sz="0" w:space="0" w:color="auto"/>
        <w:left w:val="none" w:sz="0" w:space="0" w:color="auto"/>
        <w:bottom w:val="none" w:sz="0" w:space="0" w:color="auto"/>
        <w:right w:val="none" w:sz="0" w:space="0" w:color="auto"/>
      </w:divBdr>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191421">
      <w:bodyDiv w:val="1"/>
      <w:marLeft w:val="0"/>
      <w:marRight w:val="0"/>
      <w:marTop w:val="0"/>
      <w:marBottom w:val="0"/>
      <w:divBdr>
        <w:top w:val="none" w:sz="0" w:space="0" w:color="auto"/>
        <w:left w:val="none" w:sz="0" w:space="0" w:color="auto"/>
        <w:bottom w:val="none" w:sz="0" w:space="0" w:color="auto"/>
        <w:right w:val="none" w:sz="0" w:space="0" w:color="auto"/>
      </w:divBdr>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987893">
      <w:bodyDiv w:val="1"/>
      <w:marLeft w:val="0"/>
      <w:marRight w:val="0"/>
      <w:marTop w:val="0"/>
      <w:marBottom w:val="0"/>
      <w:divBdr>
        <w:top w:val="none" w:sz="0" w:space="0" w:color="auto"/>
        <w:left w:val="none" w:sz="0" w:space="0" w:color="auto"/>
        <w:bottom w:val="none" w:sz="0" w:space="0" w:color="auto"/>
        <w:right w:val="none" w:sz="0" w:space="0" w:color="auto"/>
      </w:divBdr>
    </w:div>
    <w:div w:id="1457212897">
      <w:bodyDiv w:val="1"/>
      <w:marLeft w:val="0"/>
      <w:marRight w:val="0"/>
      <w:marTop w:val="0"/>
      <w:marBottom w:val="0"/>
      <w:divBdr>
        <w:top w:val="none" w:sz="0" w:space="0" w:color="auto"/>
        <w:left w:val="none" w:sz="0" w:space="0" w:color="auto"/>
        <w:bottom w:val="none" w:sz="0" w:space="0" w:color="auto"/>
        <w:right w:val="none" w:sz="0" w:space="0" w:color="auto"/>
      </w:divBdr>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045112">
      <w:bodyDiv w:val="1"/>
      <w:marLeft w:val="0"/>
      <w:marRight w:val="0"/>
      <w:marTop w:val="0"/>
      <w:marBottom w:val="0"/>
      <w:divBdr>
        <w:top w:val="none" w:sz="0" w:space="0" w:color="auto"/>
        <w:left w:val="none" w:sz="0" w:space="0" w:color="auto"/>
        <w:bottom w:val="none" w:sz="0" w:space="0" w:color="auto"/>
        <w:right w:val="none" w:sz="0" w:space="0" w:color="auto"/>
      </w:divBdr>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248230">
      <w:bodyDiv w:val="1"/>
      <w:marLeft w:val="0"/>
      <w:marRight w:val="0"/>
      <w:marTop w:val="0"/>
      <w:marBottom w:val="0"/>
      <w:divBdr>
        <w:top w:val="none" w:sz="0" w:space="0" w:color="auto"/>
        <w:left w:val="none" w:sz="0" w:space="0" w:color="auto"/>
        <w:bottom w:val="none" w:sz="0" w:space="0" w:color="auto"/>
        <w:right w:val="none" w:sz="0" w:space="0" w:color="auto"/>
      </w:divBdr>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602379">
      <w:bodyDiv w:val="1"/>
      <w:marLeft w:val="0"/>
      <w:marRight w:val="0"/>
      <w:marTop w:val="0"/>
      <w:marBottom w:val="0"/>
      <w:divBdr>
        <w:top w:val="none" w:sz="0" w:space="0" w:color="auto"/>
        <w:left w:val="none" w:sz="0" w:space="0" w:color="auto"/>
        <w:bottom w:val="none" w:sz="0" w:space="0" w:color="auto"/>
        <w:right w:val="none" w:sz="0" w:space="0" w:color="auto"/>
      </w:divBdr>
    </w:div>
    <w:div w:id="1747268130">
      <w:bodyDiv w:val="1"/>
      <w:marLeft w:val="0"/>
      <w:marRight w:val="0"/>
      <w:marTop w:val="0"/>
      <w:marBottom w:val="0"/>
      <w:divBdr>
        <w:top w:val="none" w:sz="0" w:space="0" w:color="auto"/>
        <w:left w:val="none" w:sz="0" w:space="0" w:color="auto"/>
        <w:bottom w:val="none" w:sz="0" w:space="0" w:color="auto"/>
        <w:right w:val="none" w:sz="0" w:space="0" w:color="auto"/>
      </w:divBdr>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4SQX5P7U7WPY-958212181-819070</_dlc_DocId>
    <_dlc_DocIdUrl xmlns="c890fddd-4e87-4e08-8b51-545f2a3f7b06">
      <Url>https://senpr.sharepoint.com/sites/obralegislativa/_layouts/15/DocIdRedir.aspx?ID=4SQX5P7U7WPY-958212181-819070</Url>
      <Description>4SQX5P7U7WPY-958212181-819070</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2.xml><?xml version="1.0" encoding="utf-8"?>
<ds:datastoreItem xmlns:ds="http://schemas.openxmlformats.org/officeDocument/2006/customXml" ds:itemID="{7E9577AD-38E1-4F13-8685-68B2BCDC3EFA}"/>
</file>

<file path=customXml/itemProps3.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8056DA51-5430-4468-925F-7A1C5EA5151E}"/>
</file>

<file path=docProps/app.xml><?xml version="1.0" encoding="utf-8"?>
<Properties xmlns="http://schemas.openxmlformats.org/officeDocument/2006/extended-properties" xmlns:vt="http://schemas.openxmlformats.org/officeDocument/2006/docPropsVTypes">
  <Template>Medida-V2009</Template>
  <TotalTime>0</TotalTime>
  <Pages>8</Pages>
  <Words>3252</Words>
  <Characters>18028</Characters>
  <Application>Microsoft Office Word</Application>
  <DocSecurity>0</DocSecurity>
  <Lines>150</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Manager/>
  <Company/>
  <LinksUpToDate>false</LinksUpToDate>
  <CharactersWithSpaces>21238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
  <cp:keywords>Comision APP</cp:keywords>
  <dc:description/>
  <cp:lastModifiedBy/>
  <cp:revision>1</cp:revision>
  <cp:lastPrinted>2025-03-06T13:07:00Z</cp:lastPrinted>
  <dcterms:created xsi:type="dcterms:W3CDTF">2025-09-23T16:27:00Z</dcterms:created>
  <dcterms:modified xsi:type="dcterms:W3CDTF">2025-09-23T16:27:00Z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1b4cca28-6351-4881-9ab8-92484b583528</vt:lpwstr>
  </property>
  <property fmtid="{D5CDD505-2E9C-101B-9397-08002B2CF9AE}" pid="4" name="MediaServiceImageTags">
    <vt:lpwstr/>
  </property>
</Properties>
</file>