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95943" w14:textId="77777777" w:rsidR="009E1EB9" w:rsidRPr="00490AA2" w:rsidRDefault="009E1EB9" w:rsidP="009E1EB9">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63121669" w14:textId="51EB0918" w:rsidR="009E1EB9" w:rsidRPr="00490AA2" w:rsidRDefault="009E1EB9" w:rsidP="009E1EB9">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r w:rsidRPr="00490AA2">
        <w:rPr>
          <w:rFonts w:ascii="Book Antiqua" w:hAnsi="Book Antiqua"/>
          <w:szCs w:val="24"/>
          <w:lang w:val="es-PR"/>
        </w:rPr>
        <w:tab/>
        <w:t xml:space="preserve"> </w:t>
      </w:r>
      <w:r>
        <w:rPr>
          <w:rFonts w:ascii="Book Antiqua" w:hAnsi="Book Antiqua"/>
          <w:szCs w:val="24"/>
          <w:lang w:val="es-PR"/>
        </w:rPr>
        <w:t>2</w:t>
      </w:r>
      <w:r>
        <w:rPr>
          <w:rFonts w:ascii="Book Antiqua" w:hAnsi="Book Antiqua"/>
          <w:szCs w:val="24"/>
          <w:vertAlign w:val="superscript"/>
          <w:lang w:val="es-PR"/>
        </w:rPr>
        <w:t>da.</w:t>
      </w:r>
      <w:r w:rsidRPr="00490AA2">
        <w:rPr>
          <w:rFonts w:ascii="Book Antiqua" w:hAnsi="Book Antiqua"/>
          <w:szCs w:val="24"/>
          <w:lang w:val="es-PR"/>
        </w:rPr>
        <w:t xml:space="preserve">   Sesión </w:t>
      </w:r>
    </w:p>
    <w:p w14:paraId="47F2A764" w14:textId="0402FE64" w:rsidR="009E1EB9" w:rsidRPr="00490AA2" w:rsidRDefault="009E1EB9" w:rsidP="009E1EB9">
      <w:pPr>
        <w:rPr>
          <w:rFonts w:ascii="Book Antiqua" w:hAnsi="Book Antiqua"/>
          <w:b/>
          <w:szCs w:val="24"/>
          <w:lang w:val="es-PR"/>
        </w:rPr>
      </w:pPr>
      <w:r w:rsidRPr="00490AA2">
        <w:rPr>
          <w:rFonts w:ascii="Book Antiqua" w:hAnsi="Book Antiqua"/>
          <w:szCs w:val="24"/>
          <w:lang w:val="es-PR"/>
        </w:rPr>
        <w:t xml:space="preserve">      </w:t>
      </w:r>
      <w:r w:rsidR="00B07119">
        <w:rPr>
          <w:rFonts w:ascii="Book Antiqua" w:hAnsi="Book Antiqua"/>
          <w:szCs w:val="24"/>
          <w:lang w:val="es-PR"/>
        </w:rPr>
        <w:t xml:space="preserve">  </w:t>
      </w: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Ordinaria</w:t>
      </w:r>
    </w:p>
    <w:p w14:paraId="430C7AB9" w14:textId="77777777" w:rsidR="009E1EB9" w:rsidRPr="00490AA2" w:rsidRDefault="009E1EB9" w:rsidP="009E1EB9">
      <w:pPr>
        <w:spacing w:line="360" w:lineRule="auto"/>
        <w:jc w:val="center"/>
        <w:rPr>
          <w:rFonts w:ascii="Book Antiqua" w:hAnsi="Book Antiqua"/>
          <w:b/>
          <w:sz w:val="36"/>
          <w:szCs w:val="36"/>
          <w:lang w:val="es-PR"/>
        </w:rPr>
      </w:pPr>
    </w:p>
    <w:p w14:paraId="50CCEB6A" w14:textId="77777777" w:rsidR="009E1EB9" w:rsidRPr="00490AA2" w:rsidRDefault="009E1EB9" w:rsidP="009E1EB9">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60702409" w14:textId="15F18555" w:rsidR="009E1EB9" w:rsidRPr="00490AA2" w:rsidRDefault="009E1EB9" w:rsidP="009E1EB9">
      <w:pPr>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Pr>
          <w:rFonts w:ascii="Book Antiqua" w:hAnsi="Book Antiqua"/>
          <w:b/>
          <w:sz w:val="52"/>
          <w:szCs w:val="52"/>
          <w:lang w:val="es-PR"/>
        </w:rPr>
        <w:t xml:space="preserve">l </w:t>
      </w:r>
      <w:r w:rsidR="00037956">
        <w:rPr>
          <w:rFonts w:ascii="Book Antiqua" w:hAnsi="Book Antiqua"/>
          <w:b/>
          <w:sz w:val="52"/>
          <w:szCs w:val="52"/>
          <w:lang w:val="es-PR"/>
        </w:rPr>
        <w:t>S</w:t>
      </w:r>
      <w:r>
        <w:rPr>
          <w:rFonts w:ascii="Book Antiqua" w:hAnsi="Book Antiqua"/>
          <w:b/>
          <w:sz w:val="52"/>
          <w:szCs w:val="52"/>
          <w:lang w:val="es-PR"/>
        </w:rPr>
        <w:t>.</w:t>
      </w:r>
      <w:r w:rsidRPr="00490AA2">
        <w:rPr>
          <w:rFonts w:ascii="Book Antiqua" w:hAnsi="Book Antiqua"/>
          <w:b/>
          <w:sz w:val="52"/>
          <w:szCs w:val="52"/>
          <w:lang w:val="es-PR"/>
        </w:rPr>
        <w:t xml:space="preserve"> </w:t>
      </w:r>
      <w:r>
        <w:rPr>
          <w:rFonts w:ascii="Book Antiqua" w:hAnsi="Book Antiqua"/>
          <w:b/>
          <w:sz w:val="52"/>
          <w:szCs w:val="52"/>
          <w:lang w:val="es-PR"/>
        </w:rPr>
        <w:t>545</w:t>
      </w:r>
    </w:p>
    <w:p w14:paraId="49236800" w14:textId="77777777" w:rsidR="009E1EB9" w:rsidRPr="00490AA2" w:rsidRDefault="009E1EB9" w:rsidP="009E1EB9">
      <w:pPr>
        <w:contextualSpacing/>
        <w:jc w:val="center"/>
        <w:rPr>
          <w:rFonts w:ascii="Book Antiqua" w:hAnsi="Book Antiqua"/>
          <w:b/>
          <w:sz w:val="28"/>
          <w:szCs w:val="28"/>
          <w:lang w:val="es-PR"/>
        </w:rPr>
      </w:pPr>
      <w:r w:rsidRPr="00490AA2">
        <w:rPr>
          <w:rFonts w:ascii="Book Antiqua" w:hAnsi="Book Antiqua"/>
          <w:b/>
          <w:sz w:val="28"/>
          <w:szCs w:val="28"/>
          <w:lang w:val="es-PR"/>
        </w:rPr>
        <w:t>INFORME POSITIVO</w:t>
      </w:r>
    </w:p>
    <w:p w14:paraId="2491420A" w14:textId="77777777" w:rsidR="00B07119" w:rsidRDefault="00B07119" w:rsidP="009E1EB9">
      <w:pPr>
        <w:contextualSpacing/>
        <w:jc w:val="center"/>
        <w:rPr>
          <w:rFonts w:ascii="Book Antiqua" w:hAnsi="Book Antiqua"/>
          <w:szCs w:val="24"/>
          <w:lang w:val="es-PR"/>
        </w:rPr>
      </w:pPr>
    </w:p>
    <w:p w14:paraId="02AAA3DD" w14:textId="22397FB4" w:rsidR="009E1EB9" w:rsidRPr="00490AA2" w:rsidRDefault="00453A01" w:rsidP="009E1EB9">
      <w:pPr>
        <w:contextualSpacing/>
        <w:jc w:val="center"/>
        <w:rPr>
          <w:rFonts w:ascii="Book Antiqua" w:hAnsi="Book Antiqua"/>
          <w:szCs w:val="24"/>
          <w:lang w:val="es-PR"/>
        </w:rPr>
      </w:pPr>
      <w:r>
        <w:rPr>
          <w:rFonts w:ascii="Book Antiqua" w:hAnsi="Book Antiqua"/>
          <w:szCs w:val="24"/>
          <w:lang w:val="es-PR"/>
        </w:rPr>
        <w:t>21</w:t>
      </w:r>
      <w:r w:rsidR="009E1EB9">
        <w:rPr>
          <w:rFonts w:ascii="Book Antiqua" w:hAnsi="Book Antiqua"/>
          <w:szCs w:val="24"/>
          <w:lang w:val="es-PR"/>
        </w:rPr>
        <w:t xml:space="preserve"> de agosto </w:t>
      </w:r>
      <w:r w:rsidR="009E1EB9" w:rsidRPr="00490AA2">
        <w:rPr>
          <w:rFonts w:ascii="Book Antiqua" w:hAnsi="Book Antiqua"/>
          <w:szCs w:val="24"/>
          <w:lang w:val="es-PR"/>
        </w:rPr>
        <w:t>de 2025</w:t>
      </w:r>
    </w:p>
    <w:p w14:paraId="675D0829" w14:textId="77777777" w:rsidR="009E1EB9" w:rsidRDefault="009E1EB9" w:rsidP="009E1EB9">
      <w:pPr>
        <w:contextualSpacing/>
        <w:rPr>
          <w:rFonts w:ascii="Book Antiqua" w:hAnsi="Book Antiqua"/>
          <w:b/>
          <w:szCs w:val="24"/>
          <w:lang w:val="es-PR"/>
        </w:rPr>
      </w:pPr>
    </w:p>
    <w:p w14:paraId="770EF38C" w14:textId="77777777" w:rsidR="009E1EB9" w:rsidRPr="00490AA2" w:rsidRDefault="009E1EB9" w:rsidP="009E1EB9">
      <w:pPr>
        <w:contextualSpacing/>
        <w:rPr>
          <w:rFonts w:ascii="Book Antiqua" w:hAnsi="Book Antiqua"/>
          <w:b/>
          <w:szCs w:val="24"/>
          <w:lang w:val="es-PR"/>
        </w:rPr>
      </w:pPr>
    </w:p>
    <w:p w14:paraId="13A22CDC" w14:textId="77777777" w:rsidR="009E1EB9" w:rsidRPr="00490AA2" w:rsidRDefault="009E1EB9" w:rsidP="00B07119">
      <w:pPr>
        <w:contextualSpacing/>
        <w:jc w:val="both"/>
        <w:rPr>
          <w:rFonts w:ascii="Book Antiqua" w:hAnsi="Book Antiqua"/>
          <w:b/>
          <w:szCs w:val="24"/>
          <w:lang w:val="es-PR"/>
        </w:rPr>
      </w:pPr>
      <w:r w:rsidRPr="00490AA2">
        <w:rPr>
          <w:rFonts w:ascii="Book Antiqua" w:hAnsi="Book Antiqua"/>
          <w:b/>
          <w:szCs w:val="24"/>
          <w:lang w:val="es-PR"/>
        </w:rPr>
        <w:t>A LA CÁMARA DE REPRESENTANTES DE PUERTO RICO:</w:t>
      </w:r>
    </w:p>
    <w:p w14:paraId="4F9FB615" w14:textId="77777777" w:rsidR="009E1EB9" w:rsidRPr="00490AA2" w:rsidRDefault="009E1EB9" w:rsidP="00B07119">
      <w:pPr>
        <w:contextualSpacing/>
        <w:jc w:val="both"/>
        <w:rPr>
          <w:rFonts w:ascii="Book Antiqua" w:hAnsi="Book Antiqua"/>
          <w:szCs w:val="24"/>
          <w:lang w:val="es-PR"/>
        </w:rPr>
      </w:pPr>
    </w:p>
    <w:p w14:paraId="08C96DD0" w14:textId="1C0905AE" w:rsidR="009E1EB9" w:rsidRPr="009E1EB9" w:rsidRDefault="009E1EB9" w:rsidP="00B07119">
      <w:pPr>
        <w:ind w:firstLine="708"/>
        <w:contextualSpacing/>
        <w:jc w:val="both"/>
        <w:rPr>
          <w:rFonts w:ascii="Book Antiqua" w:hAnsi="Book Antiqua"/>
          <w:lang w:val="es-PR"/>
        </w:rPr>
      </w:pPr>
      <w:r w:rsidRPr="009E1EB9">
        <w:rPr>
          <w:rFonts w:ascii="Book Antiqua" w:hAnsi="Book Antiqua"/>
          <w:lang w:val="es-PR"/>
        </w:rPr>
        <w:t xml:space="preserve">La Comisión de Gobierno de la Cámara de Representantes, previo estudio y consideración, tiene a bien rendir este Informe Positivo </w:t>
      </w:r>
      <w:r w:rsidRPr="000E3693">
        <w:rPr>
          <w:rFonts w:ascii="Book Antiqua" w:hAnsi="Book Antiqua"/>
          <w:lang w:val="es-PR"/>
        </w:rPr>
        <w:t xml:space="preserve">sobre el </w:t>
      </w:r>
      <w:r w:rsidRPr="00D308C5">
        <w:rPr>
          <w:rFonts w:ascii="Book Antiqua" w:hAnsi="Book Antiqua"/>
          <w:lang w:val="es-PR"/>
        </w:rPr>
        <w:t>Proyecto del Senado 545,</w:t>
      </w:r>
      <w:r w:rsidRPr="000E3693">
        <w:rPr>
          <w:rFonts w:ascii="Book Antiqua" w:hAnsi="Book Antiqua"/>
          <w:lang w:val="es-PR"/>
        </w:rPr>
        <w:t xml:space="preserve"> recomendando a este Alto Cuerpo su aprobación</w:t>
      </w:r>
      <w:r w:rsidR="005F5473">
        <w:rPr>
          <w:rFonts w:ascii="Book Antiqua" w:hAnsi="Book Antiqua"/>
          <w:lang w:val="es-PR"/>
        </w:rPr>
        <w:t>,</w:t>
      </w:r>
      <w:r w:rsidRPr="000E3693">
        <w:rPr>
          <w:rFonts w:ascii="Book Antiqua" w:hAnsi="Book Antiqua"/>
          <w:lang w:val="es-PR"/>
        </w:rPr>
        <w:t xml:space="preserve"> </w:t>
      </w:r>
      <w:r w:rsidRPr="00B07119">
        <w:rPr>
          <w:rFonts w:ascii="Book Antiqua" w:hAnsi="Book Antiqua"/>
          <w:lang w:val="es-PR"/>
        </w:rPr>
        <w:t>sin enmiendas</w:t>
      </w:r>
      <w:r w:rsidRPr="000E3693">
        <w:rPr>
          <w:rFonts w:ascii="Book Antiqua" w:hAnsi="Book Antiqua"/>
          <w:lang w:val="es-PR"/>
        </w:rPr>
        <w:t>.</w:t>
      </w:r>
      <w:r w:rsidRPr="009E1EB9">
        <w:rPr>
          <w:rFonts w:ascii="Book Antiqua" w:hAnsi="Book Antiqua"/>
          <w:lang w:val="es-PR"/>
        </w:rPr>
        <w:t> </w:t>
      </w:r>
    </w:p>
    <w:p w14:paraId="09C85C89" w14:textId="77777777" w:rsidR="009E1EB9" w:rsidRPr="00490AA2" w:rsidRDefault="009E1EB9" w:rsidP="00B07119">
      <w:pPr>
        <w:ind w:firstLine="720"/>
        <w:contextualSpacing/>
        <w:jc w:val="both"/>
        <w:rPr>
          <w:rFonts w:ascii="Book Antiqua" w:hAnsi="Book Antiqua"/>
          <w:szCs w:val="24"/>
          <w:lang w:val="es-PR"/>
        </w:rPr>
      </w:pPr>
    </w:p>
    <w:p w14:paraId="66929855" w14:textId="5BD16D3D" w:rsidR="009E1EB9" w:rsidRPr="00490AA2" w:rsidRDefault="009E1EB9" w:rsidP="00B07119">
      <w:pPr>
        <w:contextualSpacing/>
        <w:jc w:val="center"/>
        <w:outlineLvl w:val="0"/>
        <w:rPr>
          <w:rFonts w:ascii="Book Antiqua" w:hAnsi="Book Antiqua"/>
          <w:b/>
          <w:caps/>
          <w:szCs w:val="24"/>
          <w:lang w:val="es-PR"/>
        </w:rPr>
      </w:pPr>
      <w:r w:rsidRPr="00490AA2">
        <w:rPr>
          <w:rFonts w:ascii="Book Antiqua" w:hAnsi="Book Antiqua"/>
          <w:b/>
          <w:caps/>
          <w:szCs w:val="24"/>
          <w:lang w:val="es-PR"/>
        </w:rPr>
        <w:t>ALCANCE DE LA MEDIDA</w:t>
      </w:r>
    </w:p>
    <w:p w14:paraId="20EAE74C" w14:textId="77777777" w:rsidR="009E1EB9" w:rsidRPr="00490AA2" w:rsidRDefault="009E1EB9" w:rsidP="00B07119">
      <w:pPr>
        <w:contextualSpacing/>
        <w:jc w:val="both"/>
        <w:outlineLvl w:val="0"/>
        <w:rPr>
          <w:rFonts w:ascii="Book Antiqua" w:hAnsi="Book Antiqua"/>
          <w:b/>
          <w:caps/>
          <w:szCs w:val="24"/>
          <w:lang w:val="es-PR"/>
        </w:rPr>
      </w:pPr>
    </w:p>
    <w:p w14:paraId="7E9B346C" w14:textId="77777777" w:rsidR="00545DCC" w:rsidRPr="00545DCC" w:rsidRDefault="00545DCC" w:rsidP="00B07119">
      <w:pPr>
        <w:ind w:firstLine="708"/>
        <w:contextualSpacing/>
        <w:jc w:val="both"/>
        <w:rPr>
          <w:rFonts w:ascii="Book Antiqua" w:hAnsi="Book Antiqua"/>
          <w:szCs w:val="24"/>
          <w:lang w:val="es-PR"/>
        </w:rPr>
      </w:pPr>
      <w:r w:rsidRPr="00545DCC">
        <w:rPr>
          <w:rFonts w:ascii="Book Antiqua" w:hAnsi="Book Antiqua"/>
          <w:szCs w:val="24"/>
          <w:lang w:val="es-PR"/>
        </w:rPr>
        <w:t>El Proyecto del Senado 545 tiene como propósito declarar el 15 de noviembre de cada año como el “Día de los Puertorriqueños en las Ciencias”. Esta conmemoración busca institucionalizar, a nivel gubernamental, el reconocimiento de las aportaciones de hombres y mujeres puertorriqueños en múltiples campos científicos y fomentar actividades educativas y comunitarias relacionadas.</w:t>
      </w:r>
    </w:p>
    <w:p w14:paraId="66313B14" w14:textId="77777777" w:rsidR="009E1EB9" w:rsidRPr="001D58EF" w:rsidRDefault="009E1EB9" w:rsidP="00B07119">
      <w:pPr>
        <w:contextualSpacing/>
        <w:jc w:val="both"/>
        <w:rPr>
          <w:rFonts w:ascii="Book Antiqua" w:hAnsi="Book Antiqua"/>
          <w:szCs w:val="24"/>
          <w:lang w:val="es-PR"/>
        </w:rPr>
      </w:pPr>
    </w:p>
    <w:p w14:paraId="09B450A6" w14:textId="77777777" w:rsidR="009E1EB9" w:rsidRPr="00490AA2" w:rsidRDefault="009E1EB9" w:rsidP="00B07119">
      <w:pPr>
        <w:contextualSpacing/>
        <w:jc w:val="center"/>
        <w:rPr>
          <w:rFonts w:ascii="Book Antiqua" w:hAnsi="Book Antiqua"/>
          <w:b/>
          <w:szCs w:val="24"/>
          <w:lang w:val="es-PR"/>
        </w:rPr>
      </w:pPr>
      <w:r w:rsidRPr="00490AA2">
        <w:rPr>
          <w:rFonts w:ascii="Book Antiqua" w:hAnsi="Book Antiqua"/>
          <w:b/>
          <w:szCs w:val="24"/>
          <w:lang w:val="es-PR"/>
        </w:rPr>
        <w:t>INTRODUCCIÓN</w:t>
      </w:r>
    </w:p>
    <w:p w14:paraId="6586B6BC" w14:textId="77777777" w:rsidR="009E1EB9" w:rsidRPr="00490AA2" w:rsidRDefault="009E1EB9" w:rsidP="00B07119">
      <w:pPr>
        <w:pStyle w:val="NoSpacing"/>
        <w:contextualSpacing/>
        <w:jc w:val="both"/>
        <w:rPr>
          <w:rFonts w:ascii="Book Antiqua" w:hAnsi="Book Antiqua"/>
          <w:szCs w:val="24"/>
          <w:lang w:val="es-PR"/>
        </w:rPr>
      </w:pPr>
    </w:p>
    <w:p w14:paraId="1D831415" w14:textId="2A426EED" w:rsidR="005F5473" w:rsidRPr="00292DCF" w:rsidRDefault="005F5473" w:rsidP="00B07119">
      <w:pPr>
        <w:ind w:firstLine="708"/>
        <w:contextualSpacing/>
        <w:jc w:val="both"/>
        <w:rPr>
          <w:rFonts w:ascii="Book Antiqua" w:hAnsi="Book Antiqua"/>
          <w:lang w:val="es-PR"/>
        </w:rPr>
      </w:pPr>
      <w:r w:rsidRPr="00292DCF">
        <w:rPr>
          <w:rFonts w:ascii="Book Antiqua" w:hAnsi="Book Antiqua"/>
          <w:lang w:val="es-PR"/>
        </w:rPr>
        <w:t xml:space="preserve">La Exposición de Motivos de la medida </w:t>
      </w:r>
      <w:r>
        <w:rPr>
          <w:rFonts w:ascii="Book Antiqua" w:hAnsi="Book Antiqua"/>
          <w:lang w:val="es-PR"/>
        </w:rPr>
        <w:t>resalta</w:t>
      </w:r>
      <w:r w:rsidRPr="00292DCF">
        <w:rPr>
          <w:rFonts w:ascii="Book Antiqua" w:hAnsi="Book Antiqua"/>
          <w:lang w:val="es-PR"/>
        </w:rPr>
        <w:t xml:space="preserve"> que Puerto Rico cuenta con una trayectoria significativa en logros científicos y avances tecnológicos, protagonizados por figuras puertorriqueñas en disciplinas como la biología, medicina, química, física, astronomía, ingeniería y ciencias ambientales.</w:t>
      </w:r>
    </w:p>
    <w:p w14:paraId="125DE994" w14:textId="77777777" w:rsidR="00B07119" w:rsidRDefault="00B07119" w:rsidP="00B07119">
      <w:pPr>
        <w:ind w:firstLine="708"/>
        <w:contextualSpacing/>
        <w:jc w:val="both"/>
        <w:rPr>
          <w:rFonts w:ascii="Book Antiqua" w:hAnsi="Book Antiqua"/>
          <w:lang w:val="es-PR"/>
        </w:rPr>
      </w:pPr>
    </w:p>
    <w:p w14:paraId="48A6378E" w14:textId="22F0FE71" w:rsidR="005F5473" w:rsidRPr="00292DCF" w:rsidRDefault="005F5473" w:rsidP="00B07119">
      <w:pPr>
        <w:ind w:firstLine="708"/>
        <w:contextualSpacing/>
        <w:jc w:val="both"/>
        <w:rPr>
          <w:rFonts w:ascii="Book Antiqua" w:hAnsi="Book Antiqua"/>
          <w:lang w:val="es-PR"/>
        </w:rPr>
      </w:pPr>
      <w:r w:rsidRPr="00292DCF">
        <w:rPr>
          <w:rFonts w:ascii="Book Antiqua" w:hAnsi="Book Antiqua"/>
          <w:lang w:val="es-PR"/>
        </w:rPr>
        <w:t>A lo largo de las décadas, hombres y mujeres puertorriqueños se han destacado en instituciones de gran prestigio mundial, como la NASA, los Institutos Nacionales de la Salud (NIH), el Centro para el Control y la Prevención de Enfermedades (CDC), y universidades de investigación alrededor del planeta. Sus contribuciones han sido fuente de orgullo y motor de inspiración para futuras generaciones.</w:t>
      </w:r>
    </w:p>
    <w:p w14:paraId="2BAE18D4" w14:textId="61E1B533" w:rsidR="005F5473" w:rsidRPr="00292DCF" w:rsidRDefault="005F5473" w:rsidP="00B07119">
      <w:pPr>
        <w:ind w:firstLine="708"/>
        <w:contextualSpacing/>
        <w:jc w:val="both"/>
        <w:rPr>
          <w:rFonts w:ascii="Book Antiqua" w:hAnsi="Book Antiqua"/>
          <w:lang w:val="es-PR"/>
        </w:rPr>
      </w:pPr>
      <w:r w:rsidRPr="00292DCF">
        <w:rPr>
          <w:rFonts w:ascii="Book Antiqua" w:hAnsi="Book Antiqua"/>
          <w:lang w:val="es-PR"/>
        </w:rPr>
        <w:lastRenderedPageBreak/>
        <w:t xml:space="preserve">Actualmente, el Departamento de Educación ya reconoce el 15 de noviembre como el “Día de los Puertorriqueños en las Ciencias” en el calendario académico oficial. </w:t>
      </w:r>
      <w:r w:rsidRPr="005F5473">
        <w:rPr>
          <w:rFonts w:ascii="Book Antiqua" w:hAnsi="Book Antiqua"/>
          <w:lang w:val="es-PR"/>
        </w:rPr>
        <w:t xml:space="preserve">No obstante, esta celebración aún carece del reconocimiento formal mediante disposición </w:t>
      </w:r>
      <w:r>
        <w:rPr>
          <w:rFonts w:ascii="Book Antiqua" w:hAnsi="Book Antiqua"/>
          <w:lang w:val="es-PR"/>
        </w:rPr>
        <w:t>de ley</w:t>
      </w:r>
      <w:r w:rsidRPr="005F5473">
        <w:rPr>
          <w:rFonts w:ascii="Book Antiqua" w:hAnsi="Book Antiqua"/>
          <w:lang w:val="es-PR"/>
        </w:rPr>
        <w:t>.</w:t>
      </w:r>
      <w:r>
        <w:rPr>
          <w:rFonts w:ascii="Book Antiqua" w:hAnsi="Book Antiqua"/>
          <w:lang w:val="es-PR"/>
        </w:rPr>
        <w:t xml:space="preserve"> </w:t>
      </w:r>
      <w:r w:rsidRPr="00292DCF">
        <w:rPr>
          <w:rFonts w:ascii="Book Antiqua" w:hAnsi="Book Antiqua"/>
          <w:lang w:val="es-PR"/>
        </w:rPr>
        <w:t>El presente proyecto atiende esa deficiencia y procura elevar la celebración a rango de ley, garantizando así su continuidad.</w:t>
      </w:r>
    </w:p>
    <w:p w14:paraId="5F37F945" w14:textId="77777777" w:rsidR="00287210" w:rsidRDefault="00287210" w:rsidP="00B07119">
      <w:pPr>
        <w:ind w:firstLine="708"/>
        <w:contextualSpacing/>
        <w:jc w:val="both"/>
        <w:rPr>
          <w:rFonts w:ascii="Book Antiqua" w:hAnsi="Book Antiqua"/>
          <w:lang w:val="es-PR"/>
        </w:rPr>
      </w:pPr>
    </w:p>
    <w:p w14:paraId="1C0E0E43" w14:textId="1C32AD88" w:rsidR="009E1EB9" w:rsidRPr="005F5473" w:rsidRDefault="005F5473" w:rsidP="00B07119">
      <w:pPr>
        <w:ind w:firstLine="708"/>
        <w:contextualSpacing/>
        <w:jc w:val="both"/>
        <w:rPr>
          <w:rFonts w:ascii="Book Antiqua" w:hAnsi="Book Antiqua"/>
          <w:lang w:val="es-PR"/>
        </w:rPr>
      </w:pPr>
      <w:r w:rsidRPr="00292DCF">
        <w:rPr>
          <w:rFonts w:ascii="Book Antiqua" w:hAnsi="Book Antiqua"/>
          <w:lang w:val="es-PR"/>
        </w:rPr>
        <w:t>De aprobarse, la medida permitirá que el Estado, instituciones educativas, organizaciones científicas, entidades privadas y la ciudadanía en general puedan coordinar esfuerzos anuales para enaltecer la figura de los científicos puertorriqueños, estimular la innovación y promover el pensamiento crítico.</w:t>
      </w:r>
    </w:p>
    <w:p w14:paraId="676FECA3" w14:textId="77777777" w:rsidR="00A62463" w:rsidRDefault="00A62463" w:rsidP="00B07119">
      <w:pPr>
        <w:contextualSpacing/>
        <w:rPr>
          <w:rFonts w:ascii="Book Antiqua" w:hAnsi="Book Antiqua"/>
          <w:b/>
          <w:caps/>
          <w:szCs w:val="24"/>
          <w:lang w:val="es-PR"/>
        </w:rPr>
      </w:pPr>
    </w:p>
    <w:p w14:paraId="6245E918" w14:textId="6F4FE778" w:rsidR="009E1EB9" w:rsidRPr="004A5FEC" w:rsidRDefault="009E1EB9" w:rsidP="00B07119">
      <w:pPr>
        <w:contextualSpacing/>
        <w:jc w:val="center"/>
        <w:rPr>
          <w:rFonts w:ascii="Book Antiqua" w:hAnsi="Book Antiqua"/>
          <w:b/>
          <w:caps/>
          <w:szCs w:val="24"/>
          <w:lang w:val="es-PR"/>
        </w:rPr>
      </w:pPr>
      <w:r w:rsidRPr="004A5FEC">
        <w:rPr>
          <w:rFonts w:ascii="Book Antiqua" w:hAnsi="Book Antiqua"/>
          <w:b/>
          <w:caps/>
          <w:szCs w:val="24"/>
          <w:lang w:val="es-PR"/>
        </w:rPr>
        <w:t>AnÁlisis de la Medida</w:t>
      </w:r>
    </w:p>
    <w:p w14:paraId="2F0C25DF" w14:textId="77777777" w:rsidR="009E1EB9" w:rsidRDefault="009E1EB9" w:rsidP="00B07119">
      <w:pPr>
        <w:ind w:firstLine="708"/>
        <w:contextualSpacing/>
        <w:jc w:val="center"/>
        <w:rPr>
          <w:rFonts w:ascii="Book Antiqua" w:hAnsi="Book Antiqua"/>
          <w:b/>
          <w:caps/>
          <w:szCs w:val="24"/>
          <w:lang w:val="es-PR"/>
        </w:rPr>
      </w:pPr>
    </w:p>
    <w:p w14:paraId="7EC34ABF" w14:textId="77777777" w:rsidR="005F5473" w:rsidRDefault="005F5473" w:rsidP="00B07119">
      <w:pPr>
        <w:pStyle w:val="ColorfulList-Accent11"/>
        <w:ind w:left="0" w:firstLine="708"/>
        <w:jc w:val="both"/>
        <w:rPr>
          <w:rFonts w:ascii="Book Antiqua" w:hAnsi="Book Antiqua"/>
          <w:bCs/>
          <w:szCs w:val="24"/>
          <w:lang w:val="es-PR"/>
        </w:rPr>
      </w:pPr>
      <w:r w:rsidRPr="005F5473">
        <w:rPr>
          <w:rFonts w:ascii="Book Antiqua" w:hAnsi="Book Antiqua"/>
          <w:bCs/>
          <w:szCs w:val="24"/>
          <w:lang w:val="es-PR"/>
        </w:rPr>
        <w:t>La Comisión de Gobierno examinó el contenido del Proyecto del Senado 545, así como los memoriales presentados por las agencias concernidas.</w:t>
      </w:r>
    </w:p>
    <w:p w14:paraId="14B4D0B5" w14:textId="77777777" w:rsidR="005F5473" w:rsidRPr="005F5473" w:rsidRDefault="005F5473" w:rsidP="00B07119">
      <w:pPr>
        <w:pStyle w:val="ColorfulList-Accent11"/>
        <w:ind w:left="0"/>
        <w:jc w:val="both"/>
        <w:rPr>
          <w:rFonts w:ascii="Book Antiqua" w:hAnsi="Book Antiqua"/>
          <w:bCs/>
          <w:szCs w:val="24"/>
          <w:lang w:val="es-PR"/>
        </w:rPr>
      </w:pPr>
    </w:p>
    <w:p w14:paraId="2304F5FE" w14:textId="705F2EBC" w:rsidR="005F5473" w:rsidRDefault="005F5473" w:rsidP="00287210">
      <w:pPr>
        <w:pStyle w:val="ColorfulList-Accent11"/>
        <w:ind w:left="0" w:firstLine="708"/>
        <w:jc w:val="both"/>
        <w:rPr>
          <w:rFonts w:ascii="Book Antiqua" w:hAnsi="Book Antiqua"/>
          <w:bCs/>
          <w:szCs w:val="24"/>
          <w:lang w:val="es-PR"/>
        </w:rPr>
      </w:pPr>
      <w:r>
        <w:rPr>
          <w:rFonts w:ascii="Book Antiqua" w:hAnsi="Book Antiqua"/>
          <w:bCs/>
          <w:szCs w:val="24"/>
          <w:lang w:val="es-PR"/>
        </w:rPr>
        <w:t xml:space="preserve">En primer lugar, el </w:t>
      </w:r>
      <w:r w:rsidRPr="005F5473">
        <w:rPr>
          <w:rFonts w:ascii="Book Antiqua" w:hAnsi="Book Antiqua"/>
          <w:bCs/>
          <w:szCs w:val="24"/>
          <w:lang w:val="es-PR"/>
        </w:rPr>
        <w:t>Departamento de Educación</w:t>
      </w:r>
      <w:r>
        <w:rPr>
          <w:rFonts w:ascii="Book Antiqua" w:hAnsi="Book Antiqua"/>
          <w:bCs/>
          <w:szCs w:val="24"/>
          <w:lang w:val="es-PR"/>
        </w:rPr>
        <w:t xml:space="preserve"> a</w:t>
      </w:r>
      <w:r w:rsidRPr="005F5473">
        <w:rPr>
          <w:rFonts w:ascii="Book Antiqua" w:hAnsi="Book Antiqua"/>
          <w:bCs/>
          <w:szCs w:val="24"/>
          <w:lang w:val="es-PR"/>
        </w:rPr>
        <w:t>való la medida, señalando que actualmente celebra el 15 de noviembre con actividades que fomentan el interés en las ciencias, tales como ferias científicas y conmemoraciones educativas. La agencia resaltó que institucionalizar la fecha por ley consolidaría este esfuerzo y constituiría una herramienta educativa clave para inspirar a las nuevas generaciones hacia carreras STEM (ciencia, tecnología, ingeniería y matemáticas).</w:t>
      </w:r>
    </w:p>
    <w:p w14:paraId="7DBE2CF4" w14:textId="77777777" w:rsidR="005F5473" w:rsidRDefault="005F5473" w:rsidP="00B07119">
      <w:pPr>
        <w:pStyle w:val="ColorfulList-Accent11"/>
        <w:ind w:left="0" w:firstLine="360"/>
        <w:jc w:val="both"/>
        <w:rPr>
          <w:rFonts w:ascii="Book Antiqua" w:hAnsi="Book Antiqua"/>
          <w:bCs/>
          <w:szCs w:val="24"/>
          <w:lang w:val="es-PR"/>
        </w:rPr>
      </w:pPr>
    </w:p>
    <w:p w14:paraId="3F09E9FD" w14:textId="77777777" w:rsidR="005F5473" w:rsidRDefault="005F5473" w:rsidP="00287210">
      <w:pPr>
        <w:pStyle w:val="ColorfulList-Accent11"/>
        <w:ind w:left="0" w:firstLine="708"/>
        <w:jc w:val="both"/>
        <w:rPr>
          <w:rFonts w:ascii="Book Antiqua" w:hAnsi="Book Antiqua"/>
          <w:bCs/>
          <w:szCs w:val="24"/>
          <w:lang w:val="es-PR"/>
        </w:rPr>
      </w:pPr>
      <w:r>
        <w:rPr>
          <w:rFonts w:ascii="Book Antiqua" w:hAnsi="Book Antiqua"/>
          <w:bCs/>
          <w:szCs w:val="24"/>
          <w:lang w:val="es-PR"/>
        </w:rPr>
        <w:t xml:space="preserve">Por su parte, el </w:t>
      </w:r>
      <w:r w:rsidRPr="005F5473">
        <w:rPr>
          <w:rFonts w:ascii="Book Antiqua" w:hAnsi="Book Antiqua"/>
          <w:bCs/>
          <w:szCs w:val="24"/>
          <w:lang w:val="es-PR"/>
        </w:rPr>
        <w:t>Departamento de Justicia</w:t>
      </w:r>
      <w:r>
        <w:rPr>
          <w:rFonts w:ascii="Book Antiqua" w:hAnsi="Book Antiqua"/>
          <w:bCs/>
          <w:szCs w:val="24"/>
          <w:lang w:val="es-PR"/>
        </w:rPr>
        <w:t xml:space="preserve"> i</w:t>
      </w:r>
      <w:r w:rsidRPr="005F5473">
        <w:rPr>
          <w:rFonts w:ascii="Book Antiqua" w:hAnsi="Book Antiqua"/>
          <w:bCs/>
          <w:szCs w:val="24"/>
          <w:lang w:val="es-PR"/>
        </w:rPr>
        <w:t>ndicó que no tiene objeción legal a que se continúe con el trámite legislativo, y resaltó que la medida se alinea con los esfuerzos ya implementados por el Departamento de Educación.</w:t>
      </w:r>
    </w:p>
    <w:p w14:paraId="7229E3BA" w14:textId="2F782A13" w:rsidR="7B6C1D54" w:rsidRDefault="7B6C1D54" w:rsidP="7B6C1D54">
      <w:pPr>
        <w:pStyle w:val="ColorfulList-Accent11"/>
        <w:ind w:left="0" w:firstLine="708"/>
        <w:jc w:val="both"/>
        <w:rPr>
          <w:rFonts w:ascii="Book Antiqua" w:hAnsi="Book Antiqua"/>
          <w:lang w:val="es-PR"/>
        </w:rPr>
      </w:pPr>
    </w:p>
    <w:p w14:paraId="11744763" w14:textId="6D61E8E6" w:rsidR="1222A2BB" w:rsidRDefault="1222A2BB" w:rsidP="6C9814BB">
      <w:pPr>
        <w:pStyle w:val="ColorfulList-Accent11"/>
        <w:ind w:left="0" w:firstLine="708"/>
        <w:jc w:val="both"/>
        <w:rPr>
          <w:rFonts w:ascii="Book Antiqua" w:eastAsia="Book Antiqua" w:hAnsi="Book Antiqua" w:cs="Book Antiqua"/>
          <w:lang w:val="es-PR"/>
        </w:rPr>
      </w:pPr>
      <w:r w:rsidRPr="515E143F">
        <w:rPr>
          <w:rFonts w:ascii="Book Antiqua" w:hAnsi="Book Antiqua"/>
          <w:lang w:val="es-PR"/>
        </w:rPr>
        <w:t xml:space="preserve">De otro modo, </w:t>
      </w:r>
      <w:r w:rsidR="681533C3" w:rsidRPr="111B67EE">
        <w:rPr>
          <w:rFonts w:ascii="Book Antiqua" w:eastAsia="Book Antiqua" w:hAnsi="Book Antiqua" w:cs="Book Antiqua"/>
          <w:lang w:val="es-PR"/>
        </w:rPr>
        <w:t>e</w:t>
      </w:r>
      <w:r w:rsidR="681533C3" w:rsidRPr="111B67EE">
        <w:rPr>
          <w:rFonts w:ascii="Book Antiqua" w:eastAsia="Book Antiqua" w:hAnsi="Book Antiqua" w:cs="Book Antiqua"/>
          <w:color w:val="000000" w:themeColor="text1"/>
          <w:szCs w:val="24"/>
          <w:lang w:val="es-PR"/>
        </w:rPr>
        <w:t xml:space="preserve">l Departamento de Estado favorece la aprobación </w:t>
      </w:r>
      <w:r w:rsidR="681533C3" w:rsidRPr="1A46ACD5">
        <w:rPr>
          <w:rFonts w:ascii="Book Antiqua" w:eastAsia="Book Antiqua" w:hAnsi="Book Antiqua" w:cs="Book Antiqua"/>
          <w:color w:val="000000" w:themeColor="text1"/>
          <w:szCs w:val="24"/>
          <w:lang w:val="es-PR"/>
        </w:rPr>
        <w:t xml:space="preserve">de la </w:t>
      </w:r>
      <w:r w:rsidR="681533C3" w:rsidRPr="32E6BBB3">
        <w:rPr>
          <w:rFonts w:ascii="Book Antiqua" w:eastAsia="Book Antiqua" w:hAnsi="Book Antiqua" w:cs="Book Antiqua"/>
          <w:color w:val="000000" w:themeColor="text1"/>
          <w:szCs w:val="24"/>
          <w:lang w:val="es-PR"/>
        </w:rPr>
        <w:t>medida,</w:t>
      </w:r>
      <w:r w:rsidR="681533C3" w:rsidRPr="111B67EE">
        <w:rPr>
          <w:rFonts w:ascii="Book Antiqua" w:eastAsia="Book Antiqua" w:hAnsi="Book Antiqua" w:cs="Book Antiqua"/>
          <w:color w:val="000000" w:themeColor="text1"/>
          <w:szCs w:val="24"/>
          <w:lang w:val="es-PR"/>
        </w:rPr>
        <w:t xml:space="preserve"> </w:t>
      </w:r>
      <w:r w:rsidR="681533C3" w:rsidRPr="15D9DCCD">
        <w:rPr>
          <w:rFonts w:ascii="Book Antiqua" w:eastAsia="Book Antiqua" w:hAnsi="Book Antiqua" w:cs="Book Antiqua"/>
          <w:color w:val="000000" w:themeColor="text1"/>
          <w:szCs w:val="24"/>
          <w:lang w:val="es-PR"/>
        </w:rPr>
        <w:t>dad</w:t>
      </w:r>
      <w:r w:rsidR="212848B3" w:rsidRPr="15D9DCCD">
        <w:rPr>
          <w:rFonts w:ascii="Book Antiqua" w:eastAsia="Book Antiqua" w:hAnsi="Book Antiqua" w:cs="Book Antiqua"/>
          <w:color w:val="000000" w:themeColor="text1"/>
          <w:szCs w:val="24"/>
          <w:lang w:val="es-PR"/>
        </w:rPr>
        <w:t>o a que</w:t>
      </w:r>
      <w:r w:rsidR="681533C3" w:rsidRPr="2EA1D765">
        <w:rPr>
          <w:rFonts w:ascii="Book Antiqua" w:eastAsia="Book Antiqua" w:hAnsi="Book Antiqua" w:cs="Book Antiqua"/>
          <w:color w:val="000000" w:themeColor="text1"/>
          <w:szCs w:val="24"/>
          <w:lang w:val="es-PR"/>
        </w:rPr>
        <w:t xml:space="preserve"> </w:t>
      </w:r>
      <w:r w:rsidR="681533C3" w:rsidRPr="1D1CEAD6">
        <w:rPr>
          <w:rFonts w:ascii="Book Antiqua" w:eastAsia="Book Antiqua" w:hAnsi="Book Antiqua" w:cs="Book Antiqua"/>
          <w:color w:val="000000" w:themeColor="text1"/>
          <w:szCs w:val="24"/>
          <w:lang w:val="es-PR"/>
        </w:rPr>
        <w:t>reconoce</w:t>
      </w:r>
      <w:r w:rsidR="681533C3" w:rsidRPr="111B67EE">
        <w:rPr>
          <w:rFonts w:ascii="Book Antiqua" w:eastAsia="Book Antiqua" w:hAnsi="Book Antiqua" w:cs="Book Antiqua"/>
          <w:color w:val="000000" w:themeColor="text1"/>
          <w:szCs w:val="24"/>
          <w:lang w:val="es-PR"/>
        </w:rPr>
        <w:t xml:space="preserve"> la importancia de la educación y la innovación como pilares para el desarrollo de Puerto Rico. </w:t>
      </w:r>
      <w:r w:rsidR="681533C3" w:rsidRPr="111B67EE">
        <w:rPr>
          <w:rFonts w:ascii="Book Antiqua" w:eastAsia="Book Antiqua" w:hAnsi="Book Antiqua" w:cs="Book Antiqua"/>
          <w:lang w:val="es-PR"/>
        </w:rPr>
        <w:t xml:space="preserve"> </w:t>
      </w:r>
    </w:p>
    <w:p w14:paraId="2C819D9D" w14:textId="56D03D47" w:rsidR="005F5473" w:rsidRDefault="005F5473" w:rsidP="7C2E2389">
      <w:pPr>
        <w:pStyle w:val="ColorfulList-Accent11"/>
        <w:ind w:left="0" w:firstLine="708"/>
        <w:jc w:val="both"/>
        <w:rPr>
          <w:rFonts w:ascii="Book Antiqua" w:hAnsi="Book Antiqua"/>
          <w:lang w:val="es-PR"/>
        </w:rPr>
      </w:pPr>
    </w:p>
    <w:p w14:paraId="78D2C7EB" w14:textId="7F3AC021" w:rsidR="005F5473" w:rsidRPr="005F5473" w:rsidRDefault="005F5473" w:rsidP="00287210">
      <w:pPr>
        <w:pStyle w:val="ColorfulList-Accent11"/>
        <w:ind w:left="0" w:firstLine="708"/>
        <w:jc w:val="both"/>
        <w:rPr>
          <w:rFonts w:ascii="Book Antiqua" w:hAnsi="Book Antiqua"/>
          <w:bCs/>
          <w:szCs w:val="24"/>
          <w:lang w:val="es-PR"/>
        </w:rPr>
      </w:pPr>
      <w:r>
        <w:rPr>
          <w:rFonts w:ascii="Book Antiqua" w:hAnsi="Book Antiqua"/>
          <w:bCs/>
          <w:szCs w:val="24"/>
          <w:lang w:val="es-PR"/>
        </w:rPr>
        <w:t xml:space="preserve">Finalmente, la </w:t>
      </w:r>
      <w:r w:rsidRPr="005F5473">
        <w:rPr>
          <w:rFonts w:ascii="Book Antiqua" w:hAnsi="Book Antiqua"/>
          <w:bCs/>
          <w:szCs w:val="24"/>
          <w:lang w:val="es-PR"/>
        </w:rPr>
        <w:t>Oficina de Presupuesto de la Asamblea Legislativa (OPAL)</w:t>
      </w:r>
      <w:r>
        <w:rPr>
          <w:rFonts w:ascii="Book Antiqua" w:hAnsi="Book Antiqua"/>
          <w:bCs/>
          <w:szCs w:val="24"/>
          <w:lang w:val="es-PR"/>
        </w:rPr>
        <w:t xml:space="preserve"> c</w:t>
      </w:r>
      <w:r w:rsidRPr="005F5473">
        <w:rPr>
          <w:rFonts w:ascii="Book Antiqua" w:hAnsi="Book Antiqua"/>
          <w:bCs/>
          <w:szCs w:val="24"/>
          <w:lang w:val="es-PR"/>
        </w:rPr>
        <w:t>oncluyó que la aprobación del proyecto no tendría impacto fiscal sobre el Fondo General, toda vez que la declaración de un día conmemorativo no genera gastos adicionales para el erario.</w:t>
      </w:r>
    </w:p>
    <w:p w14:paraId="2170FC03" w14:textId="77777777" w:rsidR="005F5473" w:rsidRDefault="005F5473" w:rsidP="00B07119">
      <w:pPr>
        <w:pStyle w:val="ColorfulList-Accent11"/>
        <w:ind w:left="0"/>
        <w:jc w:val="both"/>
        <w:rPr>
          <w:rFonts w:ascii="Book Antiqua" w:hAnsi="Book Antiqua"/>
          <w:bCs/>
          <w:szCs w:val="24"/>
          <w:lang w:val="es-PR"/>
        </w:rPr>
      </w:pPr>
    </w:p>
    <w:p w14:paraId="494C869F" w14:textId="51EF5991" w:rsidR="005F5473" w:rsidRPr="005F5473" w:rsidRDefault="005F5473" w:rsidP="005274A8">
      <w:pPr>
        <w:pStyle w:val="ColorfulList-Accent11"/>
        <w:ind w:left="0" w:firstLine="708"/>
        <w:jc w:val="both"/>
        <w:rPr>
          <w:rFonts w:ascii="Book Antiqua" w:hAnsi="Book Antiqua"/>
          <w:bCs/>
          <w:szCs w:val="24"/>
          <w:lang w:val="es-PR"/>
        </w:rPr>
      </w:pPr>
      <w:r>
        <w:rPr>
          <w:rFonts w:ascii="Book Antiqua" w:hAnsi="Book Antiqua"/>
          <w:bCs/>
          <w:szCs w:val="24"/>
          <w:lang w:val="es-PR"/>
        </w:rPr>
        <w:t>En tanto, d</w:t>
      </w:r>
      <w:r w:rsidRPr="005F5473">
        <w:rPr>
          <w:rFonts w:ascii="Book Antiqua" w:hAnsi="Book Antiqua"/>
          <w:bCs/>
          <w:szCs w:val="24"/>
          <w:lang w:val="es-PR"/>
        </w:rPr>
        <w:t xml:space="preserve">esde la perspectiva jurídica, </w:t>
      </w:r>
      <w:r>
        <w:rPr>
          <w:rFonts w:ascii="Book Antiqua" w:hAnsi="Book Antiqua"/>
          <w:bCs/>
          <w:szCs w:val="24"/>
          <w:lang w:val="es-PR"/>
        </w:rPr>
        <w:t xml:space="preserve">esta Comisión precisa que </w:t>
      </w:r>
      <w:r w:rsidRPr="005F5473">
        <w:rPr>
          <w:rFonts w:ascii="Book Antiqua" w:hAnsi="Book Antiqua"/>
          <w:bCs/>
          <w:szCs w:val="24"/>
          <w:lang w:val="es-PR"/>
        </w:rPr>
        <w:t>la Asamblea Legislativa tiene plena facultad para establecer días de reconocimiento oficial mediante ley.</w:t>
      </w:r>
      <w:r>
        <w:rPr>
          <w:rFonts w:ascii="Book Antiqua" w:hAnsi="Book Antiqua"/>
          <w:bCs/>
          <w:szCs w:val="24"/>
          <w:lang w:val="es-PR"/>
        </w:rPr>
        <w:t xml:space="preserve">  </w:t>
      </w:r>
      <w:r w:rsidRPr="005F5473">
        <w:rPr>
          <w:rFonts w:ascii="Book Antiqua" w:hAnsi="Book Antiqua"/>
          <w:bCs/>
          <w:szCs w:val="24"/>
          <w:lang w:val="es-PR"/>
        </w:rPr>
        <w:t>Cónsono con lo anterior, esta Comisión entiende que la medida armoniza con la política pública educativa y cultural del Gobierno de Puerto Rico,</w:t>
      </w:r>
      <w:r>
        <w:rPr>
          <w:rFonts w:ascii="Book Antiqua" w:hAnsi="Book Antiqua"/>
          <w:bCs/>
          <w:szCs w:val="24"/>
          <w:lang w:val="es-PR"/>
        </w:rPr>
        <w:t xml:space="preserve"> la cual </w:t>
      </w:r>
      <w:r w:rsidRPr="005F5473">
        <w:rPr>
          <w:rFonts w:ascii="Book Antiqua" w:hAnsi="Book Antiqua"/>
          <w:bCs/>
          <w:szCs w:val="24"/>
          <w:lang w:val="es-PR"/>
        </w:rPr>
        <w:t>reconoce la importancia de estimular el conocimiento, la investigación y la innovación como motores de desarrollo social y económico.</w:t>
      </w:r>
    </w:p>
    <w:p w14:paraId="12407F03" w14:textId="77777777" w:rsidR="009E1EB9" w:rsidRDefault="009E1EB9" w:rsidP="00B07119">
      <w:pPr>
        <w:pStyle w:val="ColorfulList-Accent11"/>
        <w:ind w:left="0"/>
        <w:rPr>
          <w:rFonts w:ascii="Book Antiqua" w:hAnsi="Book Antiqua"/>
          <w:b/>
          <w:szCs w:val="24"/>
          <w:lang w:val="es-PR"/>
        </w:rPr>
      </w:pPr>
    </w:p>
    <w:p w14:paraId="4F553EED" w14:textId="77777777" w:rsidR="009E1EB9" w:rsidRPr="004A5FEC" w:rsidRDefault="009E1EB9" w:rsidP="00B07119">
      <w:pPr>
        <w:pStyle w:val="ColorfulList-Accent11"/>
        <w:ind w:left="0"/>
        <w:jc w:val="center"/>
        <w:rPr>
          <w:rFonts w:ascii="Book Antiqua" w:hAnsi="Book Antiqua"/>
          <w:b/>
          <w:szCs w:val="24"/>
          <w:lang w:val="es-PR"/>
        </w:rPr>
      </w:pPr>
      <w:r w:rsidRPr="004A5FEC">
        <w:rPr>
          <w:rFonts w:ascii="Book Antiqua" w:hAnsi="Book Antiqua"/>
          <w:b/>
          <w:szCs w:val="24"/>
          <w:lang w:val="es-PR"/>
        </w:rPr>
        <w:t>CONCLUSIÓN</w:t>
      </w:r>
    </w:p>
    <w:p w14:paraId="145BE3B7" w14:textId="77777777" w:rsidR="009E1EB9" w:rsidRPr="004A5FEC" w:rsidRDefault="009E1EB9" w:rsidP="00B07119">
      <w:pPr>
        <w:pStyle w:val="ColorfulList-Accent11"/>
        <w:ind w:left="0" w:firstLine="720"/>
        <w:rPr>
          <w:rFonts w:ascii="Book Antiqua" w:hAnsi="Book Antiqua"/>
          <w:bCs/>
          <w:szCs w:val="24"/>
          <w:lang w:val="es-PR"/>
        </w:rPr>
      </w:pPr>
    </w:p>
    <w:p w14:paraId="62297197" w14:textId="77777777" w:rsidR="005F5473" w:rsidRDefault="005F5473" w:rsidP="00B07119">
      <w:pPr>
        <w:ind w:firstLine="708"/>
        <w:contextualSpacing/>
        <w:jc w:val="both"/>
        <w:rPr>
          <w:rFonts w:ascii="Book Antiqua" w:hAnsi="Book Antiqua"/>
          <w:lang w:val="es-PR"/>
        </w:rPr>
      </w:pPr>
      <w:r w:rsidRPr="005F5473">
        <w:rPr>
          <w:rFonts w:ascii="Book Antiqua" w:hAnsi="Book Antiqua"/>
          <w:lang w:val="es-PR"/>
        </w:rPr>
        <w:t>La Comisión de Gobierno entiende que el reconocimiento oficial del 15 de noviembre como el “Día de los Puertorriqueños en las Ciencias” constituye un acto de justicia histórica hacia nuestros científicos, al tiempo que fortalece la política pública de fomento a la educación, la investigación y la innovación.</w:t>
      </w:r>
    </w:p>
    <w:p w14:paraId="2FA4BA5B" w14:textId="77777777" w:rsidR="005F5473" w:rsidRPr="005F5473" w:rsidRDefault="005F5473" w:rsidP="00B07119">
      <w:pPr>
        <w:ind w:firstLine="708"/>
        <w:contextualSpacing/>
        <w:jc w:val="both"/>
        <w:rPr>
          <w:rFonts w:ascii="Book Antiqua" w:hAnsi="Book Antiqua"/>
          <w:lang w:val="es-PR"/>
        </w:rPr>
      </w:pPr>
    </w:p>
    <w:p w14:paraId="6AF79614" w14:textId="77777777" w:rsidR="005F5473" w:rsidRDefault="005F5473" w:rsidP="00B07119">
      <w:pPr>
        <w:ind w:firstLine="708"/>
        <w:contextualSpacing/>
        <w:jc w:val="both"/>
        <w:rPr>
          <w:rFonts w:ascii="Book Antiqua" w:hAnsi="Book Antiqua"/>
          <w:lang w:val="es-PR"/>
        </w:rPr>
      </w:pPr>
      <w:r w:rsidRPr="005F5473">
        <w:rPr>
          <w:rFonts w:ascii="Book Antiqua" w:hAnsi="Book Antiqua"/>
          <w:lang w:val="es-PR"/>
        </w:rPr>
        <w:t>Esta iniciativa ofrece una plataforma para honrar tanto a las figuras históricas como a los científicos contemporáneos; promover la participación estudiantil en las ciencias desde la niñez; y facilitar la organización de eventos educativos y comunitarios que inspiren a nuevas generaciones a continuar el legado puertorriqueño en la ciencia mundial.</w:t>
      </w:r>
    </w:p>
    <w:p w14:paraId="2B745B08" w14:textId="77777777" w:rsidR="005F5473" w:rsidRPr="005F5473" w:rsidRDefault="005F5473" w:rsidP="00B07119">
      <w:pPr>
        <w:ind w:firstLine="708"/>
        <w:contextualSpacing/>
        <w:jc w:val="both"/>
        <w:rPr>
          <w:rFonts w:ascii="Book Antiqua" w:hAnsi="Book Antiqua"/>
          <w:lang w:val="es-PR"/>
        </w:rPr>
      </w:pPr>
    </w:p>
    <w:p w14:paraId="37457082" w14:textId="61DDFB92" w:rsidR="005F5473" w:rsidRPr="005F5473" w:rsidRDefault="005F5473" w:rsidP="00B07119">
      <w:pPr>
        <w:ind w:firstLine="708"/>
        <w:contextualSpacing/>
        <w:jc w:val="both"/>
        <w:rPr>
          <w:rFonts w:ascii="Book Antiqua" w:hAnsi="Book Antiqua"/>
          <w:lang w:val="es-PR"/>
        </w:rPr>
      </w:pPr>
      <w:r w:rsidRPr="005F5473">
        <w:rPr>
          <w:rFonts w:ascii="Book Antiqua" w:hAnsi="Book Antiqua"/>
          <w:lang w:val="es-PR"/>
        </w:rPr>
        <w:t>Por todo lo anterior, la Comisión de Gobierno rinde</w:t>
      </w:r>
      <w:r>
        <w:rPr>
          <w:rFonts w:ascii="Book Antiqua" w:hAnsi="Book Antiqua"/>
          <w:lang w:val="es-PR"/>
        </w:rPr>
        <w:t xml:space="preserve"> un</w:t>
      </w:r>
      <w:r w:rsidRPr="005F5473">
        <w:rPr>
          <w:rFonts w:ascii="Book Antiqua" w:hAnsi="Book Antiqua"/>
          <w:lang w:val="es-PR"/>
        </w:rPr>
        <w:t xml:space="preserve"> </w:t>
      </w:r>
      <w:r w:rsidRPr="005F5473">
        <w:rPr>
          <w:rFonts w:ascii="Book Antiqua" w:hAnsi="Book Antiqua"/>
          <w:b/>
          <w:bCs/>
          <w:lang w:val="es-PR"/>
        </w:rPr>
        <w:t>Informe Positivo</w:t>
      </w:r>
      <w:r w:rsidRPr="005F5473">
        <w:rPr>
          <w:rFonts w:ascii="Book Antiqua" w:hAnsi="Book Antiqua"/>
          <w:lang w:val="es-PR"/>
        </w:rPr>
        <w:t xml:space="preserve"> y recomienda la aprobación </w:t>
      </w:r>
      <w:r w:rsidRPr="00A31F96">
        <w:rPr>
          <w:rFonts w:ascii="Book Antiqua" w:hAnsi="Book Antiqua"/>
          <w:lang w:val="es-PR"/>
        </w:rPr>
        <w:t>del Proyecto del Senado 545</w:t>
      </w:r>
      <w:r w:rsidRPr="005F5473">
        <w:rPr>
          <w:rFonts w:ascii="Book Antiqua" w:hAnsi="Book Antiqua"/>
          <w:lang w:val="es-PR"/>
        </w:rPr>
        <w:t>, sin enmiendas.</w:t>
      </w:r>
    </w:p>
    <w:p w14:paraId="7011DA7F" w14:textId="77777777" w:rsidR="005F5473" w:rsidRDefault="005F5473" w:rsidP="00B07119">
      <w:pPr>
        <w:ind w:firstLine="708"/>
        <w:contextualSpacing/>
        <w:jc w:val="both"/>
        <w:rPr>
          <w:rFonts w:ascii="Book Antiqua" w:hAnsi="Book Antiqua"/>
          <w:lang w:val="es-ES"/>
        </w:rPr>
      </w:pPr>
    </w:p>
    <w:p w14:paraId="1BA1AA35" w14:textId="77777777" w:rsidR="00BB6266" w:rsidRDefault="00BB6266" w:rsidP="00B07119">
      <w:pPr>
        <w:ind w:firstLine="708"/>
        <w:contextualSpacing/>
        <w:jc w:val="both"/>
        <w:rPr>
          <w:rFonts w:ascii="Book Antiqua" w:hAnsi="Book Antiqua"/>
          <w:lang w:val="es-ES"/>
        </w:rPr>
      </w:pPr>
    </w:p>
    <w:p w14:paraId="0BB572F7" w14:textId="29D51EF8" w:rsidR="001D58EF" w:rsidRPr="001D58EF" w:rsidRDefault="001D58EF" w:rsidP="00A31F96">
      <w:pPr>
        <w:contextualSpacing/>
        <w:jc w:val="both"/>
        <w:rPr>
          <w:rFonts w:ascii="Book Antiqua" w:hAnsi="Book Antiqua"/>
          <w:lang w:val="es-PR"/>
        </w:rPr>
      </w:pPr>
      <w:r w:rsidRPr="00910125">
        <w:rPr>
          <w:rFonts w:ascii="Book Antiqua" w:hAnsi="Book Antiqua"/>
          <w:lang w:val="es-ES"/>
        </w:rPr>
        <w:t>Respetuosamente sometido,</w:t>
      </w:r>
      <w:r w:rsidRPr="001D58EF">
        <w:rPr>
          <w:lang w:val="es-PR"/>
        </w:rPr>
        <w:t> </w:t>
      </w:r>
      <w:r w:rsidRPr="001D58EF">
        <w:rPr>
          <w:rFonts w:ascii="Book Antiqua" w:hAnsi="Book Antiqua"/>
          <w:lang w:val="es-PR"/>
        </w:rPr>
        <w:t> </w:t>
      </w:r>
    </w:p>
    <w:p w14:paraId="4B082301" w14:textId="77777777" w:rsidR="001D58EF" w:rsidRPr="001D58EF" w:rsidRDefault="001D58EF" w:rsidP="00B07119">
      <w:pPr>
        <w:contextualSpacing/>
        <w:jc w:val="both"/>
        <w:rPr>
          <w:rFonts w:ascii="Book Antiqua" w:hAnsi="Book Antiqua"/>
          <w:lang w:val="es-PR"/>
        </w:rPr>
      </w:pPr>
      <w:r w:rsidRPr="001D58EF">
        <w:rPr>
          <w:lang w:val="es-PR"/>
        </w:rPr>
        <w:t> </w:t>
      </w:r>
      <w:r w:rsidRPr="001D58EF">
        <w:rPr>
          <w:rFonts w:ascii="Book Antiqua" w:hAnsi="Book Antiqua"/>
          <w:lang w:val="es-PR"/>
        </w:rPr>
        <w:tab/>
      </w:r>
    </w:p>
    <w:p w14:paraId="1233BCD3" w14:textId="77777777" w:rsidR="001D58EF" w:rsidRDefault="001D58EF" w:rsidP="00B07119">
      <w:pPr>
        <w:contextualSpacing/>
        <w:jc w:val="both"/>
        <w:rPr>
          <w:rFonts w:ascii="Book Antiqua" w:hAnsi="Book Antiqua"/>
          <w:lang w:val="es-PR"/>
        </w:rPr>
      </w:pPr>
    </w:p>
    <w:p w14:paraId="4D641175" w14:textId="77777777" w:rsidR="00361EBB" w:rsidRDefault="00361EBB" w:rsidP="00B07119">
      <w:pPr>
        <w:contextualSpacing/>
        <w:jc w:val="both"/>
        <w:rPr>
          <w:rFonts w:ascii="Book Antiqua" w:hAnsi="Book Antiqua"/>
          <w:lang w:val="es-PR"/>
        </w:rPr>
      </w:pPr>
    </w:p>
    <w:p w14:paraId="4D604E07" w14:textId="77777777" w:rsidR="00361EBB" w:rsidRPr="001D58EF" w:rsidRDefault="00361EBB" w:rsidP="00B07119">
      <w:pPr>
        <w:contextualSpacing/>
        <w:jc w:val="both"/>
        <w:rPr>
          <w:rFonts w:ascii="Book Antiqua" w:hAnsi="Book Antiqua"/>
          <w:lang w:val="es-PR"/>
        </w:rPr>
      </w:pPr>
    </w:p>
    <w:p w14:paraId="65DFADDC" w14:textId="77777777" w:rsidR="001D58EF" w:rsidRPr="001D58EF" w:rsidRDefault="001D58EF" w:rsidP="00A31F96">
      <w:pPr>
        <w:contextualSpacing/>
        <w:jc w:val="both"/>
        <w:rPr>
          <w:rFonts w:ascii="Book Antiqua" w:hAnsi="Book Antiqua"/>
          <w:lang w:val="es-PR"/>
        </w:rPr>
      </w:pPr>
      <w:proofErr w:type="spellStart"/>
      <w:r w:rsidRPr="00910125">
        <w:rPr>
          <w:rFonts w:ascii="Book Antiqua" w:hAnsi="Book Antiqua"/>
          <w:b/>
          <w:bCs/>
          <w:lang w:val="es-ES"/>
        </w:rPr>
        <w:t>Hon</w:t>
      </w:r>
      <w:proofErr w:type="spellEnd"/>
      <w:r w:rsidRPr="00910125">
        <w:rPr>
          <w:rFonts w:ascii="Book Antiqua" w:hAnsi="Book Antiqua"/>
          <w:b/>
          <w:bCs/>
          <w:lang w:val="es-ES"/>
        </w:rPr>
        <w:t>. Víctor L. Parés-Otero</w:t>
      </w:r>
      <w:r w:rsidRPr="001D58EF">
        <w:rPr>
          <w:lang w:val="es-PR"/>
        </w:rPr>
        <w:t> </w:t>
      </w:r>
      <w:r w:rsidRPr="001D58EF">
        <w:rPr>
          <w:rFonts w:ascii="Book Antiqua" w:hAnsi="Book Antiqua"/>
          <w:lang w:val="es-PR"/>
        </w:rPr>
        <w:t> </w:t>
      </w:r>
    </w:p>
    <w:p w14:paraId="511DCE80" w14:textId="77777777" w:rsidR="001D58EF" w:rsidRPr="001D58EF" w:rsidRDefault="001D58EF" w:rsidP="00A31F96">
      <w:pPr>
        <w:contextualSpacing/>
        <w:jc w:val="both"/>
        <w:rPr>
          <w:rFonts w:ascii="Book Antiqua" w:hAnsi="Book Antiqua"/>
          <w:lang w:val="es-PR"/>
        </w:rPr>
      </w:pPr>
      <w:r w:rsidRPr="00910125">
        <w:rPr>
          <w:rFonts w:ascii="Book Antiqua" w:hAnsi="Book Antiqua"/>
          <w:lang w:val="es-ES"/>
        </w:rPr>
        <w:t>Presidente</w:t>
      </w:r>
      <w:r w:rsidRPr="001D58EF">
        <w:rPr>
          <w:lang w:val="es-PR"/>
        </w:rPr>
        <w:t> </w:t>
      </w:r>
      <w:r w:rsidRPr="001D58EF">
        <w:rPr>
          <w:rFonts w:ascii="Book Antiqua" w:hAnsi="Book Antiqua"/>
          <w:lang w:val="es-PR"/>
        </w:rPr>
        <w:t> </w:t>
      </w:r>
    </w:p>
    <w:p w14:paraId="7F87EED2" w14:textId="77777777" w:rsidR="001D58EF" w:rsidRPr="001D58EF" w:rsidRDefault="001D58EF" w:rsidP="00A31F96">
      <w:pPr>
        <w:contextualSpacing/>
        <w:jc w:val="both"/>
        <w:rPr>
          <w:rFonts w:ascii="Book Antiqua" w:hAnsi="Book Antiqua"/>
          <w:lang w:val="es-PR"/>
        </w:rPr>
      </w:pPr>
      <w:r w:rsidRPr="00910125">
        <w:rPr>
          <w:rFonts w:ascii="Book Antiqua" w:hAnsi="Book Antiqua"/>
          <w:lang w:val="es-ES"/>
        </w:rPr>
        <w:t>Comisión de Gobierno</w:t>
      </w:r>
      <w:r w:rsidRPr="001D58EF">
        <w:rPr>
          <w:lang w:val="es-PR"/>
        </w:rPr>
        <w:t> </w:t>
      </w:r>
      <w:r w:rsidRPr="001D58EF">
        <w:rPr>
          <w:rFonts w:ascii="Book Antiqua" w:hAnsi="Book Antiqua"/>
          <w:lang w:val="es-PR"/>
        </w:rPr>
        <w:t> </w:t>
      </w:r>
    </w:p>
    <w:p w14:paraId="1CE1E4D4" w14:textId="77777777" w:rsidR="001D58EF" w:rsidRPr="001D58EF" w:rsidRDefault="001D58EF" w:rsidP="00A31F96">
      <w:pPr>
        <w:contextualSpacing/>
        <w:jc w:val="both"/>
        <w:rPr>
          <w:rFonts w:ascii="Book Antiqua" w:hAnsi="Book Antiqua"/>
          <w:lang w:val="es-PR"/>
        </w:rPr>
      </w:pPr>
      <w:r w:rsidRPr="00910125">
        <w:rPr>
          <w:rFonts w:ascii="Book Antiqua" w:hAnsi="Book Antiqua"/>
          <w:lang w:val="es-ES"/>
        </w:rPr>
        <w:t>Cámara de Representantes</w:t>
      </w:r>
      <w:r w:rsidRPr="001D58EF">
        <w:rPr>
          <w:lang w:val="es-PR"/>
        </w:rPr>
        <w:t> </w:t>
      </w:r>
      <w:r w:rsidRPr="001D58EF">
        <w:rPr>
          <w:rFonts w:ascii="Book Antiqua" w:hAnsi="Book Antiqua"/>
          <w:lang w:val="es-PR"/>
        </w:rPr>
        <w:t> </w:t>
      </w:r>
    </w:p>
    <w:p w14:paraId="21145A48" w14:textId="77777777" w:rsidR="001D58EF" w:rsidRPr="001D58EF" w:rsidRDefault="001D58EF" w:rsidP="00B07119">
      <w:pPr>
        <w:contextualSpacing/>
        <w:jc w:val="both"/>
        <w:rPr>
          <w:rFonts w:ascii="Book Antiqua" w:hAnsi="Book Antiqua"/>
          <w:lang w:val="es-PR"/>
        </w:rPr>
      </w:pPr>
      <w:r w:rsidRPr="001D58EF">
        <w:rPr>
          <w:rFonts w:ascii="Book Antiqua" w:hAnsi="Book Antiqua"/>
          <w:lang w:val="es-PR"/>
        </w:rPr>
        <w:t> </w:t>
      </w:r>
    </w:p>
    <w:p w14:paraId="24D837A7" w14:textId="77777777" w:rsidR="001D58EF" w:rsidRPr="001D58EF" w:rsidRDefault="001D58EF" w:rsidP="00B07119">
      <w:pPr>
        <w:contextualSpacing/>
        <w:jc w:val="both"/>
        <w:rPr>
          <w:rFonts w:ascii="Book Antiqua" w:hAnsi="Book Antiqua"/>
          <w:lang w:val="es-PR"/>
        </w:rPr>
      </w:pPr>
      <w:r w:rsidRPr="001D58EF">
        <w:rPr>
          <w:rFonts w:ascii="Book Antiqua" w:hAnsi="Book Antiqua"/>
          <w:lang w:val="es-PR"/>
        </w:rPr>
        <w:t> </w:t>
      </w:r>
    </w:p>
    <w:p w14:paraId="15DBBDB0" w14:textId="77777777" w:rsidR="001D58EF" w:rsidRPr="001D58EF" w:rsidRDefault="001D58EF" w:rsidP="00B07119">
      <w:pPr>
        <w:contextualSpacing/>
        <w:jc w:val="both"/>
        <w:rPr>
          <w:rFonts w:ascii="Book Antiqua" w:hAnsi="Book Antiqua"/>
          <w:lang w:val="es-PR"/>
        </w:rPr>
      </w:pPr>
    </w:p>
    <w:p w14:paraId="0AB5E13D" w14:textId="77777777" w:rsidR="009E1EB9" w:rsidRPr="00490AA2" w:rsidRDefault="009E1EB9" w:rsidP="00B07119">
      <w:pPr>
        <w:contextualSpacing/>
        <w:jc w:val="both"/>
        <w:rPr>
          <w:rFonts w:ascii="Book Antiqua" w:hAnsi="Book Antiqua"/>
          <w:szCs w:val="24"/>
          <w:lang w:val="es-PR"/>
        </w:rPr>
      </w:pPr>
    </w:p>
    <w:p w14:paraId="6C16D739" w14:textId="77777777" w:rsidR="009E1EB9" w:rsidRPr="009E1EB9" w:rsidRDefault="009E1EB9" w:rsidP="00B07119">
      <w:pPr>
        <w:contextualSpacing/>
        <w:rPr>
          <w:lang w:val="es-PR"/>
        </w:rPr>
      </w:pPr>
    </w:p>
    <w:sectPr w:rsidR="009E1EB9" w:rsidRPr="009E1EB9" w:rsidSect="003C54B1">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91FFC" w14:textId="77777777" w:rsidR="00394EB6" w:rsidRDefault="00394EB6" w:rsidP="003C54B1">
      <w:r>
        <w:separator/>
      </w:r>
    </w:p>
  </w:endnote>
  <w:endnote w:type="continuationSeparator" w:id="0">
    <w:p w14:paraId="1296D3FC" w14:textId="77777777" w:rsidR="00394EB6" w:rsidRDefault="00394EB6" w:rsidP="003C5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720935"/>
      <w:docPartObj>
        <w:docPartGallery w:val="Page Numbers (Bottom of Page)"/>
        <w:docPartUnique/>
      </w:docPartObj>
    </w:sdtPr>
    <w:sdtEndPr/>
    <w:sdtContent>
      <w:p w14:paraId="2A66C104" w14:textId="2AC2D34C" w:rsidR="003C54B1" w:rsidRDefault="003C54B1">
        <w:pPr>
          <w:pStyle w:val="Footer"/>
          <w:jc w:val="center"/>
        </w:pPr>
        <w:r>
          <w:fldChar w:fldCharType="begin"/>
        </w:r>
        <w:r>
          <w:instrText>PAGE   \* MERGEFORMAT</w:instrText>
        </w:r>
        <w:r>
          <w:fldChar w:fldCharType="separate"/>
        </w:r>
        <w:r>
          <w:rPr>
            <w:lang w:val="es-ES"/>
          </w:rPr>
          <w:t>2</w:t>
        </w:r>
        <w:r>
          <w:fldChar w:fldCharType="end"/>
        </w:r>
      </w:p>
    </w:sdtContent>
  </w:sdt>
  <w:p w14:paraId="2C00A51A" w14:textId="77777777" w:rsidR="003C54B1" w:rsidRDefault="003C5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3E4C7" w14:textId="77777777" w:rsidR="00394EB6" w:rsidRDefault="00394EB6" w:rsidP="003C54B1">
      <w:r>
        <w:separator/>
      </w:r>
    </w:p>
  </w:footnote>
  <w:footnote w:type="continuationSeparator" w:id="0">
    <w:p w14:paraId="55630791" w14:textId="77777777" w:rsidR="00394EB6" w:rsidRDefault="00394EB6" w:rsidP="003C5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A614C" w14:textId="58F49265" w:rsidR="003C54B1" w:rsidRPr="00B07119" w:rsidRDefault="003C54B1">
    <w:pPr>
      <w:pStyle w:val="Header"/>
      <w:rPr>
        <w:sz w:val="20"/>
        <w:lang w:val="es-ES"/>
      </w:rPr>
    </w:pPr>
    <w:r w:rsidRPr="00B07119">
      <w:rPr>
        <w:sz w:val="20"/>
        <w:lang w:val="es-ES"/>
      </w:rPr>
      <w:t>Informe Positivo</w:t>
    </w:r>
  </w:p>
  <w:p w14:paraId="70052839" w14:textId="211EC80E" w:rsidR="003C54B1" w:rsidRPr="003C54B1" w:rsidRDefault="003C54B1">
    <w:pPr>
      <w:pStyle w:val="Header"/>
      <w:rPr>
        <w:sz w:val="20"/>
        <w:lang w:val="es-PR"/>
      </w:rPr>
    </w:pPr>
    <w:r w:rsidRPr="003C54B1">
      <w:rPr>
        <w:sz w:val="20"/>
        <w:lang w:val="es-PR"/>
      </w:rPr>
      <w:t>Proyecto del Senado 545</w:t>
    </w:r>
  </w:p>
  <w:p w14:paraId="760ACCF5" w14:textId="19E1E977" w:rsidR="003C54B1" w:rsidRPr="003C54B1" w:rsidRDefault="003C54B1">
    <w:pPr>
      <w:pStyle w:val="Header"/>
      <w:rPr>
        <w:sz w:val="20"/>
        <w:lang w:val="es-PR"/>
      </w:rPr>
    </w:pPr>
    <w:r w:rsidRPr="003C54B1">
      <w:rPr>
        <w:sz w:val="20"/>
        <w:lang w:val="es-PR"/>
      </w:rPr>
      <w:t>Comisión de Gobierno</w:t>
    </w:r>
  </w:p>
  <w:p w14:paraId="23CABEB9" w14:textId="77777777" w:rsidR="003C54B1" w:rsidRPr="003C54B1" w:rsidRDefault="003C54B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C66B9"/>
    <w:multiLevelType w:val="multilevel"/>
    <w:tmpl w:val="35A4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F69B7"/>
    <w:multiLevelType w:val="multilevel"/>
    <w:tmpl w:val="9D86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8952F80"/>
    <w:multiLevelType w:val="multilevel"/>
    <w:tmpl w:val="DCAE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8778559">
    <w:abstractNumId w:val="2"/>
  </w:num>
  <w:num w:numId="2" w16cid:durableId="1397970417">
    <w:abstractNumId w:val="1"/>
  </w:num>
  <w:num w:numId="3" w16cid:durableId="164133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B9"/>
    <w:rsid w:val="00006B9C"/>
    <w:rsid w:val="00037956"/>
    <w:rsid w:val="00050435"/>
    <w:rsid w:val="00051047"/>
    <w:rsid w:val="00076C9E"/>
    <w:rsid w:val="000A2BE4"/>
    <w:rsid w:val="000E3693"/>
    <w:rsid w:val="000F18BB"/>
    <w:rsid w:val="000F3015"/>
    <w:rsid w:val="00147E5F"/>
    <w:rsid w:val="00171D04"/>
    <w:rsid w:val="001B3695"/>
    <w:rsid w:val="001D58EF"/>
    <w:rsid w:val="00234DCF"/>
    <w:rsid w:val="00241931"/>
    <w:rsid w:val="00287210"/>
    <w:rsid w:val="002E7B56"/>
    <w:rsid w:val="00326258"/>
    <w:rsid w:val="00337269"/>
    <w:rsid w:val="00361EBB"/>
    <w:rsid w:val="00394EB6"/>
    <w:rsid w:val="003A74C8"/>
    <w:rsid w:val="003C54B1"/>
    <w:rsid w:val="003E5A26"/>
    <w:rsid w:val="00453A01"/>
    <w:rsid w:val="00475AE3"/>
    <w:rsid w:val="00483FCF"/>
    <w:rsid w:val="004965BB"/>
    <w:rsid w:val="004B12DB"/>
    <w:rsid w:val="004C0C17"/>
    <w:rsid w:val="004C6385"/>
    <w:rsid w:val="00520827"/>
    <w:rsid w:val="005274A8"/>
    <w:rsid w:val="00545DCC"/>
    <w:rsid w:val="005511E0"/>
    <w:rsid w:val="005864EB"/>
    <w:rsid w:val="005B5952"/>
    <w:rsid w:val="005C2B49"/>
    <w:rsid w:val="005D2AB8"/>
    <w:rsid w:val="005F5473"/>
    <w:rsid w:val="0068297F"/>
    <w:rsid w:val="00722757"/>
    <w:rsid w:val="007620D2"/>
    <w:rsid w:val="007814DA"/>
    <w:rsid w:val="007939CD"/>
    <w:rsid w:val="00836A36"/>
    <w:rsid w:val="00866956"/>
    <w:rsid w:val="00880077"/>
    <w:rsid w:val="008F3051"/>
    <w:rsid w:val="00911404"/>
    <w:rsid w:val="00921E82"/>
    <w:rsid w:val="00954113"/>
    <w:rsid w:val="00974C3E"/>
    <w:rsid w:val="00976152"/>
    <w:rsid w:val="009817FC"/>
    <w:rsid w:val="00994682"/>
    <w:rsid w:val="009E1EB9"/>
    <w:rsid w:val="00A10390"/>
    <w:rsid w:val="00A128DB"/>
    <w:rsid w:val="00A151EA"/>
    <w:rsid w:val="00A31F96"/>
    <w:rsid w:val="00A62463"/>
    <w:rsid w:val="00AA4414"/>
    <w:rsid w:val="00AB0B38"/>
    <w:rsid w:val="00AC40EC"/>
    <w:rsid w:val="00AD0EE5"/>
    <w:rsid w:val="00AD4CC6"/>
    <w:rsid w:val="00B03AB2"/>
    <w:rsid w:val="00B07119"/>
    <w:rsid w:val="00B159A9"/>
    <w:rsid w:val="00B26304"/>
    <w:rsid w:val="00BA790F"/>
    <w:rsid w:val="00BB24E2"/>
    <w:rsid w:val="00BB6266"/>
    <w:rsid w:val="00BC7962"/>
    <w:rsid w:val="00BD6EFD"/>
    <w:rsid w:val="00BF4786"/>
    <w:rsid w:val="00C133A7"/>
    <w:rsid w:val="00C36198"/>
    <w:rsid w:val="00C442CD"/>
    <w:rsid w:val="00CA73A1"/>
    <w:rsid w:val="00CD505A"/>
    <w:rsid w:val="00CD7006"/>
    <w:rsid w:val="00D308C5"/>
    <w:rsid w:val="00D9051C"/>
    <w:rsid w:val="00DB78B8"/>
    <w:rsid w:val="00DC6AEB"/>
    <w:rsid w:val="00DE3546"/>
    <w:rsid w:val="00DF4DC3"/>
    <w:rsid w:val="00E36D70"/>
    <w:rsid w:val="00E44908"/>
    <w:rsid w:val="00E80CCA"/>
    <w:rsid w:val="00EC4F1B"/>
    <w:rsid w:val="00F07FA9"/>
    <w:rsid w:val="00F16028"/>
    <w:rsid w:val="00F52F0A"/>
    <w:rsid w:val="00F54D60"/>
    <w:rsid w:val="00FD4230"/>
    <w:rsid w:val="09415354"/>
    <w:rsid w:val="111B67EE"/>
    <w:rsid w:val="1222A2BB"/>
    <w:rsid w:val="15D9DCCD"/>
    <w:rsid w:val="1A46ACD5"/>
    <w:rsid w:val="1D1CEAD6"/>
    <w:rsid w:val="1DEE6B35"/>
    <w:rsid w:val="212848B3"/>
    <w:rsid w:val="22C1EBD6"/>
    <w:rsid w:val="2EA1D765"/>
    <w:rsid w:val="3289DA08"/>
    <w:rsid w:val="32E6BBB3"/>
    <w:rsid w:val="515E143F"/>
    <w:rsid w:val="53BABE33"/>
    <w:rsid w:val="53DE200C"/>
    <w:rsid w:val="681533C3"/>
    <w:rsid w:val="6C9814BB"/>
    <w:rsid w:val="6F635AAF"/>
    <w:rsid w:val="71B2FB8F"/>
    <w:rsid w:val="73E5554B"/>
    <w:rsid w:val="7978D009"/>
    <w:rsid w:val="7B6C1D54"/>
    <w:rsid w:val="7C2E2389"/>
    <w:rsid w:val="7D33B07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0EA8"/>
  <w15:chartTrackingRefBased/>
  <w15:docId w15:val="{B8FD3BAE-69F7-4792-B306-44F889473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B9"/>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9E1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EB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EB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EB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EB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EB9"/>
    <w:rPr>
      <w:rFonts w:eastAsiaTheme="majorEastAsia" w:cstheme="majorBidi"/>
      <w:color w:val="272727" w:themeColor="text1" w:themeTint="D8"/>
    </w:rPr>
  </w:style>
  <w:style w:type="paragraph" w:styleId="Title">
    <w:name w:val="Title"/>
    <w:basedOn w:val="Normal"/>
    <w:next w:val="Normal"/>
    <w:link w:val="TitleChar"/>
    <w:uiPriority w:val="10"/>
    <w:qFormat/>
    <w:rsid w:val="009E1E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EB9"/>
    <w:pPr>
      <w:spacing w:before="160"/>
      <w:jc w:val="center"/>
    </w:pPr>
    <w:rPr>
      <w:i/>
      <w:iCs/>
      <w:color w:val="404040" w:themeColor="text1" w:themeTint="BF"/>
    </w:rPr>
  </w:style>
  <w:style w:type="character" w:customStyle="1" w:styleId="QuoteChar">
    <w:name w:val="Quote Char"/>
    <w:basedOn w:val="DefaultParagraphFont"/>
    <w:link w:val="Quote"/>
    <w:uiPriority w:val="29"/>
    <w:rsid w:val="009E1EB9"/>
    <w:rPr>
      <w:i/>
      <w:iCs/>
      <w:color w:val="404040" w:themeColor="text1" w:themeTint="BF"/>
    </w:rPr>
  </w:style>
  <w:style w:type="paragraph" w:styleId="ListParagraph">
    <w:name w:val="List Paragraph"/>
    <w:basedOn w:val="Normal"/>
    <w:uiPriority w:val="34"/>
    <w:qFormat/>
    <w:rsid w:val="009E1EB9"/>
    <w:pPr>
      <w:ind w:left="720"/>
      <w:contextualSpacing/>
    </w:pPr>
  </w:style>
  <w:style w:type="character" w:styleId="IntenseEmphasis">
    <w:name w:val="Intense Emphasis"/>
    <w:basedOn w:val="DefaultParagraphFont"/>
    <w:uiPriority w:val="21"/>
    <w:qFormat/>
    <w:rsid w:val="009E1EB9"/>
    <w:rPr>
      <w:i/>
      <w:iCs/>
      <w:color w:val="0F4761" w:themeColor="accent1" w:themeShade="BF"/>
    </w:rPr>
  </w:style>
  <w:style w:type="paragraph" w:styleId="IntenseQuote">
    <w:name w:val="Intense Quote"/>
    <w:basedOn w:val="Normal"/>
    <w:next w:val="Normal"/>
    <w:link w:val="IntenseQuoteChar"/>
    <w:uiPriority w:val="30"/>
    <w:qFormat/>
    <w:rsid w:val="009E1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EB9"/>
    <w:rPr>
      <w:i/>
      <w:iCs/>
      <w:color w:val="0F4761" w:themeColor="accent1" w:themeShade="BF"/>
    </w:rPr>
  </w:style>
  <w:style w:type="character" w:styleId="IntenseReference">
    <w:name w:val="Intense Reference"/>
    <w:basedOn w:val="DefaultParagraphFont"/>
    <w:uiPriority w:val="32"/>
    <w:qFormat/>
    <w:rsid w:val="009E1EB9"/>
    <w:rPr>
      <w:b/>
      <w:bCs/>
      <w:smallCaps/>
      <w:color w:val="0F4761" w:themeColor="accent1" w:themeShade="BF"/>
      <w:spacing w:val="5"/>
    </w:rPr>
  </w:style>
  <w:style w:type="paragraph" w:customStyle="1" w:styleId="ColorfulList-Accent11">
    <w:name w:val="Colorful List - Accent 11"/>
    <w:basedOn w:val="Normal"/>
    <w:uiPriority w:val="34"/>
    <w:qFormat/>
    <w:rsid w:val="009E1EB9"/>
    <w:pPr>
      <w:ind w:left="720"/>
      <w:contextualSpacing/>
    </w:pPr>
  </w:style>
  <w:style w:type="paragraph" w:styleId="NoSpacing">
    <w:name w:val="No Spacing"/>
    <w:uiPriority w:val="1"/>
    <w:qFormat/>
    <w:rsid w:val="009E1EB9"/>
    <w:pPr>
      <w:spacing w:after="0" w:line="240" w:lineRule="auto"/>
    </w:pPr>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976152"/>
    <w:rPr>
      <w:szCs w:val="24"/>
    </w:rPr>
  </w:style>
  <w:style w:type="paragraph" w:styleId="Header">
    <w:name w:val="header"/>
    <w:basedOn w:val="Normal"/>
    <w:link w:val="HeaderChar"/>
    <w:uiPriority w:val="99"/>
    <w:unhideWhenUsed/>
    <w:rsid w:val="003C54B1"/>
    <w:pPr>
      <w:tabs>
        <w:tab w:val="center" w:pos="4680"/>
        <w:tab w:val="right" w:pos="9360"/>
      </w:tabs>
    </w:pPr>
  </w:style>
  <w:style w:type="character" w:customStyle="1" w:styleId="HeaderChar">
    <w:name w:val="Header Char"/>
    <w:basedOn w:val="DefaultParagraphFont"/>
    <w:link w:val="Header"/>
    <w:uiPriority w:val="99"/>
    <w:rsid w:val="003C54B1"/>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3C54B1"/>
    <w:pPr>
      <w:tabs>
        <w:tab w:val="center" w:pos="4680"/>
        <w:tab w:val="right" w:pos="9360"/>
      </w:tabs>
    </w:pPr>
  </w:style>
  <w:style w:type="character" w:customStyle="1" w:styleId="FooterChar">
    <w:name w:val="Footer Char"/>
    <w:basedOn w:val="DefaultParagraphFont"/>
    <w:link w:val="Footer"/>
    <w:uiPriority w:val="99"/>
    <w:rsid w:val="003C54B1"/>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745</Words>
  <Characters>4250</Characters>
  <Application>Microsoft Office Word</Application>
  <DocSecurity>4</DocSecurity>
  <Lines>35</Lines>
  <Paragraphs>9</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
      <vt:lpstr>ALCANCE DE LA MEDIDA</vt:lpstr>
      <vt: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2025-08-20T21:14:00Z</cp:lastPrinted>
  <dcterms:created xsi:type="dcterms:W3CDTF">2025-08-21T19:28:00Z</dcterms:created>
  <dcterms:modified xsi:type="dcterms:W3CDTF">2025-08-21T19:28:00Z</dcterms:modified>
</cp:coreProperties>
</file>