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359BF" w14:textId="77777777" w:rsidR="004C10F7" w:rsidRPr="004C10F7" w:rsidRDefault="004C10F7" w:rsidP="004C10F7">
      <w:pPr>
        <w:jc w:val="center"/>
        <w:outlineLvl w:val="0"/>
        <w:rPr>
          <w:rFonts w:ascii="Book Antiqua" w:hAnsi="Book Antiqua"/>
          <w:b/>
          <w:bCs/>
          <w:iCs/>
          <w:lang w:val="es-PR"/>
        </w:rPr>
      </w:pPr>
      <w:r w:rsidRPr="004C10F7">
        <w:rPr>
          <w:rFonts w:ascii="Book Antiqua" w:hAnsi="Book Antiqua"/>
          <w:b/>
          <w:bCs/>
          <w:iCs/>
          <w:lang w:val="es-PR"/>
        </w:rPr>
        <w:t>(TEXTO DE APROBACIÓN FINAL POR LA CÁMARA)</w:t>
      </w:r>
      <w:r w:rsidRPr="004C10F7">
        <w:rPr>
          <w:rFonts w:ascii="Book Antiqua" w:hAnsi="Book Antiqua"/>
          <w:iCs/>
          <w:lang w:val="es-ES"/>
        </w:rPr>
        <w:fldChar w:fldCharType="begin"/>
      </w:r>
      <w:r w:rsidRPr="004C10F7">
        <w:rPr>
          <w:rFonts w:ascii="Book Antiqua" w:hAnsi="Book Antiqua"/>
          <w:b/>
          <w:bCs/>
          <w:iCs/>
          <w:lang w:val="es-PR"/>
        </w:rPr>
        <w:instrText xml:space="preserve">PRIVATE </w:instrText>
      </w:r>
      <w:r w:rsidRPr="004C10F7">
        <w:rPr>
          <w:rFonts w:ascii="Book Antiqua" w:hAnsi="Book Antiqua"/>
          <w:iCs/>
          <w:lang w:val="es-ES"/>
        </w:rPr>
        <w:fldChar w:fldCharType="end"/>
      </w:r>
    </w:p>
    <w:p w14:paraId="5EB6E813" w14:textId="77777777" w:rsidR="004C10F7" w:rsidRPr="004C10F7" w:rsidRDefault="004C10F7" w:rsidP="004C10F7">
      <w:pPr>
        <w:jc w:val="center"/>
        <w:outlineLvl w:val="0"/>
        <w:rPr>
          <w:rFonts w:ascii="Book Antiqua" w:hAnsi="Book Antiqua"/>
          <w:b/>
          <w:bCs/>
          <w:iCs/>
          <w:lang w:val="es-PR"/>
        </w:rPr>
      </w:pPr>
      <w:r w:rsidRPr="004C10F7">
        <w:rPr>
          <w:rFonts w:ascii="Book Antiqua" w:hAnsi="Book Antiqua"/>
          <w:b/>
          <w:bCs/>
          <w:iCs/>
          <w:lang w:val="es-PR"/>
        </w:rPr>
        <w:t>(1 DE MAYO DE 2025)</w:t>
      </w:r>
    </w:p>
    <w:p w14:paraId="29F20C20" w14:textId="77777777" w:rsidR="004C10F7" w:rsidRPr="004C10F7" w:rsidRDefault="004C10F7" w:rsidP="004C10F7">
      <w:pPr>
        <w:jc w:val="center"/>
        <w:outlineLvl w:val="0"/>
        <w:rPr>
          <w:rFonts w:ascii="Book Antiqua" w:hAnsi="Book Antiqua"/>
          <w:b/>
          <w:bCs/>
          <w:iCs/>
          <w:sz w:val="28"/>
          <w:szCs w:val="28"/>
          <w:lang w:val="es-ES_tradnl"/>
        </w:rPr>
      </w:pPr>
      <w:r w:rsidRPr="004C10F7">
        <w:rPr>
          <w:rFonts w:ascii="Book Antiqua" w:hAnsi="Book Antiqua"/>
          <w:iC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5C7FEB1" wp14:editId="2482A8B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3174702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D9E10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79550656" w14:textId="5F130EA2" w:rsidR="00FF2214" w:rsidRPr="00FD4B05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FD4B05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FD4B05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68AFE3F2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B96E22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540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2C45F188" w:rsidR="00950505" w:rsidRPr="00930E48" w:rsidRDefault="00B96E22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22 </w:t>
      </w:r>
      <w:r w:rsidR="00FD4B05">
        <w:rPr>
          <w:rFonts w:ascii="Book Antiqua" w:hAnsi="Book Antiqua"/>
          <w:color w:val="000000" w:themeColor="text1"/>
          <w:lang w:val="es-PR"/>
        </w:rPr>
        <w:t>DE ABRIL DE</w:t>
      </w:r>
      <w:r w:rsidR="00950505" w:rsidRPr="00930E48">
        <w:rPr>
          <w:rFonts w:ascii="Book Antiqua" w:hAnsi="Book Antiqua"/>
          <w:color w:val="000000" w:themeColor="text1"/>
          <w:lang w:val="es-PR"/>
        </w:rPr>
        <w:t xml:space="preserve">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63D76961" w:rsidR="00950505" w:rsidRPr="00B00227" w:rsidRDefault="00950505" w:rsidP="00E523FE">
      <w:pPr>
        <w:ind w:left="810" w:hanging="810"/>
        <w:jc w:val="center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16CFB263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D5316A">
        <w:rPr>
          <w:rFonts w:ascii="Book Antiqua" w:hAnsi="Book Antiqua"/>
          <w:color w:val="000000" w:themeColor="text1"/>
          <w:lang w:val="es-PR"/>
        </w:rPr>
        <w:t xml:space="preserve"> la Comisión de Gobierno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C6506A" w14:textId="6921928D" w:rsidR="00EB403C" w:rsidRPr="006809D3" w:rsidRDefault="00850770" w:rsidP="00EB403C">
      <w:pPr>
        <w:ind w:left="540" w:hanging="540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B403C" w:rsidRPr="006809D3">
        <w:rPr>
          <w:rFonts w:ascii="Book Antiqua" w:eastAsia="Book Antiqua" w:hAnsi="Book Antiqua" w:cs="Book Antiqua"/>
          <w:color w:val="000000"/>
          <w:lang w:val="es-PR"/>
        </w:rPr>
        <w:t xml:space="preserve">enmendar 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>los Artículos 2, 4, 7 y 8</w:t>
      </w:r>
      <w:r w:rsidR="00EB403C" w:rsidRPr="006809D3">
        <w:rPr>
          <w:rFonts w:ascii="Book Antiqua" w:eastAsia="Book Antiqua" w:hAnsi="Book Antiqua" w:cs="Book Antiqua"/>
          <w:color w:val="000000"/>
          <w:lang w:val="es-PR"/>
        </w:rPr>
        <w:t xml:space="preserve"> de la Ley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 xml:space="preserve"> Núm. 6-2025</w:t>
      </w:r>
      <w:r w:rsidR="00EB403C" w:rsidRPr="006809D3">
        <w:rPr>
          <w:rFonts w:ascii="Book Antiqua" w:eastAsia="Book Antiqua" w:hAnsi="Book Antiqua" w:cs="Book Antiqua"/>
          <w:color w:val="000000"/>
          <w:lang w:val="es-PR"/>
        </w:rPr>
        <w:t xml:space="preserve">, conocida como </w:t>
      </w:r>
      <w:r w:rsidR="00740060" w:rsidRPr="006809D3">
        <w:rPr>
          <w:rFonts w:ascii="Book Antiqua" w:eastAsia="Book Antiqua" w:hAnsi="Book Antiqua" w:cs="Book Antiqua"/>
          <w:color w:val="000000" w:themeColor="text1"/>
          <w:lang w:val="es-PR"/>
        </w:rPr>
        <w:t>“Ley del Expediente Digital Único para Personas con Diversidad Funcional</w:t>
      </w:r>
      <w:r w:rsidR="00E523FE" w:rsidRPr="006809D3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  <w:r w:rsidR="00EB403C" w:rsidRPr="006809D3">
        <w:rPr>
          <w:rFonts w:ascii="Book Antiqua" w:eastAsia="Book Antiqua" w:hAnsi="Book Antiqua" w:cs="Book Antiqua"/>
          <w:color w:val="000000"/>
          <w:lang w:val="es-PR"/>
        </w:rPr>
        <w:t xml:space="preserve">, a los fines de 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 xml:space="preserve">incluir al Departamento de la Familia entre las agencias que deberán compartir información en el expediente digital de las personas con diversidad funcional; eximir </w:t>
      </w:r>
      <w:r w:rsidR="0009449A" w:rsidRPr="006809D3">
        <w:rPr>
          <w:rFonts w:ascii="Book Antiqua" w:eastAsia="Book Antiqua" w:hAnsi="Book Antiqua" w:cs="Book Antiqua"/>
          <w:color w:val="000000"/>
          <w:lang w:val="es-PR"/>
        </w:rPr>
        <w:t xml:space="preserve">a la </w:t>
      </w:r>
      <w:r w:rsidR="0009449A"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“Puerto Rico </w:t>
      </w:r>
      <w:proofErr w:type="spellStart"/>
      <w:r w:rsidR="0009449A" w:rsidRPr="006809D3">
        <w:rPr>
          <w:rFonts w:ascii="Book Antiqua" w:eastAsia="Book Antiqua" w:hAnsi="Book Antiqua" w:cs="Book Antiqua"/>
          <w:color w:val="000000" w:themeColor="text1"/>
          <w:lang w:val="es-PR"/>
        </w:rPr>
        <w:t>Innovation</w:t>
      </w:r>
      <w:proofErr w:type="spellEnd"/>
      <w:r w:rsidR="0009449A"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 and </w:t>
      </w:r>
      <w:proofErr w:type="spellStart"/>
      <w:r w:rsidR="0009449A" w:rsidRPr="006809D3">
        <w:rPr>
          <w:rFonts w:ascii="Book Antiqua" w:eastAsia="Book Antiqua" w:hAnsi="Book Antiqua" w:cs="Book Antiqua"/>
          <w:color w:val="000000" w:themeColor="text1"/>
          <w:lang w:val="es-PR"/>
        </w:rPr>
        <w:t>Technology</w:t>
      </w:r>
      <w:proofErr w:type="spellEnd"/>
      <w:r w:rsidR="0009449A"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proofErr w:type="spellStart"/>
      <w:r w:rsidR="0009449A" w:rsidRPr="006809D3">
        <w:rPr>
          <w:rFonts w:ascii="Book Antiqua" w:eastAsia="Book Antiqua" w:hAnsi="Book Antiqua" w:cs="Book Antiqua"/>
          <w:color w:val="000000" w:themeColor="text1"/>
          <w:lang w:val="es-PR"/>
        </w:rPr>
        <w:t>Service</w:t>
      </w:r>
      <w:proofErr w:type="spellEnd"/>
      <w:r w:rsidR="0009449A"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” 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>de la aplicación de la Ley 38-2017</w:t>
      </w:r>
      <w:r w:rsidR="00402819" w:rsidRPr="006809D3">
        <w:rPr>
          <w:rFonts w:ascii="Book Antiqua" w:eastAsia="Book Antiqua" w:hAnsi="Book Antiqua" w:cs="Book Antiqua"/>
          <w:color w:val="000000"/>
          <w:lang w:val="es-PR"/>
        </w:rPr>
        <w:t xml:space="preserve">, </w:t>
      </w:r>
      <w:r w:rsidR="00402819" w:rsidRPr="006809D3">
        <w:rPr>
          <w:rFonts w:ascii="Book Antiqua" w:hAnsi="Book Antiqua"/>
          <w:lang w:val="es-ES"/>
        </w:rPr>
        <w:t xml:space="preserve">según enmendada, conocida como la “Ley de Procedimiento Administrativo Uniforme del Gobierno de Puerto Rico”, 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 xml:space="preserve">en los procesos de reglamentación </w:t>
      </w:r>
      <w:r w:rsidR="00B238D1" w:rsidRPr="006809D3">
        <w:rPr>
          <w:rFonts w:ascii="Book Antiqua" w:eastAsia="Book Antiqua" w:hAnsi="Book Antiqua" w:cs="Book Antiqua"/>
          <w:color w:val="000000"/>
          <w:lang w:val="es-PR"/>
        </w:rPr>
        <w:t xml:space="preserve">de 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>esta Ley;</w:t>
      </w:r>
      <w:r w:rsidR="00E523FE" w:rsidRPr="006809D3">
        <w:rPr>
          <w:rFonts w:ascii="Book Antiqua" w:eastAsia="Book Antiqua" w:hAnsi="Book Antiqua" w:cs="Book Antiqua"/>
          <w:color w:val="000000"/>
          <w:lang w:val="es-PR"/>
        </w:rPr>
        <w:t xml:space="preserve"> establecer un término de diez (10) días para que las agencias concernidas digitalicen y almacenen en el expediente digital los documentos de los participantes;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523FE" w:rsidRPr="006809D3">
        <w:rPr>
          <w:rFonts w:ascii="Book Antiqua" w:eastAsia="Book Antiqua" w:hAnsi="Book Antiqua" w:cs="Book Antiqua"/>
          <w:color w:val="000000"/>
          <w:lang w:val="es-PR"/>
        </w:rPr>
        <w:t xml:space="preserve">realizar </w:t>
      </w:r>
      <w:r w:rsidR="00740060" w:rsidRPr="006809D3">
        <w:rPr>
          <w:rFonts w:ascii="Book Antiqua" w:eastAsia="Book Antiqua" w:hAnsi="Book Antiqua" w:cs="Book Antiqua"/>
          <w:color w:val="000000"/>
          <w:lang w:val="es-PR"/>
        </w:rPr>
        <w:t>correcciones técnicas</w:t>
      </w:r>
      <w:r w:rsidR="00EB403C" w:rsidRPr="006809D3">
        <w:rPr>
          <w:rFonts w:ascii="Book Antiqua" w:eastAsia="Book Antiqua" w:hAnsi="Book Antiqua" w:cs="Book Antiqua"/>
          <w:color w:val="000000"/>
          <w:lang w:val="es-PR"/>
        </w:rPr>
        <w:t>; y para otros fines relacionados.</w:t>
      </w:r>
    </w:p>
    <w:p w14:paraId="1D70E595" w14:textId="7B07BC3C" w:rsidR="00855B45" w:rsidRPr="006809D3" w:rsidRDefault="00855B45" w:rsidP="00EB403C">
      <w:pPr>
        <w:suppressLineNumbers/>
        <w:ind w:left="567" w:hanging="567"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63AE53B1" w14:textId="62CAE99C" w:rsidR="00010836" w:rsidRPr="006809D3" w:rsidRDefault="00850770" w:rsidP="005C1370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6809D3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3F629E7D" w14:textId="77777777" w:rsidR="00F1322B" w:rsidRPr="006809D3" w:rsidRDefault="00F1322B" w:rsidP="00F1322B">
      <w:pPr>
        <w:suppressLineNumbers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5963542B" w14:textId="3B04FEA1" w:rsidR="004D03D2" w:rsidRPr="006809D3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809D3">
        <w:rPr>
          <w:rFonts w:ascii="Book Antiqua" w:hAnsi="Book Antiqua"/>
          <w:lang w:val="es-PR"/>
        </w:rPr>
        <w:t xml:space="preserve">El pasado 11 de abril de 2025 la Gobernadora de Puerto Rico </w:t>
      </w:r>
      <w:r w:rsidR="00402819" w:rsidRPr="006809D3">
        <w:rPr>
          <w:rFonts w:ascii="Book Antiqua" w:hAnsi="Book Antiqua"/>
          <w:lang w:val="es-PR"/>
        </w:rPr>
        <w:t xml:space="preserve">firmó </w:t>
      </w:r>
      <w:r w:rsidRPr="006809D3">
        <w:rPr>
          <w:rFonts w:ascii="Book Antiqua" w:hAnsi="Book Antiqua"/>
          <w:lang w:val="es-PR"/>
        </w:rPr>
        <w:t xml:space="preserve">la Ley 6-2025. Esta Ley establece el </w:t>
      </w:r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Expediente Digital Único para Personas con Diversidad Funcional, con el objetivo de centralizar la gestión de la información en un sistema digital accesible, seguro e interoperable entre las agencias pertinentes. La “Puerto Rico </w:t>
      </w:r>
      <w:proofErr w:type="spellStart"/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>Innovation</w:t>
      </w:r>
      <w:proofErr w:type="spellEnd"/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 and </w:t>
      </w:r>
      <w:proofErr w:type="spellStart"/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>Technology</w:t>
      </w:r>
      <w:proofErr w:type="spellEnd"/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proofErr w:type="spellStart"/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>Service</w:t>
      </w:r>
      <w:proofErr w:type="spellEnd"/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” </w:t>
      </w:r>
      <w:r w:rsidR="003B4B67"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(PRITS) </w:t>
      </w:r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 xml:space="preserve">es la entidad responsable de la creación, implementación y mantenimiento de este expediente digital, garantizando la continuidad en la prestación </w:t>
      </w:r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de servicios y el acceso seguro y eficiente a la información de cada persona con diversidad funcional.</w:t>
      </w:r>
    </w:p>
    <w:p w14:paraId="6F83B062" w14:textId="77777777" w:rsidR="004D03D2" w:rsidRPr="006809D3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0290065" w14:textId="4A7EC445" w:rsidR="004D03D2" w:rsidRPr="006809D3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>La implementación del Expediente Digital Único optimizará los procesos administrativos, eliminará la duplicidad de gestiones burocráticas y garantizará que las personas con diversidad funcional accedan a los servicios esenciales de manera eficiente, ágil y sin interrupciones. Además, fortalecerá la conservación y gestión documental bajo los más altos estándares de seguridad, confidencialidad y protección de datos.</w:t>
      </w:r>
    </w:p>
    <w:p w14:paraId="5B413562" w14:textId="77777777" w:rsidR="004D03D2" w:rsidRPr="006809D3" w:rsidRDefault="004D03D2" w:rsidP="004D03D2">
      <w:pPr>
        <w:jc w:val="both"/>
        <w:rPr>
          <w:rFonts w:ascii="Book Antiqua" w:hAnsi="Book Antiqua" w:cs="AvenirNextLTPro"/>
          <w:lang w:val="es-ES"/>
        </w:rPr>
      </w:pPr>
    </w:p>
    <w:p w14:paraId="6ACE55BA" w14:textId="7C972DE0" w:rsidR="004D03D2" w:rsidRPr="006809D3" w:rsidRDefault="004D03D2" w:rsidP="004D03D2">
      <w:pPr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6809D3">
        <w:rPr>
          <w:rFonts w:ascii="Book Antiqua" w:hAnsi="Book Antiqua" w:cs="AvenirNextLTPro"/>
          <w:lang w:val="es-ES"/>
        </w:rPr>
        <w:t xml:space="preserve">A pesar de la avanzada de esta legislación para </w:t>
      </w:r>
      <w:r w:rsidR="00921102" w:rsidRPr="006809D3">
        <w:rPr>
          <w:rFonts w:ascii="Book Antiqua" w:hAnsi="Book Antiqua" w:cs="AvenirNextLTPro"/>
          <w:lang w:val="es-ES"/>
        </w:rPr>
        <w:t xml:space="preserve">lograr </w:t>
      </w:r>
      <w:r w:rsidRPr="006809D3">
        <w:rPr>
          <w:rFonts w:ascii="Book Antiqua" w:hAnsi="Book Antiqua" w:cs="AvenirNextLTPro"/>
          <w:lang w:val="es-ES"/>
        </w:rPr>
        <w:t xml:space="preserve">implementación eficaz </w:t>
      </w:r>
      <w:r w:rsidR="00921102" w:rsidRPr="006809D3">
        <w:rPr>
          <w:rFonts w:ascii="Book Antiqua" w:hAnsi="Book Antiqua" w:cs="AvenirNextLTPro"/>
          <w:lang w:val="es-ES"/>
        </w:rPr>
        <w:t xml:space="preserve">de </w:t>
      </w:r>
      <w:r w:rsidR="003B4B67" w:rsidRPr="006809D3">
        <w:rPr>
          <w:rFonts w:ascii="Book Antiqua" w:hAnsi="Book Antiqua" w:cs="AvenirNextLTPro"/>
          <w:lang w:val="es-ES"/>
        </w:rPr>
        <w:t xml:space="preserve">ésta </w:t>
      </w:r>
      <w:r w:rsidRPr="006809D3">
        <w:rPr>
          <w:rFonts w:ascii="Book Antiqua" w:hAnsi="Book Antiqua" w:cs="AvenirNextLTPro"/>
          <w:lang w:val="es-ES"/>
        </w:rPr>
        <w:t>es necesari</w:t>
      </w:r>
      <w:r w:rsidR="00921102" w:rsidRPr="006809D3">
        <w:rPr>
          <w:rFonts w:ascii="Book Antiqua" w:hAnsi="Book Antiqua" w:cs="AvenirNextLTPro"/>
          <w:lang w:val="es-ES"/>
        </w:rPr>
        <w:t>o</w:t>
      </w:r>
      <w:r w:rsidRPr="006809D3">
        <w:rPr>
          <w:rFonts w:ascii="Book Antiqua" w:hAnsi="Book Antiqua" w:cs="AvenirNextLTPro"/>
          <w:lang w:val="es-ES"/>
        </w:rPr>
        <w:t xml:space="preserve"> realizarle enmiendas técnicas para incluir al Departamento de la Familia</w:t>
      </w:r>
      <w:r w:rsidR="00921102" w:rsidRPr="006809D3">
        <w:rPr>
          <w:rFonts w:ascii="Book Antiqua" w:hAnsi="Book Antiqua" w:cs="AvenirNextLTPro"/>
          <w:lang w:val="es-ES"/>
        </w:rPr>
        <w:t xml:space="preserve"> como una de las agencias</w:t>
      </w:r>
      <w:r w:rsidR="00921102" w:rsidRPr="006809D3">
        <w:rPr>
          <w:rFonts w:ascii="Book Antiqua" w:eastAsia="Book Antiqua" w:hAnsi="Book Antiqua" w:cs="Book Antiqua"/>
          <w:color w:val="000000"/>
          <w:lang w:val="es-ES"/>
        </w:rPr>
        <w:t xml:space="preserve"> con la obligación de</w:t>
      </w:r>
      <w:r w:rsidR="00921102" w:rsidRPr="006809D3">
        <w:rPr>
          <w:rFonts w:ascii="Book Antiqua" w:eastAsia="Book Antiqua" w:hAnsi="Book Antiqua" w:cs="Book Antiqua"/>
          <w:color w:val="000000"/>
          <w:lang w:val="es-PR"/>
        </w:rPr>
        <w:t xml:space="preserve"> compartir información en el expediente digital de las personas con diversidad funcional</w:t>
      </w:r>
      <w:r w:rsidR="00921102" w:rsidRPr="006809D3">
        <w:rPr>
          <w:rFonts w:ascii="Book Antiqua" w:hAnsi="Book Antiqua" w:cs="AvenirNextLTPro"/>
          <w:lang w:val="es-PR"/>
        </w:rPr>
        <w:t xml:space="preserve">. De igual manera, es necesario </w:t>
      </w:r>
      <w:r w:rsidR="00921102" w:rsidRPr="006809D3">
        <w:rPr>
          <w:rFonts w:ascii="Book Antiqua" w:eastAsia="Book Antiqua" w:hAnsi="Book Antiqua" w:cs="Book Antiqua"/>
          <w:color w:val="000000"/>
          <w:lang w:val="es-PR"/>
        </w:rPr>
        <w:t xml:space="preserve">eximir al PRITS de la aplicación de la Ley Núm. 38-2017 en los procesos de reglamentación de esta Ley para evitar dilaciones innecesarias. </w:t>
      </w:r>
      <w:r w:rsidR="00156B33" w:rsidRPr="006809D3">
        <w:rPr>
          <w:rFonts w:ascii="Book Antiqua" w:eastAsia="Book Antiqua" w:hAnsi="Book Antiqua" w:cs="Book Antiqua"/>
          <w:color w:val="000000"/>
          <w:lang w:val="es-PR"/>
        </w:rPr>
        <w:t>Así</w:t>
      </w:r>
      <w:r w:rsidR="00921102" w:rsidRPr="006809D3">
        <w:rPr>
          <w:rFonts w:ascii="Book Antiqua" w:eastAsia="Book Antiqua" w:hAnsi="Book Antiqua" w:cs="Book Antiqua"/>
          <w:color w:val="000000"/>
          <w:lang w:val="es-PR"/>
        </w:rPr>
        <w:t xml:space="preserve"> mismo, </w:t>
      </w:r>
      <w:r w:rsidR="00156B33" w:rsidRPr="006809D3">
        <w:rPr>
          <w:rFonts w:ascii="Book Antiqua" w:eastAsia="Book Antiqua" w:hAnsi="Book Antiqua" w:cs="Book Antiqua"/>
          <w:color w:val="000000"/>
          <w:lang w:val="es-PR"/>
        </w:rPr>
        <w:t xml:space="preserve">es imperioso que se establezca un </w:t>
      </w:r>
      <w:r w:rsidR="00DA2AD8" w:rsidRPr="006809D3">
        <w:rPr>
          <w:rFonts w:ascii="Book Antiqua" w:eastAsia="Book Antiqua" w:hAnsi="Book Antiqua" w:cs="Book Antiqua"/>
          <w:color w:val="000000"/>
          <w:lang w:val="es-PR"/>
        </w:rPr>
        <w:t xml:space="preserve">término </w:t>
      </w:r>
      <w:r w:rsidR="00156B33" w:rsidRPr="006809D3">
        <w:rPr>
          <w:rFonts w:ascii="Book Antiqua" w:eastAsia="Book Antiqua" w:hAnsi="Book Antiqua" w:cs="Book Antiqua"/>
          <w:color w:val="000000"/>
          <w:lang w:val="es-PR"/>
        </w:rPr>
        <w:t xml:space="preserve">de diez (10) días para que </w:t>
      </w:r>
      <w:r w:rsidR="00E523FE" w:rsidRPr="006809D3">
        <w:rPr>
          <w:rFonts w:ascii="Book Antiqua" w:eastAsia="Book Antiqua" w:hAnsi="Book Antiqua" w:cs="Book Antiqua"/>
          <w:color w:val="000000"/>
          <w:lang w:val="es-PR"/>
        </w:rPr>
        <w:t xml:space="preserve">las agencias concernidas digitalicen y almacenen en el expediente digital los documentos de los participantes. </w:t>
      </w:r>
    </w:p>
    <w:p w14:paraId="2E1FF7CB" w14:textId="77777777" w:rsidR="00E523FE" w:rsidRPr="006809D3" w:rsidRDefault="00E523FE" w:rsidP="004D03D2">
      <w:pPr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5D6442C5" w14:textId="09223722" w:rsidR="00E523FE" w:rsidRPr="006809D3" w:rsidRDefault="00E523FE" w:rsidP="00E523FE">
      <w:pPr>
        <w:jc w:val="both"/>
        <w:rPr>
          <w:rFonts w:ascii="Book Antiqua" w:hAnsi="Book Antiqua" w:cs="AvenirNextLTPro"/>
          <w:lang w:val="es-ES"/>
        </w:rPr>
      </w:pPr>
      <w:r w:rsidRPr="006809D3">
        <w:rPr>
          <w:rFonts w:ascii="Book Antiqua" w:eastAsia="Book Antiqua" w:hAnsi="Book Antiqua" w:cs="Book Antiqua"/>
          <w:color w:val="000000" w:themeColor="text1"/>
          <w:lang w:val="es-PR"/>
        </w:rPr>
        <w:t>Esta Ley constituye un paso significativo hacia la modernización y eficiencia del sistema gubernamental, asegurando un enfoque centrado en la inclusión, el bienestar y el desarrollo integral de las personas con diversidad funcional en Puerto Rico</w:t>
      </w:r>
      <w:r w:rsidRPr="006809D3">
        <w:rPr>
          <w:rFonts w:ascii="Book Antiqua" w:hAnsi="Book Antiqua" w:cs="AvenirNextLTPro"/>
          <w:lang w:val="es-ES"/>
        </w:rPr>
        <w:t xml:space="preserve"> y con estas enmiendas se logrará una ejecución efectiva. </w:t>
      </w:r>
    </w:p>
    <w:p w14:paraId="6E2316CE" w14:textId="77777777" w:rsidR="00A11147" w:rsidRPr="006809D3" w:rsidRDefault="00A11147" w:rsidP="00A405A8">
      <w:pPr>
        <w:suppressLineNumbers/>
        <w:jc w:val="both"/>
        <w:rPr>
          <w:rFonts w:ascii="Book Antiqua" w:hAnsi="Book Antiqua"/>
          <w:lang w:val="es-PR"/>
        </w:rPr>
      </w:pPr>
    </w:p>
    <w:p w14:paraId="7955066D" w14:textId="4E3502C8" w:rsidR="00FF2214" w:rsidRPr="006809D3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6809D3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6809D3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46CF052B" w14:textId="1529EC6D" w:rsidR="00EB403C" w:rsidRPr="006809D3" w:rsidRDefault="00EB403C" w:rsidP="00EB403C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bookmarkStart w:id="0" w:name="{20D8}"/>
      <w:bookmarkStart w:id="1" w:name="_Hlk189832381"/>
      <w:r w:rsidRPr="006809D3">
        <w:rPr>
          <w:rFonts w:ascii="Book Antiqua" w:hAnsi="Book Antiqua"/>
          <w:color w:val="000000"/>
          <w:lang w:val="es-ES"/>
        </w:rPr>
        <w:t xml:space="preserve">Sección 1. - Se enmienda el Artículo </w:t>
      </w:r>
      <w:r w:rsidR="00740060" w:rsidRPr="006809D3">
        <w:rPr>
          <w:rFonts w:ascii="Book Antiqua" w:hAnsi="Book Antiqua"/>
          <w:color w:val="000000"/>
          <w:lang w:val="es-ES"/>
        </w:rPr>
        <w:t xml:space="preserve">2 </w:t>
      </w:r>
      <w:r w:rsidRPr="006809D3">
        <w:rPr>
          <w:rFonts w:ascii="Book Antiqua" w:hAnsi="Book Antiqua"/>
          <w:color w:val="000000"/>
          <w:lang w:val="es-ES"/>
        </w:rPr>
        <w:t xml:space="preserve">de la Ley </w:t>
      </w:r>
      <w:r w:rsidR="00740060" w:rsidRPr="006809D3">
        <w:rPr>
          <w:rFonts w:ascii="Book Antiqua" w:hAnsi="Book Antiqua"/>
          <w:color w:val="000000"/>
          <w:lang w:val="es-ES"/>
        </w:rPr>
        <w:t>Núm. 6-2025</w:t>
      </w:r>
      <w:r w:rsidRPr="006809D3">
        <w:rPr>
          <w:rFonts w:ascii="Book Antiqua" w:hAnsi="Book Antiqua"/>
          <w:color w:val="000000"/>
          <w:lang w:val="es-ES"/>
        </w:rPr>
        <w:t xml:space="preserve">, conocida como </w:t>
      </w:r>
      <w:r w:rsidR="00EC613D" w:rsidRPr="006809D3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6809D3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0AC75E8C" w14:textId="77777777" w:rsidR="00EC613D" w:rsidRPr="006809D3" w:rsidRDefault="00EB403C" w:rsidP="00EC613D">
      <w:pPr>
        <w:pStyle w:val="BodyText"/>
        <w:spacing w:line="480" w:lineRule="auto"/>
        <w:ind w:firstLine="360"/>
        <w:rPr>
          <w:rFonts w:ascii="Book Antiqua" w:hAnsi="Book Antiqua"/>
        </w:rPr>
      </w:pPr>
      <w:r w:rsidRPr="006809D3">
        <w:rPr>
          <w:rFonts w:ascii="Book Antiqua" w:hAnsi="Book Antiqua"/>
        </w:rPr>
        <w:t>“</w:t>
      </w:r>
      <w:bookmarkEnd w:id="0"/>
      <w:bookmarkEnd w:id="1"/>
      <w:r w:rsidR="00EC613D" w:rsidRPr="006809D3">
        <w:rPr>
          <w:rFonts w:ascii="Book Antiqua" w:hAnsi="Book Antiqua"/>
        </w:rPr>
        <w:t>Artículo 2.-Declaración de Política Pública.</w:t>
      </w:r>
    </w:p>
    <w:p w14:paraId="1CB014B1" w14:textId="23EBF1F3" w:rsidR="00EB403C" w:rsidRPr="006809D3" w:rsidRDefault="00EC613D" w:rsidP="00EC613D">
      <w:pPr>
        <w:pStyle w:val="BodyText"/>
        <w:spacing w:line="480" w:lineRule="auto"/>
        <w:ind w:firstLine="360"/>
        <w:rPr>
          <w:rFonts w:ascii="Book Antiqua" w:hAnsi="Book Antiqua"/>
        </w:rPr>
      </w:pPr>
      <w:r w:rsidRPr="006809D3">
        <w:rPr>
          <w:rFonts w:ascii="Book Antiqua" w:hAnsi="Book Antiqua"/>
        </w:rPr>
        <w:t xml:space="preserve">Es política pública del Gobierno de Puerto Rico garantizar la continuidad, eficiencia y accesibilidad de los servicios prestados a las personas con diversidad funcional mediante la creación de un expediente digital único e interoperable entre el Departamento de Salud, </w:t>
      </w:r>
      <w:r w:rsidRPr="006809D3">
        <w:rPr>
          <w:rFonts w:ascii="Book Antiqua" w:eastAsia="Book Antiqua" w:hAnsi="Book Antiqua" w:cs="Book Antiqua"/>
          <w:color w:val="000000" w:themeColor="text1"/>
        </w:rPr>
        <w:t>el Departamento de la Familia,</w:t>
      </w:r>
      <w:r w:rsidRPr="006809D3">
        <w:rPr>
          <w:rFonts w:ascii="Book Antiqua" w:hAnsi="Book Antiqua"/>
        </w:rPr>
        <w:t xml:space="preserve"> el Departamento de Educación y la Administración de Rehabilitación Vocacional</w:t>
      </w:r>
      <w:r w:rsidR="00EB403C" w:rsidRPr="006809D3">
        <w:rPr>
          <w:rFonts w:ascii="Book Antiqua" w:hAnsi="Book Antiqua"/>
        </w:rPr>
        <w:t>.”</w:t>
      </w:r>
    </w:p>
    <w:p w14:paraId="50035445" w14:textId="5A8F4DEB" w:rsidR="00EC613D" w:rsidRPr="006809D3" w:rsidRDefault="00EB403C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6809D3">
        <w:rPr>
          <w:rFonts w:ascii="Book Antiqua" w:hAnsi="Book Antiqua"/>
          <w:color w:val="000000"/>
        </w:rPr>
        <w:lastRenderedPageBreak/>
        <w:t xml:space="preserve">Sección 2.- </w:t>
      </w:r>
      <w:r w:rsidR="00EC613D" w:rsidRPr="006809D3">
        <w:rPr>
          <w:rFonts w:ascii="Book Antiqua" w:hAnsi="Book Antiqua"/>
          <w:color w:val="000000"/>
          <w:lang w:val="es-ES"/>
        </w:rPr>
        <w:t xml:space="preserve">Se enmienda el Artículo 4 de la Ley 6-2025, conocida como </w:t>
      </w:r>
      <w:r w:rsidR="00EC613D" w:rsidRPr="006809D3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="00EC613D" w:rsidRPr="006809D3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361D66E5" w14:textId="4B879D9A" w:rsidR="006514CF" w:rsidRPr="006809D3" w:rsidRDefault="006514CF" w:rsidP="006514CF">
      <w:pPr>
        <w:pStyle w:val="BodyText"/>
        <w:spacing w:line="480" w:lineRule="auto"/>
        <w:ind w:firstLine="360"/>
        <w:rPr>
          <w:rFonts w:ascii="Book Antiqua" w:hAnsi="Book Antiqua"/>
          <w:lang w:val="es-ES_tradnl"/>
        </w:rPr>
      </w:pPr>
      <w:r w:rsidRPr="006809D3">
        <w:rPr>
          <w:rFonts w:ascii="Book Antiqua" w:hAnsi="Book Antiqua"/>
          <w:color w:val="000000"/>
          <w:lang w:val="es-ES"/>
        </w:rPr>
        <w:t>“Artículo</w:t>
      </w:r>
      <w:r w:rsidRPr="006809D3">
        <w:rPr>
          <w:rFonts w:ascii="Book Antiqua" w:hAnsi="Book Antiqua"/>
        </w:rPr>
        <w:t xml:space="preserve"> 4.-</w:t>
      </w:r>
      <w:r w:rsidRPr="006809D3">
        <w:rPr>
          <w:rFonts w:ascii="Book Antiqua" w:hAnsi="Book Antiqua"/>
          <w:lang w:val="es-ES_tradnl"/>
        </w:rPr>
        <w:t xml:space="preserve">Responsabilidades de las Agencias Gubernamentales. </w:t>
      </w:r>
    </w:p>
    <w:p w14:paraId="02FDE9CF" w14:textId="77777777" w:rsidR="00EC613D" w:rsidRPr="006809D3" w:rsidRDefault="00EC613D" w:rsidP="00EC613D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006809D3">
        <w:rPr>
          <w:rFonts w:ascii="Book Antiqua" w:hAnsi="Book Antiqua"/>
          <w:lang w:val="es-ES"/>
        </w:rPr>
        <w:t xml:space="preserve">El Departamento de Salud, </w:t>
      </w:r>
      <w:r w:rsidRPr="006809D3">
        <w:rPr>
          <w:rFonts w:ascii="Book Antiqua" w:eastAsia="Book Antiqua" w:hAnsi="Book Antiqua" w:cs="Book Antiqua"/>
          <w:color w:val="000000" w:themeColor="text1"/>
        </w:rPr>
        <w:t>el Departamento de la Familia,</w:t>
      </w:r>
      <w:r w:rsidRPr="006809D3">
        <w:rPr>
          <w:rFonts w:ascii="Book Antiqua" w:hAnsi="Book Antiqua"/>
          <w:lang w:val="es-ES"/>
        </w:rPr>
        <w:t xml:space="preserve"> el Departamento de Educación y la Administración de Rehabilitación Vocacional estarán obligados a integrar la información de cada persona con diversidad funcional en el Expediente Digital Único. </w:t>
      </w:r>
    </w:p>
    <w:p w14:paraId="61FF6B4F" w14:textId="77777777" w:rsidR="00EC613D" w:rsidRPr="006809D3" w:rsidRDefault="00EC613D" w:rsidP="00EC613D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006809D3">
        <w:rPr>
          <w:rFonts w:ascii="Book Antiqua" w:hAnsi="Book Antiqua"/>
          <w:lang w:val="es-ES"/>
        </w:rPr>
        <w:t xml:space="preserve">PRITS establecerá los mecanismos necesarios para que el Departamento de Salud, </w:t>
      </w:r>
      <w:r w:rsidRPr="006809D3">
        <w:rPr>
          <w:rFonts w:ascii="Book Antiqua" w:eastAsia="Book Antiqua" w:hAnsi="Book Antiqua" w:cs="Book Antiqua"/>
          <w:color w:val="000000" w:themeColor="text1"/>
        </w:rPr>
        <w:t xml:space="preserve">el Departamento de la Familia, </w:t>
      </w:r>
      <w:r w:rsidRPr="006809D3">
        <w:rPr>
          <w:rFonts w:ascii="Book Antiqua" w:hAnsi="Book Antiqua"/>
          <w:lang w:val="es-ES"/>
        </w:rPr>
        <w:t>el Departamento de Educación y la Administración de Rehabilitación Vocacional procedan con la digitalización, actualización y acceso seguro de los documentos contenidos en el Expediente Digital Único. Dichos mecanismos deberán garantizar la interoperabilidad entre agencias, la protección de datos personales y el cumplimiento de las disposiciones legales aplicables en materia de privacidad y seguridad de la información.</w:t>
      </w:r>
    </w:p>
    <w:p w14:paraId="6EC8F033" w14:textId="7980F8B0" w:rsidR="00EC613D" w:rsidRPr="006809D3" w:rsidRDefault="00EC613D" w:rsidP="006514CF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006809D3">
        <w:rPr>
          <w:rFonts w:ascii="Book Antiqua" w:hAnsi="Book Antiqua"/>
          <w:lang w:val="es-ES"/>
        </w:rPr>
        <w:t>Ninguna agencia podrá exigir a la persona con diversidad funcional, ni a sus tutores legales, la presentación física de documentos previamente almacenados en el Expediente Digital Único.</w:t>
      </w:r>
      <w:r w:rsidR="00B238D1" w:rsidRPr="006809D3">
        <w:rPr>
          <w:rFonts w:ascii="Book Antiqua" w:hAnsi="Book Antiqua"/>
          <w:lang w:val="es-ES"/>
        </w:rPr>
        <w:t xml:space="preserve"> </w:t>
      </w:r>
      <w:r w:rsidR="00B238D1" w:rsidRPr="006809D3">
        <w:rPr>
          <w:rFonts w:ascii="Book Antiqua" w:hAnsi="Book Antiqua"/>
        </w:rPr>
        <w:t xml:space="preserve">Las agencias con responsabilidades al amparo de esta </w:t>
      </w:r>
      <w:proofErr w:type="gramStart"/>
      <w:r w:rsidR="00B238D1" w:rsidRPr="006809D3">
        <w:rPr>
          <w:rFonts w:ascii="Book Antiqua" w:hAnsi="Book Antiqua"/>
        </w:rPr>
        <w:t>Ley,</w:t>
      </w:r>
      <w:proofErr w:type="gramEnd"/>
      <w:r w:rsidR="00B238D1" w:rsidRPr="006809D3">
        <w:rPr>
          <w:rFonts w:ascii="Book Antiqua" w:hAnsi="Book Antiqua"/>
        </w:rPr>
        <w:t xml:space="preserve"> tendrán la obligación de digitalizar todo documento para </w:t>
      </w:r>
      <w:r w:rsidR="00B238D1" w:rsidRPr="006809D3">
        <w:rPr>
          <w:rFonts w:ascii="Book Antiqua" w:hAnsi="Book Antiqua"/>
        </w:rPr>
        <w:lastRenderedPageBreak/>
        <w:t>almacenar el Expediente Digital Único y actualizar el mismo dentro del término no mayor de diez (10) días de creado físicamente dicho documento.</w:t>
      </w:r>
      <w:r w:rsidR="006514CF" w:rsidRPr="006809D3">
        <w:rPr>
          <w:rFonts w:ascii="Book Antiqua" w:hAnsi="Book Antiqua"/>
          <w:lang w:val="es-ES"/>
        </w:rPr>
        <w:t xml:space="preserve">” </w:t>
      </w:r>
    </w:p>
    <w:p w14:paraId="2EB0E4A5" w14:textId="7FADF98A" w:rsidR="00EC613D" w:rsidRPr="006809D3" w:rsidRDefault="00EC613D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6809D3">
        <w:rPr>
          <w:rFonts w:ascii="Book Antiqua" w:hAnsi="Book Antiqua"/>
          <w:color w:val="000000"/>
        </w:rPr>
        <w:t xml:space="preserve">Sección 3.- </w:t>
      </w:r>
      <w:r w:rsidRPr="006809D3">
        <w:rPr>
          <w:rFonts w:ascii="Book Antiqua" w:hAnsi="Book Antiqua"/>
          <w:color w:val="000000"/>
          <w:lang w:val="es-ES"/>
        </w:rPr>
        <w:t xml:space="preserve">Se enmienda el Artículo 7 de la Ley Núm. 6-2025, conocida como </w:t>
      </w:r>
      <w:r w:rsidRPr="006809D3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6809D3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2BD9B325" w14:textId="77777777" w:rsidR="00B238D1" w:rsidRPr="006809D3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_tradnl"/>
        </w:rPr>
      </w:pPr>
      <w:r w:rsidRPr="006809D3">
        <w:rPr>
          <w:rFonts w:ascii="Book Antiqua" w:hAnsi="Book Antiqua"/>
          <w:color w:val="000000"/>
          <w:lang w:val="es-ES"/>
        </w:rPr>
        <w:t>“</w:t>
      </w:r>
      <w:r w:rsidRPr="006809D3">
        <w:rPr>
          <w:rFonts w:ascii="Book Antiqua" w:hAnsi="Book Antiqua"/>
        </w:rPr>
        <w:t>Artículo 7.-</w:t>
      </w:r>
      <w:r w:rsidRPr="006809D3">
        <w:rPr>
          <w:rFonts w:ascii="Book Antiqua" w:hAnsi="Book Antiqua"/>
          <w:lang w:val="es-ES_tradnl"/>
        </w:rPr>
        <w:t xml:space="preserve">Reglamentación. </w:t>
      </w:r>
    </w:p>
    <w:p w14:paraId="59BA5DC8" w14:textId="17FF4228" w:rsidR="00B238D1" w:rsidRPr="006809D3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6809D3">
        <w:rPr>
          <w:rFonts w:ascii="Book Antiqua" w:hAnsi="Book Antiqua"/>
          <w:lang w:val="es-ES"/>
        </w:rPr>
        <w:t>PRITS, en coordinación con las agencias concernidas, adoptará la reglamentación necesaria para el cumplimiento de esta Ley en un periodo no mayor de ciento ochenta (180) días desde su aprobación.</w:t>
      </w:r>
      <w:r w:rsidRPr="006809D3">
        <w:rPr>
          <w:rFonts w:ascii="Book Antiqua" w:hAnsi="Book Antiqua"/>
        </w:rPr>
        <w:t xml:space="preserve"> </w:t>
      </w:r>
      <w:r w:rsidRPr="006809D3">
        <w:rPr>
          <w:rFonts w:ascii="Book Antiqua" w:hAnsi="Book Antiqua"/>
          <w:lang w:val="es-ES"/>
        </w:rPr>
        <w:t>Las agencias concernidas realizarán los cambios que sean necesarios en sus cartas circulares, reglas, reglamentos, normas y procedimientos para cumplir con lo dispuesto en la presente Ley.</w:t>
      </w:r>
    </w:p>
    <w:p w14:paraId="62D0D407" w14:textId="7F06E010" w:rsidR="00B238D1" w:rsidRPr="006809D3" w:rsidRDefault="00B238D1" w:rsidP="00B238D1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6809D3">
        <w:rPr>
          <w:rFonts w:ascii="Book Antiqua" w:hAnsi="Book Antiqua"/>
          <w:lang w:val="es-ES"/>
        </w:rPr>
        <w:t>A tales efectos, la reglamentación que se adopte al amparo de esta Ley quedará expresamente exenta del proceso de reglamentación establecido en la Ley 38-2017, según enmendada, conocida como la “Ley de Procedimiento Administrativo Uniforme del Gobierno de Puerto Rico”.</w:t>
      </w:r>
    </w:p>
    <w:p w14:paraId="2787F552" w14:textId="729F8DF3" w:rsidR="00EC613D" w:rsidRPr="006809D3" w:rsidRDefault="00EC613D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6809D3">
        <w:rPr>
          <w:rFonts w:ascii="Book Antiqua" w:hAnsi="Book Antiqua"/>
          <w:color w:val="000000"/>
        </w:rPr>
        <w:t xml:space="preserve">Sección 4.- </w:t>
      </w:r>
      <w:r w:rsidRPr="006809D3">
        <w:rPr>
          <w:rFonts w:ascii="Book Antiqua" w:hAnsi="Book Antiqua"/>
          <w:color w:val="000000"/>
          <w:lang w:val="es-ES"/>
        </w:rPr>
        <w:t xml:space="preserve">Se enmienda el Artículo 8 de la Ley 6-2025, conocida como </w:t>
      </w:r>
      <w:r w:rsidRPr="006809D3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6809D3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7A6B7EEF" w14:textId="2B1B4ED0" w:rsidR="00B238D1" w:rsidRPr="006809D3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6809D3">
        <w:rPr>
          <w:rFonts w:ascii="Book Antiqua" w:hAnsi="Book Antiqua"/>
          <w:color w:val="000000"/>
          <w:lang w:val="es-ES"/>
        </w:rPr>
        <w:t>“Artículo</w:t>
      </w:r>
      <w:r w:rsidRPr="006809D3">
        <w:rPr>
          <w:rFonts w:ascii="Book Antiqua" w:hAnsi="Book Antiqua"/>
          <w:lang w:val="es-ES"/>
        </w:rPr>
        <w:t xml:space="preserve"> 8.-Acuerdos Colaborativos.</w:t>
      </w:r>
    </w:p>
    <w:p w14:paraId="2EA31256" w14:textId="79E8C631" w:rsidR="00B238D1" w:rsidRPr="006809D3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6809D3">
        <w:rPr>
          <w:rFonts w:ascii="Book Antiqua" w:hAnsi="Book Antiqua"/>
          <w:lang w:val="es-ES"/>
        </w:rPr>
        <w:t xml:space="preserve">A los fines de asegurar la efectiva consecución de lo establecido mediante esta Ley, se dispone que el Departamento de Salud, </w:t>
      </w:r>
      <w:r w:rsidRPr="006809D3">
        <w:rPr>
          <w:rFonts w:ascii="Book Antiqua" w:eastAsia="Book Antiqua" w:hAnsi="Book Antiqua" w:cs="Book Antiqua"/>
          <w:color w:val="000000" w:themeColor="text1"/>
        </w:rPr>
        <w:t>el Departamento de la Familia,</w:t>
      </w:r>
      <w:r w:rsidRPr="006809D3">
        <w:rPr>
          <w:rFonts w:ascii="Book Antiqua" w:hAnsi="Book Antiqua"/>
          <w:lang w:val="es-ES"/>
        </w:rPr>
        <w:t xml:space="preserve"> el Departamento </w:t>
      </w:r>
      <w:r w:rsidRPr="006809D3">
        <w:rPr>
          <w:rFonts w:ascii="Book Antiqua" w:hAnsi="Book Antiqua"/>
          <w:lang w:val="es-ES"/>
        </w:rPr>
        <w:lastRenderedPageBreak/>
        <w:t xml:space="preserve">de Educación y la Administración de Rehabilitación Vocacional, colabore con PRITS proveyendo, de ser necesario, profesionales capacitados para cumplir con lo dispuesto en la presente Ley.” </w:t>
      </w:r>
    </w:p>
    <w:p w14:paraId="2A1687E5" w14:textId="13779054" w:rsidR="00EB403C" w:rsidRPr="006809D3" w:rsidRDefault="00EC613D" w:rsidP="00EC61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09D3">
        <w:rPr>
          <w:rFonts w:ascii="Book Antiqua" w:hAnsi="Book Antiqua"/>
          <w:color w:val="000000"/>
          <w:lang w:val="es-PR"/>
        </w:rPr>
        <w:t xml:space="preserve">Sección 5.- </w:t>
      </w:r>
      <w:r w:rsidR="00EB403C" w:rsidRPr="006809D3">
        <w:rPr>
          <w:rFonts w:ascii="Book Antiqua" w:hAnsi="Book Antiqua"/>
          <w:color w:val="000000"/>
          <w:lang w:val="es-PR"/>
        </w:rPr>
        <w:t>Cláusula de Separabilidad.</w:t>
      </w:r>
    </w:p>
    <w:p w14:paraId="3D681B82" w14:textId="2C88420A" w:rsidR="00EB403C" w:rsidRPr="006809D3" w:rsidRDefault="00EB403C" w:rsidP="00EB403C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6809D3">
        <w:rPr>
          <w:rFonts w:ascii="Book Antiqua" w:hAnsi="Book Antiqua"/>
          <w:color w:val="000000"/>
          <w:lang w:val="es-PR"/>
        </w:rPr>
        <w:t xml:space="preserve"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</w:t>
      </w:r>
      <w:r w:rsidR="00B04DB2" w:rsidRPr="006809D3">
        <w:rPr>
          <w:rFonts w:ascii="Book Antiqua" w:hAnsi="Book Antiqua"/>
          <w:color w:val="000000"/>
          <w:lang w:val="es-PR"/>
        </w:rPr>
        <w:t>esta</w:t>
      </w:r>
      <w:r w:rsidRPr="006809D3">
        <w:rPr>
          <w:rFonts w:ascii="Book Antiqua" w:hAnsi="Book Antiqua"/>
          <w:color w:val="000000"/>
          <w:lang w:val="es-PR"/>
        </w:rPr>
        <w:t xml:space="preserve"> que así hubiere sido declarada inconstitucional o defectuosa.</w:t>
      </w:r>
    </w:p>
    <w:p w14:paraId="5DF4105C" w14:textId="4DB77110" w:rsidR="00EB403C" w:rsidRPr="006809D3" w:rsidRDefault="00EB403C" w:rsidP="00EB403C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  <w:lang w:val="es-PR"/>
        </w:rPr>
      </w:pPr>
      <w:r w:rsidRPr="006809D3">
        <w:rPr>
          <w:rFonts w:ascii="Book Antiqua" w:hAnsi="Book Antiqua"/>
          <w:color w:val="000000"/>
          <w:lang w:val="es-PR"/>
        </w:rPr>
        <w:t xml:space="preserve">Sección </w:t>
      </w:r>
      <w:r w:rsidR="00B238D1" w:rsidRPr="006809D3">
        <w:rPr>
          <w:rFonts w:ascii="Book Antiqua" w:hAnsi="Book Antiqua"/>
          <w:color w:val="000000"/>
          <w:lang w:val="es-PR"/>
        </w:rPr>
        <w:t>6</w:t>
      </w:r>
      <w:r w:rsidRPr="006809D3">
        <w:rPr>
          <w:rFonts w:ascii="Book Antiqua" w:hAnsi="Book Antiqua"/>
          <w:color w:val="000000"/>
          <w:lang w:val="es-PR"/>
        </w:rPr>
        <w:t>.- Vigencia</w:t>
      </w:r>
    </w:p>
    <w:p w14:paraId="79550695" w14:textId="400D1E19" w:rsidR="00FF2214" w:rsidRPr="006809D3" w:rsidRDefault="00EB403C" w:rsidP="00EB403C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6809D3">
        <w:rPr>
          <w:rFonts w:ascii="Book Antiqua" w:hAnsi="Book Antiqua"/>
          <w:color w:val="000000"/>
          <w:lang w:val="es-PR"/>
        </w:rPr>
        <w:t xml:space="preserve">Esta Ley comenzará a regir inmediatamente después de su </w:t>
      </w:r>
      <w:proofErr w:type="spellStart"/>
      <w:r w:rsidR="00B238D1" w:rsidRPr="006809D3">
        <w:rPr>
          <w:rFonts w:ascii="Book Antiqua" w:hAnsi="Book Antiqua"/>
          <w:color w:val="000000"/>
          <w:lang w:val="es-PR"/>
        </w:rPr>
        <w:t>apro</w:t>
      </w:r>
      <w:r w:rsidR="00B238D1" w:rsidRPr="006809D3">
        <w:rPr>
          <w:rFonts w:ascii="Book Antiqua" w:hAnsi="Book Antiqua"/>
          <w:color w:val="000000"/>
          <w:lang w:val="es-ES_tradnl"/>
        </w:rPr>
        <w:t>bación</w:t>
      </w:r>
      <w:proofErr w:type="spellEnd"/>
      <w:r w:rsidRPr="006809D3">
        <w:rPr>
          <w:rFonts w:ascii="Book Antiqua" w:hAnsi="Book Antiqua"/>
          <w:lang w:val="es-PR"/>
        </w:rPr>
        <w:t>.</w:t>
      </w:r>
    </w:p>
    <w:sectPr w:rsidR="00FF2214" w:rsidRPr="006809D3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9A037" w14:textId="77777777" w:rsidR="00C25308" w:rsidRDefault="00C25308">
      <w:r>
        <w:separator/>
      </w:r>
    </w:p>
  </w:endnote>
  <w:endnote w:type="continuationSeparator" w:id="0">
    <w:p w14:paraId="6E018200" w14:textId="77777777" w:rsidR="00C25308" w:rsidRDefault="00C25308">
      <w:r>
        <w:continuationSeparator/>
      </w:r>
    </w:p>
  </w:endnote>
  <w:endnote w:type="continuationNotice" w:id="1">
    <w:p w14:paraId="55308312" w14:textId="77777777" w:rsidR="00C25308" w:rsidRDefault="00C253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3363C58E-0652-4739-B0DF-ED8622AF404E}"/>
    <w:embedBold r:id="rId2" w:fontKey="{79FC8022-988D-4021-9C8F-DCD12E7BDB70}"/>
    <w:embedItalic r:id="rId3" w:fontKey="{D086AD8E-4323-4DAA-98C7-715584424FD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724C3851-7930-49FE-8DCC-4925C9CDAC0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FFA1326A-957A-4A89-BE0D-537FADECAA93}"/>
    <w:embedItalic r:id="rId6" w:fontKey="{60A42805-8D31-45C8-8D6D-51C485F0BA36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Italic r:id="rId7" w:fontKey="{ECCAE81F-6257-470E-AFFD-745C31A00B9A}"/>
  </w:font>
  <w:font w:name="AvenirNextLT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3FE6CCE5-0B0E-4B03-8923-C905504D031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4731E6A9-C931-43D6-B976-B30FD2D02B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3D0BE" w14:textId="77777777" w:rsidR="00C25308" w:rsidRDefault="00C25308">
      <w:r>
        <w:separator/>
      </w:r>
    </w:p>
  </w:footnote>
  <w:footnote w:type="continuationSeparator" w:id="0">
    <w:p w14:paraId="07F5717A" w14:textId="77777777" w:rsidR="00C25308" w:rsidRDefault="00C25308">
      <w:r>
        <w:continuationSeparator/>
      </w:r>
    </w:p>
  </w:footnote>
  <w:footnote w:type="continuationNotice" w:id="1">
    <w:p w14:paraId="541311C9" w14:textId="77777777" w:rsidR="00C25308" w:rsidRDefault="00C253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668D"/>
    <w:multiLevelType w:val="hybridMultilevel"/>
    <w:tmpl w:val="DFE4B442"/>
    <w:lvl w:ilvl="0" w:tplc="986E52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626C91"/>
    <w:multiLevelType w:val="hybridMultilevel"/>
    <w:tmpl w:val="6A64D85E"/>
    <w:lvl w:ilvl="0" w:tplc="1708FEA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1"/>
  </w:num>
  <w:num w:numId="2" w16cid:durableId="1011832284">
    <w:abstractNumId w:val="5"/>
  </w:num>
  <w:num w:numId="3" w16cid:durableId="1943102285">
    <w:abstractNumId w:val="21"/>
  </w:num>
  <w:num w:numId="4" w16cid:durableId="1106316835">
    <w:abstractNumId w:val="17"/>
  </w:num>
  <w:num w:numId="5" w16cid:durableId="455106598">
    <w:abstractNumId w:val="14"/>
  </w:num>
  <w:num w:numId="6" w16cid:durableId="175340939">
    <w:abstractNumId w:val="2"/>
  </w:num>
  <w:num w:numId="7" w16cid:durableId="1854225982">
    <w:abstractNumId w:val="18"/>
  </w:num>
  <w:num w:numId="8" w16cid:durableId="1919754197">
    <w:abstractNumId w:val="1"/>
  </w:num>
  <w:num w:numId="9" w16cid:durableId="365562201">
    <w:abstractNumId w:val="4"/>
  </w:num>
  <w:num w:numId="10" w16cid:durableId="1904826230">
    <w:abstractNumId w:val="7"/>
  </w:num>
  <w:num w:numId="11" w16cid:durableId="118687224">
    <w:abstractNumId w:val="8"/>
  </w:num>
  <w:num w:numId="12" w16cid:durableId="508376565">
    <w:abstractNumId w:val="12"/>
  </w:num>
  <w:num w:numId="13" w16cid:durableId="216819222">
    <w:abstractNumId w:val="10"/>
  </w:num>
  <w:num w:numId="14" w16cid:durableId="517544549">
    <w:abstractNumId w:val="19"/>
  </w:num>
  <w:num w:numId="15" w16cid:durableId="478498451">
    <w:abstractNumId w:val="9"/>
  </w:num>
  <w:num w:numId="16" w16cid:durableId="46998239">
    <w:abstractNumId w:val="20"/>
  </w:num>
  <w:num w:numId="17" w16cid:durableId="275597364">
    <w:abstractNumId w:val="3"/>
  </w:num>
  <w:num w:numId="18" w16cid:durableId="1162702400">
    <w:abstractNumId w:val="6"/>
  </w:num>
  <w:num w:numId="19" w16cid:durableId="2055156664">
    <w:abstractNumId w:val="13"/>
  </w:num>
  <w:num w:numId="20" w16cid:durableId="1121461949">
    <w:abstractNumId w:val="16"/>
  </w:num>
  <w:num w:numId="21" w16cid:durableId="943340285">
    <w:abstractNumId w:val="0"/>
  </w:num>
  <w:num w:numId="22" w16cid:durableId="16741402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A10"/>
    <w:rsid w:val="00003E86"/>
    <w:rsid w:val="000069C8"/>
    <w:rsid w:val="00006DD7"/>
    <w:rsid w:val="0001054D"/>
    <w:rsid w:val="000107AB"/>
    <w:rsid w:val="00010836"/>
    <w:rsid w:val="0001793B"/>
    <w:rsid w:val="00022FC4"/>
    <w:rsid w:val="00027C66"/>
    <w:rsid w:val="00032520"/>
    <w:rsid w:val="00032F6A"/>
    <w:rsid w:val="00040CAA"/>
    <w:rsid w:val="0004195C"/>
    <w:rsid w:val="000502AE"/>
    <w:rsid w:val="00052703"/>
    <w:rsid w:val="00056D71"/>
    <w:rsid w:val="00057EF4"/>
    <w:rsid w:val="00061922"/>
    <w:rsid w:val="0007036F"/>
    <w:rsid w:val="000741B3"/>
    <w:rsid w:val="0008657D"/>
    <w:rsid w:val="00091F49"/>
    <w:rsid w:val="00093558"/>
    <w:rsid w:val="00094484"/>
    <w:rsid w:val="0009449A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0339"/>
    <w:rsid w:val="000E515E"/>
    <w:rsid w:val="000E6633"/>
    <w:rsid w:val="000F222B"/>
    <w:rsid w:val="00107891"/>
    <w:rsid w:val="00113415"/>
    <w:rsid w:val="001150B3"/>
    <w:rsid w:val="00115129"/>
    <w:rsid w:val="001216F2"/>
    <w:rsid w:val="0012419B"/>
    <w:rsid w:val="001255FB"/>
    <w:rsid w:val="001275A9"/>
    <w:rsid w:val="001334CE"/>
    <w:rsid w:val="001336EE"/>
    <w:rsid w:val="00133D83"/>
    <w:rsid w:val="001433C2"/>
    <w:rsid w:val="00150632"/>
    <w:rsid w:val="00150C87"/>
    <w:rsid w:val="00152B9A"/>
    <w:rsid w:val="00156B33"/>
    <w:rsid w:val="00157BB5"/>
    <w:rsid w:val="001613A5"/>
    <w:rsid w:val="00164E97"/>
    <w:rsid w:val="001677A8"/>
    <w:rsid w:val="0017795B"/>
    <w:rsid w:val="00185EA9"/>
    <w:rsid w:val="00191362"/>
    <w:rsid w:val="001937A5"/>
    <w:rsid w:val="00194A5E"/>
    <w:rsid w:val="00194D59"/>
    <w:rsid w:val="00195D09"/>
    <w:rsid w:val="0019674C"/>
    <w:rsid w:val="001969E8"/>
    <w:rsid w:val="001A1EA2"/>
    <w:rsid w:val="001A57D6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6A9F"/>
    <w:rsid w:val="002B7906"/>
    <w:rsid w:val="002C1726"/>
    <w:rsid w:val="002D6159"/>
    <w:rsid w:val="002F21CF"/>
    <w:rsid w:val="002F48BA"/>
    <w:rsid w:val="002F5B16"/>
    <w:rsid w:val="002F6B81"/>
    <w:rsid w:val="00300082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66666"/>
    <w:rsid w:val="0037191A"/>
    <w:rsid w:val="00371D68"/>
    <w:rsid w:val="00372E7F"/>
    <w:rsid w:val="0037751A"/>
    <w:rsid w:val="00381E1D"/>
    <w:rsid w:val="00391B13"/>
    <w:rsid w:val="003A2100"/>
    <w:rsid w:val="003B17EE"/>
    <w:rsid w:val="003B2357"/>
    <w:rsid w:val="003B4B6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1966"/>
    <w:rsid w:val="003F352A"/>
    <w:rsid w:val="00402819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078F"/>
    <w:rsid w:val="00440CB7"/>
    <w:rsid w:val="00444257"/>
    <w:rsid w:val="00452649"/>
    <w:rsid w:val="00461FBD"/>
    <w:rsid w:val="00462353"/>
    <w:rsid w:val="00462BEA"/>
    <w:rsid w:val="00465256"/>
    <w:rsid w:val="00466027"/>
    <w:rsid w:val="004674AD"/>
    <w:rsid w:val="00470B12"/>
    <w:rsid w:val="00477933"/>
    <w:rsid w:val="0048210C"/>
    <w:rsid w:val="0049425A"/>
    <w:rsid w:val="004A0EAF"/>
    <w:rsid w:val="004A5974"/>
    <w:rsid w:val="004A63FB"/>
    <w:rsid w:val="004A763E"/>
    <w:rsid w:val="004B290C"/>
    <w:rsid w:val="004B357F"/>
    <w:rsid w:val="004C10F7"/>
    <w:rsid w:val="004C411D"/>
    <w:rsid w:val="004C41AE"/>
    <w:rsid w:val="004C6236"/>
    <w:rsid w:val="004D03D2"/>
    <w:rsid w:val="004D03F5"/>
    <w:rsid w:val="004D0CDB"/>
    <w:rsid w:val="004D24B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5B8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1370"/>
    <w:rsid w:val="005C3826"/>
    <w:rsid w:val="005C3AFC"/>
    <w:rsid w:val="005C5ADB"/>
    <w:rsid w:val="005C7524"/>
    <w:rsid w:val="005D3EB3"/>
    <w:rsid w:val="005E3602"/>
    <w:rsid w:val="005E3680"/>
    <w:rsid w:val="005E4152"/>
    <w:rsid w:val="005E6331"/>
    <w:rsid w:val="005E63C3"/>
    <w:rsid w:val="005E7EC5"/>
    <w:rsid w:val="005F0A2C"/>
    <w:rsid w:val="005F265C"/>
    <w:rsid w:val="005F2872"/>
    <w:rsid w:val="005F486E"/>
    <w:rsid w:val="0060246B"/>
    <w:rsid w:val="00602B49"/>
    <w:rsid w:val="00604DA6"/>
    <w:rsid w:val="006156E3"/>
    <w:rsid w:val="00615B4D"/>
    <w:rsid w:val="0061628B"/>
    <w:rsid w:val="006241D1"/>
    <w:rsid w:val="0062471D"/>
    <w:rsid w:val="00631817"/>
    <w:rsid w:val="006414C7"/>
    <w:rsid w:val="00642C79"/>
    <w:rsid w:val="006430D0"/>
    <w:rsid w:val="00643433"/>
    <w:rsid w:val="0064494E"/>
    <w:rsid w:val="006514CF"/>
    <w:rsid w:val="00654571"/>
    <w:rsid w:val="00654CE0"/>
    <w:rsid w:val="00657A02"/>
    <w:rsid w:val="00663D06"/>
    <w:rsid w:val="00670249"/>
    <w:rsid w:val="00670CA7"/>
    <w:rsid w:val="0068065A"/>
    <w:rsid w:val="006809D3"/>
    <w:rsid w:val="006819FE"/>
    <w:rsid w:val="0068748D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491"/>
    <w:rsid w:val="0073352B"/>
    <w:rsid w:val="007339A2"/>
    <w:rsid w:val="00736EAA"/>
    <w:rsid w:val="00740060"/>
    <w:rsid w:val="00740BAC"/>
    <w:rsid w:val="00753E10"/>
    <w:rsid w:val="00753EC2"/>
    <w:rsid w:val="00755AEC"/>
    <w:rsid w:val="00755DDC"/>
    <w:rsid w:val="00760792"/>
    <w:rsid w:val="0077017C"/>
    <w:rsid w:val="00773ABA"/>
    <w:rsid w:val="00774978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1249"/>
    <w:rsid w:val="00854B3A"/>
    <w:rsid w:val="00855B45"/>
    <w:rsid w:val="008574AE"/>
    <w:rsid w:val="008670BC"/>
    <w:rsid w:val="008676E8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C30C9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1102"/>
    <w:rsid w:val="00922818"/>
    <w:rsid w:val="00922EE2"/>
    <w:rsid w:val="00930E48"/>
    <w:rsid w:val="0093314A"/>
    <w:rsid w:val="0093744C"/>
    <w:rsid w:val="00942E06"/>
    <w:rsid w:val="00950505"/>
    <w:rsid w:val="00950A46"/>
    <w:rsid w:val="009526E5"/>
    <w:rsid w:val="00952875"/>
    <w:rsid w:val="00954675"/>
    <w:rsid w:val="009547E8"/>
    <w:rsid w:val="00962C3E"/>
    <w:rsid w:val="00963E17"/>
    <w:rsid w:val="00965195"/>
    <w:rsid w:val="00970540"/>
    <w:rsid w:val="00971D18"/>
    <w:rsid w:val="009833D3"/>
    <w:rsid w:val="009841D4"/>
    <w:rsid w:val="009874EE"/>
    <w:rsid w:val="009927E5"/>
    <w:rsid w:val="009A003A"/>
    <w:rsid w:val="009A0ED5"/>
    <w:rsid w:val="009B47BF"/>
    <w:rsid w:val="009D1C75"/>
    <w:rsid w:val="009D5726"/>
    <w:rsid w:val="009D61E3"/>
    <w:rsid w:val="009D7450"/>
    <w:rsid w:val="009D79EC"/>
    <w:rsid w:val="009E240E"/>
    <w:rsid w:val="009E36AA"/>
    <w:rsid w:val="009F15AE"/>
    <w:rsid w:val="00A02203"/>
    <w:rsid w:val="00A04577"/>
    <w:rsid w:val="00A11147"/>
    <w:rsid w:val="00A11BAB"/>
    <w:rsid w:val="00A15661"/>
    <w:rsid w:val="00A1720E"/>
    <w:rsid w:val="00A22039"/>
    <w:rsid w:val="00A23051"/>
    <w:rsid w:val="00A23CBE"/>
    <w:rsid w:val="00A25136"/>
    <w:rsid w:val="00A26252"/>
    <w:rsid w:val="00A26489"/>
    <w:rsid w:val="00A30925"/>
    <w:rsid w:val="00A3392B"/>
    <w:rsid w:val="00A405A8"/>
    <w:rsid w:val="00A41F69"/>
    <w:rsid w:val="00A44362"/>
    <w:rsid w:val="00A47378"/>
    <w:rsid w:val="00A47BDC"/>
    <w:rsid w:val="00A52322"/>
    <w:rsid w:val="00A52F9B"/>
    <w:rsid w:val="00A5416B"/>
    <w:rsid w:val="00A62528"/>
    <w:rsid w:val="00A64EA3"/>
    <w:rsid w:val="00A67A3A"/>
    <w:rsid w:val="00A770A7"/>
    <w:rsid w:val="00A7759E"/>
    <w:rsid w:val="00A80737"/>
    <w:rsid w:val="00A8093F"/>
    <w:rsid w:val="00A860DC"/>
    <w:rsid w:val="00A92D34"/>
    <w:rsid w:val="00A94A37"/>
    <w:rsid w:val="00A9567F"/>
    <w:rsid w:val="00A9658B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D7E22"/>
    <w:rsid w:val="00AE0D1D"/>
    <w:rsid w:val="00AE1FE1"/>
    <w:rsid w:val="00AF19DC"/>
    <w:rsid w:val="00AF26DE"/>
    <w:rsid w:val="00B00227"/>
    <w:rsid w:val="00B01686"/>
    <w:rsid w:val="00B02CD9"/>
    <w:rsid w:val="00B03F2F"/>
    <w:rsid w:val="00B04DB2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274C"/>
    <w:rsid w:val="00B231AC"/>
    <w:rsid w:val="00B238D1"/>
    <w:rsid w:val="00B23F46"/>
    <w:rsid w:val="00B24BAA"/>
    <w:rsid w:val="00B3263E"/>
    <w:rsid w:val="00B34B9F"/>
    <w:rsid w:val="00B41851"/>
    <w:rsid w:val="00B51DBD"/>
    <w:rsid w:val="00B5375E"/>
    <w:rsid w:val="00B54199"/>
    <w:rsid w:val="00B57F92"/>
    <w:rsid w:val="00B60014"/>
    <w:rsid w:val="00B66DEB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96E22"/>
    <w:rsid w:val="00BA3CB8"/>
    <w:rsid w:val="00BA70CD"/>
    <w:rsid w:val="00BB00B8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5A"/>
    <w:rsid w:val="00BF5DE6"/>
    <w:rsid w:val="00C004A4"/>
    <w:rsid w:val="00C05E49"/>
    <w:rsid w:val="00C05E9D"/>
    <w:rsid w:val="00C13DC9"/>
    <w:rsid w:val="00C25308"/>
    <w:rsid w:val="00C25487"/>
    <w:rsid w:val="00C32AB8"/>
    <w:rsid w:val="00C32AF1"/>
    <w:rsid w:val="00C33CEB"/>
    <w:rsid w:val="00C3509F"/>
    <w:rsid w:val="00C361CD"/>
    <w:rsid w:val="00C57448"/>
    <w:rsid w:val="00C635EB"/>
    <w:rsid w:val="00C6433E"/>
    <w:rsid w:val="00C71782"/>
    <w:rsid w:val="00C72E41"/>
    <w:rsid w:val="00C8076C"/>
    <w:rsid w:val="00C87975"/>
    <w:rsid w:val="00C90DA0"/>
    <w:rsid w:val="00C92EAA"/>
    <w:rsid w:val="00C93262"/>
    <w:rsid w:val="00C97C1A"/>
    <w:rsid w:val="00CA38D8"/>
    <w:rsid w:val="00CA3F74"/>
    <w:rsid w:val="00CA5BDF"/>
    <w:rsid w:val="00CA69E3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6EE9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5316A"/>
    <w:rsid w:val="00D54B9E"/>
    <w:rsid w:val="00D84992"/>
    <w:rsid w:val="00D937E3"/>
    <w:rsid w:val="00D938F9"/>
    <w:rsid w:val="00D95879"/>
    <w:rsid w:val="00D962FB"/>
    <w:rsid w:val="00DA2AD8"/>
    <w:rsid w:val="00DA5EB9"/>
    <w:rsid w:val="00DB55DC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27541"/>
    <w:rsid w:val="00E27743"/>
    <w:rsid w:val="00E30811"/>
    <w:rsid w:val="00E31356"/>
    <w:rsid w:val="00E45E9B"/>
    <w:rsid w:val="00E523FE"/>
    <w:rsid w:val="00E64141"/>
    <w:rsid w:val="00E65583"/>
    <w:rsid w:val="00E67017"/>
    <w:rsid w:val="00E673B7"/>
    <w:rsid w:val="00E72C91"/>
    <w:rsid w:val="00E73B27"/>
    <w:rsid w:val="00E74634"/>
    <w:rsid w:val="00E75D0B"/>
    <w:rsid w:val="00E83E85"/>
    <w:rsid w:val="00E8449E"/>
    <w:rsid w:val="00E87812"/>
    <w:rsid w:val="00E90225"/>
    <w:rsid w:val="00E93811"/>
    <w:rsid w:val="00E97260"/>
    <w:rsid w:val="00EA3595"/>
    <w:rsid w:val="00EA452F"/>
    <w:rsid w:val="00EA5801"/>
    <w:rsid w:val="00EA6377"/>
    <w:rsid w:val="00EB087E"/>
    <w:rsid w:val="00EB403C"/>
    <w:rsid w:val="00EB506F"/>
    <w:rsid w:val="00EC2169"/>
    <w:rsid w:val="00EC31D3"/>
    <w:rsid w:val="00EC546C"/>
    <w:rsid w:val="00EC613D"/>
    <w:rsid w:val="00EC69F6"/>
    <w:rsid w:val="00ED3996"/>
    <w:rsid w:val="00ED3D87"/>
    <w:rsid w:val="00ED5A58"/>
    <w:rsid w:val="00EE009B"/>
    <w:rsid w:val="00EE0372"/>
    <w:rsid w:val="00EE1022"/>
    <w:rsid w:val="00EE6FB8"/>
    <w:rsid w:val="00EF2711"/>
    <w:rsid w:val="00EF2D8D"/>
    <w:rsid w:val="00F026C9"/>
    <w:rsid w:val="00F1322B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3969"/>
    <w:rsid w:val="00F65464"/>
    <w:rsid w:val="00F70223"/>
    <w:rsid w:val="00F70BEF"/>
    <w:rsid w:val="00F70D38"/>
    <w:rsid w:val="00F739FE"/>
    <w:rsid w:val="00F858BD"/>
    <w:rsid w:val="00F87B47"/>
    <w:rsid w:val="00FA0CB1"/>
    <w:rsid w:val="00FA11F4"/>
    <w:rsid w:val="00FB470E"/>
    <w:rsid w:val="00FB77D5"/>
    <w:rsid w:val="00FC0C14"/>
    <w:rsid w:val="00FD065B"/>
    <w:rsid w:val="00FD093E"/>
    <w:rsid w:val="00FD4B05"/>
    <w:rsid w:val="00FE2D53"/>
    <w:rsid w:val="00FF2214"/>
    <w:rsid w:val="542407D0"/>
    <w:rsid w:val="56E75300"/>
    <w:rsid w:val="5C5C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1119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Carlos Y. Rosado Cruz</cp:lastModifiedBy>
  <cp:revision>6</cp:revision>
  <cp:lastPrinted>2025-04-07T14:36:00Z</cp:lastPrinted>
  <dcterms:created xsi:type="dcterms:W3CDTF">2025-04-30T13:26:00Z</dcterms:created>
  <dcterms:modified xsi:type="dcterms:W3CDTF">2025-05-01T14:50:00Z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