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9AFA9" w14:textId="77777777" w:rsidR="006705DD" w:rsidRPr="007749C8" w:rsidRDefault="006705DD" w:rsidP="006705DD">
      <w:pPr>
        <w:jc w:val="center"/>
        <w:rPr>
          <w:rFonts w:ascii="Book Antiqua" w:hAnsi="Book Antiqua"/>
          <w:sz w:val="28"/>
          <w:szCs w:val="28"/>
          <w:lang w:val="es-ES_tradnl"/>
        </w:rPr>
      </w:pPr>
      <w:r w:rsidRPr="007749C8">
        <w:rPr>
          <w:rFonts w:ascii="Book Antiqua" w:hAnsi="Book Antiqua"/>
          <w:sz w:val="28"/>
          <w:szCs w:val="28"/>
          <w:lang w:val="es-ES_tradnl"/>
        </w:rPr>
        <w:t>GOBIERNO DE PUERTO RICO</w:t>
      </w:r>
    </w:p>
    <w:p w14:paraId="63849F0A" w14:textId="77777777" w:rsidR="006705DD" w:rsidRPr="007749C8" w:rsidRDefault="006705DD" w:rsidP="006705DD">
      <w:pPr>
        <w:jc w:val="center"/>
        <w:rPr>
          <w:rFonts w:ascii="Book Antiqua" w:hAnsi="Book Antiqua"/>
          <w:lang w:val="es-ES_tradnl"/>
        </w:rPr>
      </w:pPr>
    </w:p>
    <w:p w14:paraId="71D628C2" w14:textId="4BB1B2A5" w:rsidR="006705DD" w:rsidRPr="007749C8" w:rsidRDefault="005E345A" w:rsidP="006705DD">
      <w:pPr>
        <w:pStyle w:val="Title2"/>
        <w:rPr>
          <w:rFonts w:ascii="Book Antiqua" w:hAnsi="Book Antiqua"/>
          <w:lang w:val="es-ES_tradnl"/>
        </w:rPr>
      </w:pPr>
      <w:r w:rsidRPr="007749C8">
        <w:rPr>
          <w:rFonts w:ascii="Book Antiqua" w:hAnsi="Book Antiqua"/>
          <w:lang w:val="es-ES_tradnl"/>
        </w:rPr>
        <w:t>20</w:t>
      </w:r>
      <w:r w:rsidRPr="007749C8">
        <w:rPr>
          <w:rFonts w:ascii="Book Antiqua" w:hAnsi="Book Antiqua"/>
          <w:vertAlign w:val="superscript"/>
          <w:lang w:val="es-ES_tradnl"/>
        </w:rPr>
        <w:t>m</w:t>
      </w:r>
      <w:r w:rsidR="006705DD" w:rsidRPr="007749C8">
        <w:rPr>
          <w:rFonts w:ascii="Book Antiqua" w:hAnsi="Book Antiqua"/>
          <w:vertAlign w:val="superscript"/>
          <w:lang w:val="es-ES_tradnl"/>
        </w:rPr>
        <w:t>a.</w:t>
      </w:r>
      <w:r w:rsidR="006705DD" w:rsidRPr="007749C8">
        <w:rPr>
          <w:rFonts w:ascii="Book Antiqua" w:hAnsi="Book Antiqua"/>
          <w:lang w:val="es-ES_tradnl"/>
        </w:rPr>
        <w:tab/>
        <w:t>Asamblea</w:t>
      </w:r>
      <w:r w:rsidR="006705DD" w:rsidRPr="007749C8">
        <w:rPr>
          <w:rFonts w:ascii="Book Antiqua" w:hAnsi="Book Antiqua"/>
          <w:lang w:val="es-ES_tradnl"/>
        </w:rPr>
        <w:tab/>
      </w:r>
      <w:r w:rsidR="0042655A">
        <w:rPr>
          <w:rFonts w:ascii="Book Antiqua" w:hAnsi="Book Antiqua"/>
          <w:lang w:val="es-ES_tradnl"/>
        </w:rPr>
        <w:t>3</w:t>
      </w:r>
      <w:r w:rsidRPr="007749C8">
        <w:rPr>
          <w:rFonts w:ascii="Book Antiqua" w:hAnsi="Book Antiqua"/>
          <w:color w:val="000000"/>
          <w:vertAlign w:val="superscript"/>
          <w:lang w:val="es-ES_tradnl"/>
        </w:rPr>
        <w:t>r</w:t>
      </w:r>
      <w:r w:rsidR="006705DD" w:rsidRPr="007749C8">
        <w:rPr>
          <w:rFonts w:ascii="Book Antiqua" w:hAnsi="Book Antiqua"/>
          <w:color w:val="000000"/>
          <w:vertAlign w:val="superscript"/>
          <w:lang w:val="es-ES_tradnl"/>
        </w:rPr>
        <w:t>a.</w:t>
      </w:r>
      <w:r w:rsidR="006705DD" w:rsidRPr="007749C8">
        <w:rPr>
          <w:rFonts w:ascii="Book Antiqua" w:hAnsi="Book Antiqua"/>
          <w:lang w:val="es-ES_tradnl"/>
        </w:rPr>
        <w:tab/>
        <w:t>Sesión</w:t>
      </w:r>
    </w:p>
    <w:p w14:paraId="3FE68A6B" w14:textId="77777777" w:rsidR="006705DD" w:rsidRPr="007749C8" w:rsidRDefault="006705DD" w:rsidP="006705DD">
      <w:pPr>
        <w:pStyle w:val="Title2"/>
        <w:rPr>
          <w:rFonts w:ascii="Book Antiqua" w:hAnsi="Book Antiqua"/>
          <w:lang w:val="es-ES_tradnl"/>
        </w:rPr>
      </w:pPr>
      <w:r w:rsidRPr="007749C8">
        <w:rPr>
          <w:rFonts w:ascii="Book Antiqua" w:hAnsi="Book Antiqua"/>
          <w:lang w:val="es-ES_tradnl"/>
        </w:rPr>
        <w:tab/>
        <w:t>Legislativa</w:t>
      </w:r>
      <w:r w:rsidRPr="007749C8">
        <w:rPr>
          <w:rFonts w:ascii="Book Antiqua" w:hAnsi="Book Antiqua"/>
          <w:lang w:val="es-ES_tradnl"/>
        </w:rPr>
        <w:tab/>
      </w:r>
      <w:r w:rsidRPr="007749C8">
        <w:rPr>
          <w:rFonts w:ascii="Book Antiqua" w:hAnsi="Book Antiqua"/>
          <w:lang w:val="es-ES_tradnl"/>
        </w:rPr>
        <w:tab/>
        <w:t>Ordinaria</w:t>
      </w:r>
    </w:p>
    <w:p w14:paraId="0A59131A" w14:textId="77777777" w:rsidR="006705DD" w:rsidRPr="007749C8" w:rsidRDefault="006705DD" w:rsidP="006705DD">
      <w:pPr>
        <w:rPr>
          <w:rFonts w:ascii="Book Antiqua" w:hAnsi="Book Antiqua"/>
          <w:lang w:val="es-ES_tradnl"/>
        </w:rPr>
      </w:pPr>
    </w:p>
    <w:p w14:paraId="163E72F6" w14:textId="77777777" w:rsidR="006705DD" w:rsidRPr="007749C8" w:rsidRDefault="006705DD" w:rsidP="006705DD">
      <w:pPr>
        <w:rPr>
          <w:rFonts w:ascii="Book Antiqua" w:hAnsi="Book Antiqua"/>
          <w:lang w:val="es-ES_tradnl"/>
        </w:rPr>
      </w:pPr>
    </w:p>
    <w:p w14:paraId="74CD08C7" w14:textId="77777777" w:rsidR="006705DD" w:rsidRPr="007749C8" w:rsidRDefault="006705DD" w:rsidP="006705DD">
      <w:pPr>
        <w:jc w:val="center"/>
        <w:rPr>
          <w:rFonts w:ascii="Book Antiqua" w:hAnsi="Book Antiqua"/>
          <w:b/>
          <w:smallCaps/>
          <w:sz w:val="36"/>
          <w:szCs w:val="36"/>
          <w:lang w:val="es-ES_tradnl"/>
        </w:rPr>
      </w:pPr>
      <w:r w:rsidRPr="007749C8">
        <w:rPr>
          <w:rFonts w:ascii="Book Antiqua" w:hAnsi="Book Antiqua"/>
          <w:b/>
          <w:smallCaps/>
          <w:sz w:val="36"/>
          <w:szCs w:val="36"/>
          <w:lang w:val="es-ES_tradnl"/>
        </w:rPr>
        <w:t>CÁMARA DE REPRESENTANTES</w:t>
      </w:r>
    </w:p>
    <w:p w14:paraId="2AD35B19" w14:textId="77777777" w:rsidR="00E24F6A" w:rsidRPr="007749C8" w:rsidRDefault="00E24F6A" w:rsidP="00061538">
      <w:pPr>
        <w:rPr>
          <w:rFonts w:ascii="Book Antiqua" w:hAnsi="Book Antiqua"/>
          <w:b/>
          <w:sz w:val="52"/>
          <w:szCs w:val="52"/>
          <w:lang w:val="es-ES_tradnl"/>
        </w:rPr>
      </w:pPr>
    </w:p>
    <w:p w14:paraId="07A1279D" w14:textId="5BDEED42" w:rsidR="006705DD" w:rsidRPr="007749C8" w:rsidRDefault="0042655A" w:rsidP="006705DD">
      <w:pPr>
        <w:jc w:val="center"/>
        <w:rPr>
          <w:rFonts w:ascii="Book Antiqua" w:hAnsi="Book Antiqua"/>
          <w:szCs w:val="24"/>
          <w:lang w:val="es-ES_tradnl"/>
        </w:rPr>
      </w:pPr>
      <w:r w:rsidRPr="0042655A">
        <w:rPr>
          <w:rFonts w:ascii="Book Antiqua" w:hAnsi="Book Antiqua"/>
          <w:b/>
          <w:sz w:val="52"/>
          <w:szCs w:val="52"/>
          <w:lang w:val="es-ES_tradnl"/>
        </w:rPr>
        <w:t>R</w:t>
      </w:r>
      <w:r>
        <w:rPr>
          <w:rFonts w:ascii="Book Antiqua" w:hAnsi="Book Antiqua"/>
          <w:b/>
          <w:sz w:val="52"/>
          <w:szCs w:val="52"/>
          <w:lang w:val="es-ES_tradnl"/>
        </w:rPr>
        <w:t xml:space="preserve">. </w:t>
      </w:r>
      <w:r w:rsidRPr="0042655A">
        <w:rPr>
          <w:rFonts w:ascii="Book Antiqua" w:hAnsi="Book Antiqua"/>
          <w:b/>
          <w:sz w:val="52"/>
          <w:szCs w:val="52"/>
          <w:lang w:val="es-ES_tradnl"/>
        </w:rPr>
        <w:t>C</w:t>
      </w:r>
      <w:r>
        <w:rPr>
          <w:rFonts w:ascii="Book Antiqua" w:hAnsi="Book Antiqua"/>
          <w:b/>
          <w:sz w:val="52"/>
          <w:szCs w:val="52"/>
          <w:lang w:val="es-ES_tradnl"/>
        </w:rPr>
        <w:t xml:space="preserve">. del </w:t>
      </w:r>
      <w:r w:rsidRPr="0042655A">
        <w:rPr>
          <w:rFonts w:ascii="Book Antiqua" w:hAnsi="Book Antiqua"/>
          <w:b/>
          <w:sz w:val="52"/>
          <w:szCs w:val="52"/>
          <w:lang w:val="es-ES_tradnl"/>
        </w:rPr>
        <w:t>S</w:t>
      </w:r>
      <w:r>
        <w:rPr>
          <w:rFonts w:ascii="Book Antiqua" w:hAnsi="Book Antiqua"/>
          <w:b/>
          <w:sz w:val="52"/>
          <w:szCs w:val="52"/>
          <w:lang w:val="es-ES_tradnl"/>
        </w:rPr>
        <w:t xml:space="preserve">. </w:t>
      </w:r>
      <w:r w:rsidR="000D471A">
        <w:rPr>
          <w:rFonts w:ascii="Book Antiqua" w:hAnsi="Book Antiqua"/>
          <w:b/>
          <w:sz w:val="52"/>
          <w:szCs w:val="52"/>
          <w:lang w:val="es-ES_tradnl"/>
        </w:rPr>
        <w:t>43</w:t>
      </w:r>
    </w:p>
    <w:p w14:paraId="4C795B8C" w14:textId="52BAD702" w:rsidR="006705DD" w:rsidRPr="007749C8" w:rsidRDefault="006705DD" w:rsidP="006705DD">
      <w:pPr>
        <w:jc w:val="center"/>
        <w:rPr>
          <w:rFonts w:ascii="Book Antiqua" w:hAnsi="Book Antiqua"/>
          <w:b/>
          <w:sz w:val="28"/>
          <w:szCs w:val="28"/>
          <w:lang w:val="es-ES_tradnl"/>
        </w:rPr>
      </w:pPr>
      <w:r w:rsidRPr="007749C8">
        <w:rPr>
          <w:rFonts w:ascii="Book Antiqua" w:hAnsi="Book Antiqua"/>
          <w:b/>
          <w:sz w:val="28"/>
          <w:szCs w:val="28"/>
          <w:lang w:val="es-ES_tradnl"/>
        </w:rPr>
        <w:t>INFORME</w:t>
      </w:r>
      <w:r w:rsidR="00A56BC5" w:rsidRPr="007749C8">
        <w:rPr>
          <w:rFonts w:ascii="Book Antiqua" w:hAnsi="Book Antiqua"/>
          <w:b/>
          <w:sz w:val="28"/>
          <w:szCs w:val="28"/>
          <w:lang w:val="es-ES_tradnl"/>
        </w:rPr>
        <w:t xml:space="preserve"> POSITIVO </w:t>
      </w:r>
    </w:p>
    <w:p w14:paraId="66B9D576" w14:textId="77777777" w:rsidR="006705DD" w:rsidRPr="007749C8" w:rsidRDefault="006705DD" w:rsidP="006705DD">
      <w:pPr>
        <w:jc w:val="center"/>
        <w:rPr>
          <w:rFonts w:ascii="Book Antiqua" w:hAnsi="Book Antiqua"/>
          <w:b/>
          <w:i/>
          <w:szCs w:val="24"/>
          <w:lang w:val="es-ES_tradnl"/>
        </w:rPr>
      </w:pPr>
    </w:p>
    <w:p w14:paraId="023EF446" w14:textId="0B492DA6" w:rsidR="006705DD" w:rsidRPr="007749C8" w:rsidRDefault="008839C3" w:rsidP="006705DD">
      <w:pPr>
        <w:jc w:val="center"/>
        <w:rPr>
          <w:rFonts w:ascii="Book Antiqua" w:hAnsi="Book Antiqua"/>
          <w:szCs w:val="24"/>
          <w:lang w:val="es-ES_tradnl"/>
        </w:rPr>
      </w:pPr>
      <w:r>
        <w:rPr>
          <w:rFonts w:ascii="Book Antiqua" w:hAnsi="Book Antiqua"/>
          <w:szCs w:val="24"/>
          <w:lang w:val="es-ES_tradnl"/>
        </w:rPr>
        <w:t xml:space="preserve">26 </w:t>
      </w:r>
      <w:r w:rsidR="00FE1B47" w:rsidRPr="007749C8">
        <w:rPr>
          <w:rFonts w:ascii="Book Antiqua" w:hAnsi="Book Antiqua"/>
          <w:szCs w:val="24"/>
          <w:lang w:val="es-ES_tradnl"/>
        </w:rPr>
        <w:t xml:space="preserve">de </w:t>
      </w:r>
      <w:r w:rsidR="0042655A">
        <w:rPr>
          <w:rFonts w:ascii="Book Antiqua" w:hAnsi="Book Antiqua"/>
          <w:szCs w:val="24"/>
          <w:lang w:val="es-ES_tradnl"/>
        </w:rPr>
        <w:t>mayo</w:t>
      </w:r>
      <w:r w:rsidR="005E345A" w:rsidRPr="007749C8">
        <w:rPr>
          <w:rFonts w:ascii="Book Antiqua" w:hAnsi="Book Antiqua"/>
          <w:szCs w:val="24"/>
          <w:lang w:val="es-ES_tradnl"/>
        </w:rPr>
        <w:t xml:space="preserve"> de 202</w:t>
      </w:r>
      <w:r w:rsidR="0042655A">
        <w:rPr>
          <w:rFonts w:ascii="Book Antiqua" w:hAnsi="Book Antiqua"/>
          <w:szCs w:val="24"/>
          <w:lang w:val="es-ES_tradnl"/>
        </w:rPr>
        <w:t>6</w:t>
      </w:r>
    </w:p>
    <w:p w14:paraId="442DE431" w14:textId="77777777" w:rsidR="006705DD" w:rsidRPr="007F4797" w:rsidRDefault="006705DD" w:rsidP="006705DD">
      <w:pPr>
        <w:jc w:val="center"/>
        <w:rPr>
          <w:rFonts w:ascii="Book Antiqua" w:hAnsi="Book Antiqua"/>
          <w:szCs w:val="24"/>
          <w:lang w:val="es-ES_tradnl"/>
        </w:rPr>
      </w:pPr>
    </w:p>
    <w:p w14:paraId="520B114A" w14:textId="77777777" w:rsidR="00AC0B45" w:rsidRPr="007749C8" w:rsidRDefault="00AC0B45" w:rsidP="006C19E0">
      <w:pPr>
        <w:jc w:val="both"/>
        <w:rPr>
          <w:rFonts w:ascii="Book Antiqua" w:hAnsi="Book Antiqua"/>
          <w:b/>
          <w:i/>
          <w:smallCaps/>
          <w:szCs w:val="24"/>
          <w:lang w:val="es-ES_tradnl"/>
        </w:rPr>
      </w:pPr>
      <w:r w:rsidRPr="007749C8">
        <w:rPr>
          <w:rFonts w:ascii="Book Antiqua" w:hAnsi="Book Antiqua"/>
          <w:b/>
          <w:i/>
          <w:smallCaps/>
          <w:szCs w:val="24"/>
          <w:lang w:val="es-ES_tradnl"/>
        </w:rPr>
        <w:t>A la Cámara de Representantes de Puerto Rico:</w:t>
      </w:r>
    </w:p>
    <w:p w14:paraId="42B69301" w14:textId="77777777" w:rsidR="00AC0B45" w:rsidRPr="007F4797" w:rsidRDefault="00AC0B45" w:rsidP="006C19E0">
      <w:pPr>
        <w:jc w:val="both"/>
        <w:rPr>
          <w:rFonts w:ascii="Book Antiqua" w:hAnsi="Book Antiqua" w:cs="Arial"/>
          <w:sz w:val="22"/>
          <w:szCs w:val="22"/>
          <w:lang w:val="es-ES_tradnl"/>
        </w:rPr>
      </w:pPr>
    </w:p>
    <w:p w14:paraId="37F95BC0" w14:textId="4A9DE71A" w:rsidR="0087700A" w:rsidRPr="007749C8" w:rsidRDefault="00AC0B45" w:rsidP="006C19E0">
      <w:pPr>
        <w:jc w:val="both"/>
        <w:rPr>
          <w:rFonts w:ascii="Book Antiqua" w:hAnsi="Book Antiqua" w:cs="Arial"/>
          <w:szCs w:val="24"/>
          <w:lang w:val="es-ES"/>
        </w:rPr>
      </w:pPr>
      <w:r w:rsidRPr="007749C8">
        <w:rPr>
          <w:rFonts w:ascii="Book Antiqua" w:hAnsi="Book Antiqua" w:cs="Arial"/>
          <w:szCs w:val="24"/>
          <w:lang w:val="es-ES"/>
        </w:rPr>
        <w:t xml:space="preserve">La </w:t>
      </w:r>
      <w:r w:rsidR="00DD1FCB" w:rsidRPr="007749C8">
        <w:rPr>
          <w:rFonts w:ascii="Book Antiqua" w:hAnsi="Book Antiqua" w:cs="Arial"/>
          <w:szCs w:val="24"/>
          <w:lang w:val="es-ES"/>
        </w:rPr>
        <w:t>Comisión</w:t>
      </w:r>
      <w:r w:rsidRPr="007749C8">
        <w:rPr>
          <w:rFonts w:ascii="Book Antiqua" w:hAnsi="Book Antiqua" w:cs="Arial"/>
          <w:szCs w:val="24"/>
          <w:lang w:val="es-ES"/>
        </w:rPr>
        <w:t xml:space="preserve"> de </w:t>
      </w:r>
      <w:r w:rsidR="002C5515" w:rsidRPr="007749C8">
        <w:rPr>
          <w:rFonts w:ascii="Book Antiqua" w:hAnsi="Book Antiqua" w:cs="Arial"/>
          <w:szCs w:val="24"/>
          <w:lang w:val="es-ES"/>
        </w:rPr>
        <w:t>Vivienda y Desarrollo Urbano</w:t>
      </w:r>
      <w:r w:rsidR="00FE1B47" w:rsidRPr="007749C8">
        <w:rPr>
          <w:rFonts w:ascii="Book Antiqua" w:hAnsi="Book Antiqua" w:cs="Arial"/>
          <w:szCs w:val="24"/>
          <w:lang w:val="es-ES"/>
        </w:rPr>
        <w:t xml:space="preserve"> </w:t>
      </w:r>
      <w:r w:rsidR="0087700A" w:rsidRPr="007749C8">
        <w:rPr>
          <w:rFonts w:ascii="Book Antiqua" w:hAnsi="Book Antiqua" w:cs="Arial"/>
          <w:szCs w:val="24"/>
          <w:lang w:val="es-ES"/>
        </w:rPr>
        <w:t>de la Cámara de Representantes</w:t>
      </w:r>
      <w:r w:rsidRPr="007749C8">
        <w:rPr>
          <w:rFonts w:ascii="Book Antiqua" w:hAnsi="Book Antiqua" w:cs="Arial"/>
          <w:szCs w:val="24"/>
          <w:lang w:val="es-ES"/>
        </w:rPr>
        <w:t>, previo estudio y consideración</w:t>
      </w:r>
      <w:bookmarkStart w:id="0" w:name="_Hlk195008954"/>
      <w:r w:rsidR="007421B4">
        <w:rPr>
          <w:rFonts w:ascii="Book Antiqua" w:hAnsi="Book Antiqua" w:cs="Arial"/>
          <w:szCs w:val="24"/>
          <w:lang w:val="es-ES"/>
        </w:rPr>
        <w:t>,</w:t>
      </w:r>
      <w:r w:rsidR="0087700A" w:rsidRPr="007749C8">
        <w:rPr>
          <w:rFonts w:ascii="Book Antiqua" w:hAnsi="Book Antiqua" w:cs="Arial"/>
          <w:szCs w:val="24"/>
          <w:lang w:val="es-ES"/>
        </w:rPr>
        <w:t xml:space="preserve"> tiene el honor de </w:t>
      </w:r>
      <w:r w:rsidR="0087700A" w:rsidRPr="007421B4">
        <w:rPr>
          <w:rFonts w:ascii="Book Antiqua" w:hAnsi="Book Antiqua" w:cs="Arial"/>
          <w:b/>
          <w:bCs/>
          <w:szCs w:val="24"/>
          <w:lang w:val="es-ES"/>
        </w:rPr>
        <w:t>recomendar</w:t>
      </w:r>
      <w:r w:rsidR="0087700A" w:rsidRPr="007749C8">
        <w:rPr>
          <w:rFonts w:ascii="Book Antiqua" w:hAnsi="Book Antiqua" w:cs="Arial"/>
          <w:szCs w:val="24"/>
          <w:lang w:val="es-ES"/>
        </w:rPr>
        <w:t xml:space="preserve"> a este Alto Cuerpo </w:t>
      </w:r>
      <w:r w:rsidR="007421B4" w:rsidRPr="007421B4">
        <w:rPr>
          <w:rFonts w:ascii="Book Antiqua" w:hAnsi="Book Antiqua" w:cs="Arial"/>
          <w:b/>
          <w:bCs/>
          <w:szCs w:val="24"/>
          <w:lang w:val="es-ES"/>
        </w:rPr>
        <w:t>la</w:t>
      </w:r>
      <w:r w:rsidR="0087700A" w:rsidRPr="007421B4">
        <w:rPr>
          <w:rFonts w:ascii="Book Antiqua" w:hAnsi="Book Antiqua" w:cs="Arial"/>
          <w:b/>
          <w:bCs/>
          <w:szCs w:val="24"/>
          <w:lang w:val="es-ES"/>
        </w:rPr>
        <w:t xml:space="preserve"> aprobación</w:t>
      </w:r>
      <w:r w:rsidR="007421B4" w:rsidRPr="007421B4">
        <w:rPr>
          <w:rFonts w:ascii="Book Antiqua" w:hAnsi="Book Antiqua" w:cs="Arial"/>
          <w:b/>
          <w:bCs/>
          <w:szCs w:val="24"/>
          <w:lang w:val="es-ES"/>
        </w:rPr>
        <w:t xml:space="preserve"> </w:t>
      </w:r>
      <w:r w:rsidR="0042655A">
        <w:rPr>
          <w:rFonts w:ascii="Book Antiqua" w:hAnsi="Book Antiqua" w:cs="Arial"/>
          <w:b/>
          <w:bCs/>
          <w:szCs w:val="24"/>
          <w:lang w:val="es-ES"/>
        </w:rPr>
        <w:t xml:space="preserve">de la Resolución Conjunta del Senado </w:t>
      </w:r>
      <w:r w:rsidR="000D471A">
        <w:rPr>
          <w:rFonts w:ascii="Book Antiqua" w:hAnsi="Book Antiqua" w:cs="Arial"/>
          <w:b/>
          <w:bCs/>
          <w:szCs w:val="24"/>
          <w:lang w:val="es-ES"/>
        </w:rPr>
        <w:t>43</w:t>
      </w:r>
      <w:r w:rsidR="0087700A" w:rsidRPr="007421B4">
        <w:rPr>
          <w:rFonts w:ascii="Book Antiqua" w:hAnsi="Book Antiqua" w:cs="Arial"/>
          <w:b/>
          <w:bCs/>
          <w:szCs w:val="24"/>
          <w:lang w:val="es-ES"/>
        </w:rPr>
        <w:t xml:space="preserve">, </w:t>
      </w:r>
      <w:bookmarkEnd w:id="0"/>
      <w:r w:rsidR="000E5DC1" w:rsidRPr="007421B4">
        <w:rPr>
          <w:rFonts w:ascii="Book Antiqua" w:hAnsi="Book Antiqua" w:cs="Arial"/>
          <w:b/>
          <w:bCs/>
          <w:szCs w:val="24"/>
          <w:lang w:val="es-ES"/>
        </w:rPr>
        <w:t>sin enmiendas</w:t>
      </w:r>
      <w:r w:rsidR="000E5DC1" w:rsidRPr="007749C8">
        <w:rPr>
          <w:rFonts w:ascii="Book Antiqua" w:hAnsi="Book Antiqua" w:cs="Arial"/>
          <w:szCs w:val="24"/>
          <w:lang w:val="es-ES"/>
        </w:rPr>
        <w:t xml:space="preserve">. </w:t>
      </w:r>
    </w:p>
    <w:p w14:paraId="7228C599" w14:textId="77777777" w:rsidR="00E24F6A" w:rsidRPr="001C7CDF" w:rsidRDefault="00E24F6A" w:rsidP="006C19E0">
      <w:pPr>
        <w:jc w:val="center"/>
        <w:rPr>
          <w:rFonts w:ascii="Book Antiqua" w:hAnsi="Book Antiqua"/>
          <w:b/>
          <w:i/>
          <w:smallCaps/>
          <w:sz w:val="20"/>
          <w:lang w:val="es-ES"/>
        </w:rPr>
      </w:pPr>
      <w:bookmarkStart w:id="1" w:name="_Hlk189811370"/>
    </w:p>
    <w:p w14:paraId="2458AB3E" w14:textId="095A8EE6" w:rsidR="00AC0B45" w:rsidRPr="007749C8" w:rsidRDefault="00AC0B45" w:rsidP="006C19E0">
      <w:pPr>
        <w:jc w:val="center"/>
        <w:rPr>
          <w:rFonts w:ascii="Book Antiqua" w:hAnsi="Book Antiqua"/>
          <w:b/>
          <w:i/>
          <w:smallCaps/>
          <w:szCs w:val="24"/>
          <w:lang w:val="es-ES_tradnl"/>
        </w:rPr>
      </w:pPr>
      <w:r w:rsidRPr="007749C8">
        <w:rPr>
          <w:rFonts w:ascii="Book Antiqua" w:hAnsi="Book Antiqua"/>
          <w:b/>
          <w:i/>
          <w:smallCaps/>
          <w:szCs w:val="24"/>
          <w:lang w:val="es-ES_tradnl"/>
        </w:rPr>
        <w:t>Alcance de la Medida</w:t>
      </w:r>
    </w:p>
    <w:p w14:paraId="567C9072" w14:textId="77777777" w:rsidR="005665D9" w:rsidRPr="001C7CDF" w:rsidRDefault="005665D9" w:rsidP="006C19E0">
      <w:pPr>
        <w:jc w:val="center"/>
        <w:rPr>
          <w:rFonts w:ascii="Book Antiqua" w:hAnsi="Book Antiqua"/>
          <w:b/>
          <w:i/>
          <w:smallCaps/>
          <w:sz w:val="16"/>
          <w:szCs w:val="16"/>
          <w:lang w:val="es-ES_tradnl"/>
        </w:rPr>
      </w:pPr>
    </w:p>
    <w:p w14:paraId="753A289D" w14:textId="77777777" w:rsidR="003C3A80" w:rsidRPr="003C3A80" w:rsidRDefault="003C3A80" w:rsidP="003C3A80">
      <w:pPr>
        <w:jc w:val="both"/>
        <w:rPr>
          <w:rFonts w:ascii="Book Antiqua" w:hAnsi="Book Antiqua"/>
          <w:szCs w:val="24"/>
          <w:lang w:val="es-PR"/>
        </w:rPr>
      </w:pPr>
      <w:bookmarkStart w:id="2" w:name="_Hlk193349736"/>
      <w:bookmarkEnd w:id="1"/>
      <w:r w:rsidRPr="003C3A80">
        <w:rPr>
          <w:rFonts w:ascii="Book Antiqua" w:hAnsi="Book Antiqua"/>
          <w:szCs w:val="24"/>
          <w:lang w:val="es-PR"/>
        </w:rPr>
        <w:t>La Resolución Conjunta del Senado 43 tiene como propósito ordenar al Departamento de la Vivienda del Gobierno de Puerto Rico a llevar a cabo un proceso sistemático de digitalización de todos los expedientes físicos ubicados en sus oficinas regionales, particularmente aquellos relacionados con propiedades bajo usufructo, propiedades vacantes o casos en proceso de actualización administrativa. Asimismo, dispone la digitalización de planos, documentos técnicos y diagramas bajo la custodia de dichas oficinas regionales.</w:t>
      </w:r>
    </w:p>
    <w:p w14:paraId="5334FAA2" w14:textId="77777777" w:rsidR="003C3A80" w:rsidRPr="003C3A80" w:rsidRDefault="003C3A80" w:rsidP="003C3A80">
      <w:pPr>
        <w:jc w:val="both"/>
        <w:rPr>
          <w:rFonts w:ascii="Book Antiqua" w:hAnsi="Book Antiqua"/>
          <w:szCs w:val="24"/>
          <w:lang w:val="es-PR"/>
        </w:rPr>
      </w:pPr>
    </w:p>
    <w:p w14:paraId="4E96960F" w14:textId="327FEC66" w:rsidR="00D3053D" w:rsidRPr="00D3053D" w:rsidRDefault="003C3A80" w:rsidP="003C3A80">
      <w:pPr>
        <w:jc w:val="both"/>
        <w:rPr>
          <w:rFonts w:ascii="Book Antiqua" w:hAnsi="Book Antiqua"/>
          <w:szCs w:val="24"/>
          <w:lang w:val="es-PR"/>
        </w:rPr>
      </w:pPr>
      <w:r w:rsidRPr="003C3A80">
        <w:rPr>
          <w:rFonts w:ascii="Book Antiqua" w:hAnsi="Book Antiqua"/>
          <w:szCs w:val="24"/>
          <w:lang w:val="es-PR"/>
        </w:rPr>
        <w:t>La medida también ordena al Departamento establecer protocolos de respaldo seguro para los archivos digitales, incluyendo almacenamiento en la nube, sistemas redundantes y medidas de ciberseguridad, con el propósito de garantizar la preservación y disponibilidad de la información ante desastres naturales, incendios, inundaciones u otras emergencias.</w:t>
      </w:r>
    </w:p>
    <w:p w14:paraId="551C68E4" w14:textId="77777777" w:rsidR="00D3053D" w:rsidRPr="001C7CDF" w:rsidRDefault="00D3053D" w:rsidP="00D3053D">
      <w:pPr>
        <w:jc w:val="both"/>
        <w:rPr>
          <w:rFonts w:ascii="Book Antiqua" w:hAnsi="Book Antiqua"/>
          <w:b/>
          <w:i/>
          <w:smallCaps/>
          <w:sz w:val="16"/>
          <w:szCs w:val="16"/>
          <w:lang w:val="es-ES_tradnl"/>
        </w:rPr>
      </w:pPr>
    </w:p>
    <w:bookmarkEnd w:id="2"/>
    <w:p w14:paraId="146B3324" w14:textId="2830E704" w:rsidR="001156F1" w:rsidRPr="007749C8" w:rsidRDefault="001156F1" w:rsidP="001156F1">
      <w:pPr>
        <w:jc w:val="center"/>
        <w:rPr>
          <w:rFonts w:ascii="Book Antiqua" w:hAnsi="Book Antiqua"/>
          <w:b/>
          <w:i/>
          <w:smallCaps/>
          <w:szCs w:val="24"/>
          <w:lang w:val="es-ES_tradnl"/>
        </w:rPr>
      </w:pPr>
      <w:r>
        <w:rPr>
          <w:rFonts w:ascii="Book Antiqua" w:hAnsi="Book Antiqua"/>
          <w:b/>
          <w:i/>
          <w:smallCaps/>
          <w:szCs w:val="24"/>
          <w:lang w:val="es-ES_tradnl"/>
        </w:rPr>
        <w:t>Trámite</w:t>
      </w:r>
      <w:r w:rsidRPr="007749C8">
        <w:rPr>
          <w:rFonts w:ascii="Book Antiqua" w:hAnsi="Book Antiqua"/>
          <w:b/>
          <w:i/>
          <w:smallCaps/>
          <w:szCs w:val="24"/>
          <w:lang w:val="es-ES_tradnl"/>
        </w:rPr>
        <w:t xml:space="preserve"> </w:t>
      </w:r>
      <w:r>
        <w:rPr>
          <w:rFonts w:ascii="Book Antiqua" w:hAnsi="Book Antiqua"/>
          <w:b/>
          <w:i/>
          <w:smallCaps/>
          <w:szCs w:val="24"/>
          <w:lang w:val="es-ES_tradnl"/>
        </w:rPr>
        <w:t>Legislativo</w:t>
      </w:r>
    </w:p>
    <w:p w14:paraId="3B973BD3" w14:textId="77777777" w:rsidR="005665D9" w:rsidRPr="001C7CDF" w:rsidRDefault="005665D9" w:rsidP="006C19E0">
      <w:pPr>
        <w:spacing w:before="100" w:beforeAutospacing="1" w:after="100" w:afterAutospacing="1"/>
        <w:contextualSpacing/>
        <w:jc w:val="center"/>
        <w:rPr>
          <w:rFonts w:ascii="Book Antiqua" w:hAnsi="Book Antiqua"/>
          <w:b/>
          <w:i/>
          <w:smallCaps/>
          <w:sz w:val="16"/>
          <w:szCs w:val="16"/>
          <w:lang w:val="es-ES_tradnl"/>
        </w:rPr>
      </w:pPr>
    </w:p>
    <w:p w14:paraId="44E86C22" w14:textId="77777777" w:rsidR="001C7CDF" w:rsidRPr="001C7CDF" w:rsidRDefault="001C7CDF" w:rsidP="001C7CDF">
      <w:pPr>
        <w:jc w:val="both"/>
        <w:rPr>
          <w:rFonts w:ascii="Book Antiqua" w:hAnsi="Book Antiqua"/>
          <w:bCs/>
          <w:iCs/>
          <w:szCs w:val="24"/>
          <w:lang w:val="es-ES"/>
        </w:rPr>
      </w:pPr>
      <w:r w:rsidRPr="001C7CDF">
        <w:rPr>
          <w:rFonts w:ascii="Book Antiqua" w:hAnsi="Book Antiqua"/>
          <w:bCs/>
          <w:iCs/>
          <w:szCs w:val="24"/>
          <w:lang w:val="es-ES"/>
        </w:rPr>
        <w:t>Durante la evaluación de la presente medida, la Comisión analizó el alcance de la Resolución Conjunta y su relación con las funciones administrativas y operacionales del Departamento de la Vivienda. Asimismo, se tomó en consideración la necesidad de modernizar los procesos de custodia documental en las oficinas regionales, particularmente en lo relacionado con expedientes de propiedades bajo usufructo, terrenos vacantes, planos y documentos técnicos.</w:t>
      </w:r>
    </w:p>
    <w:p w14:paraId="23893CBB" w14:textId="77777777" w:rsidR="001C7CDF" w:rsidRPr="001C7CDF" w:rsidRDefault="001C7CDF" w:rsidP="001C7CDF">
      <w:pPr>
        <w:jc w:val="both"/>
        <w:rPr>
          <w:rFonts w:ascii="Book Antiqua" w:hAnsi="Book Antiqua"/>
          <w:bCs/>
          <w:iCs/>
          <w:szCs w:val="24"/>
          <w:lang w:val="es-ES"/>
        </w:rPr>
      </w:pPr>
    </w:p>
    <w:p w14:paraId="1685BDFC" w14:textId="62EB8662" w:rsidR="00D3053D" w:rsidRDefault="001C7CDF" w:rsidP="001C7CDF">
      <w:pPr>
        <w:jc w:val="both"/>
        <w:rPr>
          <w:rFonts w:ascii="Book Antiqua" w:hAnsi="Book Antiqua"/>
          <w:bCs/>
          <w:iCs/>
          <w:szCs w:val="24"/>
          <w:lang w:val="es-ES"/>
        </w:rPr>
      </w:pPr>
      <w:r w:rsidRPr="001C7CDF">
        <w:rPr>
          <w:rFonts w:ascii="Book Antiqua" w:hAnsi="Book Antiqua"/>
          <w:bCs/>
          <w:iCs/>
          <w:szCs w:val="24"/>
          <w:lang w:val="es-ES"/>
        </w:rPr>
        <w:t>La Comisión entiende que la medida es cónsona con la política pública del Gobierno de Puerto Rico dirigida a promover una administración pública más eficiente, transparente, resiliente y preparada para responder ante emergencias. De igual forma, se reconoce que la conservación adecuada de documentos públicos resulta indispensable para proteger derechos propietarios, facilitar trámites administrativos y garantizar la continuidad de los servicios gubernamentales.</w:t>
      </w:r>
    </w:p>
    <w:p w14:paraId="122931E6" w14:textId="77777777" w:rsidR="001C7CDF" w:rsidRPr="001C7CDF" w:rsidRDefault="001C7CDF" w:rsidP="001C7CDF">
      <w:pPr>
        <w:jc w:val="both"/>
        <w:rPr>
          <w:rFonts w:ascii="Book Antiqua" w:hAnsi="Book Antiqua"/>
          <w:sz w:val="16"/>
          <w:szCs w:val="16"/>
          <w:lang w:val="es-ES"/>
        </w:rPr>
      </w:pPr>
    </w:p>
    <w:p w14:paraId="28152C71" w14:textId="10985DD9" w:rsidR="00DD1FCB" w:rsidRPr="007749C8" w:rsidRDefault="00DD1FCB" w:rsidP="006C19E0">
      <w:pPr>
        <w:jc w:val="center"/>
        <w:rPr>
          <w:rFonts w:ascii="Book Antiqua" w:hAnsi="Book Antiqua"/>
          <w:b/>
          <w:i/>
          <w:smallCaps/>
          <w:szCs w:val="24"/>
          <w:lang w:val="es-ES_tradnl"/>
        </w:rPr>
      </w:pPr>
      <w:r w:rsidRPr="007749C8">
        <w:rPr>
          <w:rFonts w:ascii="Book Antiqua" w:hAnsi="Book Antiqua"/>
          <w:b/>
          <w:i/>
          <w:smallCaps/>
          <w:szCs w:val="24"/>
          <w:lang w:val="es-ES_tradnl"/>
        </w:rPr>
        <w:t xml:space="preserve">Análisis </w:t>
      </w:r>
      <w:r w:rsidR="00E359DB" w:rsidRPr="007749C8">
        <w:rPr>
          <w:rFonts w:ascii="Book Antiqua" w:hAnsi="Book Antiqua"/>
          <w:b/>
          <w:i/>
          <w:smallCaps/>
          <w:szCs w:val="24"/>
          <w:lang w:val="es-ES_tradnl"/>
        </w:rPr>
        <w:t>De la Medida</w:t>
      </w:r>
    </w:p>
    <w:p w14:paraId="2B475C90" w14:textId="77777777" w:rsidR="00E359DB" w:rsidRPr="001C7CDF" w:rsidRDefault="00E359DB" w:rsidP="006C19E0">
      <w:pPr>
        <w:rPr>
          <w:rFonts w:ascii="Book Antiqua" w:hAnsi="Book Antiqua"/>
          <w:bCs/>
          <w:iCs/>
          <w:smallCaps/>
          <w:sz w:val="16"/>
          <w:szCs w:val="16"/>
          <w:lang w:val="es-ES_tradnl"/>
        </w:rPr>
      </w:pPr>
    </w:p>
    <w:p w14:paraId="38CF1976" w14:textId="77777777" w:rsidR="001C7CDF" w:rsidRPr="001C7CDF" w:rsidRDefault="001C7CDF" w:rsidP="001C7CDF">
      <w:pPr>
        <w:jc w:val="both"/>
        <w:rPr>
          <w:rFonts w:ascii="Book Antiqua" w:eastAsia="Times New Roman" w:hAnsi="Book Antiqua"/>
          <w:szCs w:val="24"/>
          <w:lang w:val="es-PR" w:eastAsia="es-PR"/>
        </w:rPr>
      </w:pPr>
      <w:r w:rsidRPr="001C7CDF">
        <w:rPr>
          <w:rFonts w:ascii="Book Antiqua" w:eastAsia="Times New Roman" w:hAnsi="Book Antiqua"/>
          <w:szCs w:val="24"/>
          <w:lang w:val="es-PR" w:eastAsia="es-PR"/>
        </w:rPr>
        <w:t>El manejo eficiente, seguro y accesible de la información pública constituye un componente esencial de la administración gubernamental moderna. En el caso del Departamento de la Vivienda, la adecuada preservación de expedientes físicos, planos y documentos técnicos reviste particular importancia, toda vez que dichos documentos pueden contener información esencial para la actualización de casos, procesos de titularidad, reclamaciones futuras, planificación urbana, identificación de propiedades y administración de programas de vivienda.</w:t>
      </w:r>
    </w:p>
    <w:p w14:paraId="7C109071" w14:textId="77777777" w:rsidR="001C7CDF" w:rsidRPr="001C7CDF" w:rsidRDefault="001C7CDF" w:rsidP="001C7CDF">
      <w:pPr>
        <w:jc w:val="both"/>
        <w:rPr>
          <w:rFonts w:ascii="Book Antiqua" w:eastAsia="Times New Roman" w:hAnsi="Book Antiqua"/>
          <w:szCs w:val="24"/>
          <w:lang w:val="es-PR" w:eastAsia="es-PR"/>
        </w:rPr>
      </w:pPr>
    </w:p>
    <w:p w14:paraId="22823152" w14:textId="77777777" w:rsidR="001C7CDF" w:rsidRPr="001C7CDF" w:rsidRDefault="001C7CDF" w:rsidP="001C7CDF">
      <w:pPr>
        <w:jc w:val="both"/>
        <w:rPr>
          <w:rFonts w:ascii="Book Antiqua" w:eastAsia="Times New Roman" w:hAnsi="Book Antiqua"/>
          <w:szCs w:val="24"/>
          <w:lang w:val="es-PR" w:eastAsia="es-PR"/>
        </w:rPr>
      </w:pPr>
      <w:r w:rsidRPr="001C7CDF">
        <w:rPr>
          <w:rFonts w:ascii="Book Antiqua" w:eastAsia="Times New Roman" w:hAnsi="Book Antiqua"/>
          <w:szCs w:val="24"/>
          <w:lang w:val="es-PR" w:eastAsia="es-PR"/>
        </w:rPr>
        <w:t>Actualmente, muchas oficinas regionales del Departamento de la Vivienda custodian expedientes originales en formato físico. Esta realidad representa un riesgo operacional significativo, pues dichos documentos pueden verse afectados por eventos tales como huracanes, lluvias torrenciales, inundaciones, incendios, vandalismo, deterioro físico o cualquier otro evento fortuito. Puerto Rico, por su localización geográfica, se encuentra expuesto de manera recurrente a fenómenos atmosféricos y emergencias que pueden comprometer la integridad de archivos gubernamentales esenciales.</w:t>
      </w:r>
    </w:p>
    <w:p w14:paraId="77AACA69" w14:textId="77777777" w:rsidR="001C7CDF" w:rsidRPr="001C7CDF" w:rsidRDefault="001C7CDF" w:rsidP="001C7CDF">
      <w:pPr>
        <w:jc w:val="both"/>
        <w:rPr>
          <w:rFonts w:ascii="Book Antiqua" w:eastAsia="Times New Roman" w:hAnsi="Book Antiqua"/>
          <w:szCs w:val="24"/>
          <w:lang w:val="es-PR" w:eastAsia="es-PR"/>
        </w:rPr>
      </w:pPr>
    </w:p>
    <w:p w14:paraId="6E24241D" w14:textId="77777777" w:rsidR="001C7CDF" w:rsidRPr="001C7CDF" w:rsidRDefault="001C7CDF" w:rsidP="001C7CDF">
      <w:pPr>
        <w:jc w:val="both"/>
        <w:rPr>
          <w:rFonts w:ascii="Book Antiqua" w:eastAsia="Times New Roman" w:hAnsi="Book Antiqua"/>
          <w:szCs w:val="24"/>
          <w:lang w:val="es-PR" w:eastAsia="es-PR"/>
        </w:rPr>
      </w:pPr>
      <w:r w:rsidRPr="001C7CDF">
        <w:rPr>
          <w:rFonts w:ascii="Book Antiqua" w:eastAsia="Times New Roman" w:hAnsi="Book Antiqua"/>
          <w:szCs w:val="24"/>
          <w:lang w:val="es-PR" w:eastAsia="es-PR"/>
        </w:rPr>
        <w:t>Ante ese escenario, la digitalización de los expedientes constituye una herramienta necesaria para fortalecer la continuidad de operaciones del Departamento de la Vivienda. La creación de copias digitales, acompañada de protocolos de respaldo seguro, almacenamiento redundante y medidas de ciberseguridad, permitirá proteger información sensible, reducir el riesgo de pérdida documental y facilitar el acceso oportuno a datos relevantes para la gestión pública.</w:t>
      </w:r>
    </w:p>
    <w:p w14:paraId="7B8A640B" w14:textId="77777777" w:rsidR="001C7CDF" w:rsidRPr="001C7CDF" w:rsidRDefault="001C7CDF" w:rsidP="001C7CDF">
      <w:pPr>
        <w:jc w:val="both"/>
        <w:rPr>
          <w:rFonts w:ascii="Book Antiqua" w:eastAsia="Times New Roman" w:hAnsi="Book Antiqua"/>
          <w:szCs w:val="24"/>
          <w:lang w:val="es-PR" w:eastAsia="es-PR"/>
        </w:rPr>
      </w:pPr>
    </w:p>
    <w:p w14:paraId="072CEF6A" w14:textId="77777777" w:rsidR="001C7CDF" w:rsidRPr="001C7CDF" w:rsidRDefault="001C7CDF" w:rsidP="001C7CDF">
      <w:pPr>
        <w:jc w:val="both"/>
        <w:rPr>
          <w:rFonts w:ascii="Book Antiqua" w:eastAsia="Times New Roman" w:hAnsi="Book Antiqua"/>
          <w:szCs w:val="24"/>
          <w:lang w:val="es-PR" w:eastAsia="es-PR"/>
        </w:rPr>
      </w:pPr>
      <w:r w:rsidRPr="001C7CDF">
        <w:rPr>
          <w:rFonts w:ascii="Book Antiqua" w:eastAsia="Times New Roman" w:hAnsi="Book Antiqua"/>
          <w:szCs w:val="24"/>
          <w:lang w:val="es-PR" w:eastAsia="es-PR"/>
        </w:rPr>
        <w:t>La medida también promueve una mayor eficiencia administrativa. La disponibilidad de expedientes digitales puede reducir demoras en la búsqueda de documentos, facilitar la coordinación entre oficinas regionales y nivel central, mejorar la prestación de servicios al ciudadano y permitir un manejo más ordenado de información relacionada con propiedades bajo usufructo, propiedades vacantes o casos pendientes de actualización.</w:t>
      </w:r>
    </w:p>
    <w:p w14:paraId="61E95AE5" w14:textId="77777777" w:rsidR="001C7CDF" w:rsidRPr="001C7CDF" w:rsidRDefault="001C7CDF" w:rsidP="001C7CDF">
      <w:pPr>
        <w:jc w:val="both"/>
        <w:rPr>
          <w:rFonts w:ascii="Book Antiqua" w:eastAsia="Times New Roman" w:hAnsi="Book Antiqua"/>
          <w:szCs w:val="24"/>
          <w:lang w:val="es-PR" w:eastAsia="es-PR"/>
        </w:rPr>
      </w:pPr>
    </w:p>
    <w:p w14:paraId="5050F588" w14:textId="77777777" w:rsidR="001C7CDF" w:rsidRPr="001C7CDF" w:rsidRDefault="001C7CDF" w:rsidP="001C7CDF">
      <w:pPr>
        <w:jc w:val="both"/>
        <w:rPr>
          <w:rFonts w:ascii="Book Antiqua" w:eastAsia="Times New Roman" w:hAnsi="Book Antiqua"/>
          <w:szCs w:val="24"/>
          <w:lang w:val="es-PR" w:eastAsia="es-PR"/>
        </w:rPr>
      </w:pPr>
      <w:r w:rsidRPr="001C7CDF">
        <w:rPr>
          <w:rFonts w:ascii="Book Antiqua" w:eastAsia="Times New Roman" w:hAnsi="Book Antiqua"/>
          <w:szCs w:val="24"/>
          <w:lang w:val="es-PR" w:eastAsia="es-PR"/>
        </w:rPr>
        <w:t xml:space="preserve">Asimismo, la Resolución Conjunta dispone que el Departamento de la Vivienda presente un informe a la Asamblea Legislativa en un término no mayor de ciento veinte (120) días desde su aprobación. Dicho informe deberá detallar el inventario inicial de documentos a digitalizar, el plan de trabajo, el calendario estimado, los recursos disponibles y aquellos que se requieran para su implementación, así como recomendaciones para viabilizar el proceso mediante colaboración </w:t>
      </w:r>
      <w:proofErr w:type="spellStart"/>
      <w:r w:rsidRPr="001C7CDF">
        <w:rPr>
          <w:rFonts w:ascii="Book Antiqua" w:eastAsia="Times New Roman" w:hAnsi="Book Antiqua"/>
          <w:szCs w:val="24"/>
          <w:lang w:val="es-PR" w:eastAsia="es-PR"/>
        </w:rPr>
        <w:t>interagencial</w:t>
      </w:r>
      <w:proofErr w:type="spellEnd"/>
      <w:r w:rsidRPr="001C7CDF">
        <w:rPr>
          <w:rFonts w:ascii="Book Antiqua" w:eastAsia="Times New Roman" w:hAnsi="Book Antiqua"/>
          <w:szCs w:val="24"/>
          <w:lang w:val="es-PR" w:eastAsia="es-PR"/>
        </w:rPr>
        <w:t xml:space="preserve"> o alianzas público-privadas. Este requisito </w:t>
      </w:r>
      <w:r w:rsidRPr="001C7CDF">
        <w:rPr>
          <w:rFonts w:ascii="Book Antiqua" w:eastAsia="Times New Roman" w:hAnsi="Book Antiqua"/>
          <w:szCs w:val="24"/>
          <w:lang w:val="es-PR" w:eastAsia="es-PR"/>
        </w:rPr>
        <w:lastRenderedPageBreak/>
        <w:t>permite a la Asamblea Legislativa ejercer una función adecuada de seguimiento y fiscalización sobre la implementación de la medida.</w:t>
      </w:r>
    </w:p>
    <w:p w14:paraId="4CE8434A" w14:textId="77777777" w:rsidR="001C7CDF" w:rsidRPr="001C7CDF" w:rsidRDefault="001C7CDF" w:rsidP="001C7CDF">
      <w:pPr>
        <w:jc w:val="both"/>
        <w:rPr>
          <w:rFonts w:ascii="Book Antiqua" w:eastAsia="Times New Roman" w:hAnsi="Book Antiqua"/>
          <w:szCs w:val="24"/>
          <w:lang w:val="es-PR" w:eastAsia="es-PR"/>
        </w:rPr>
      </w:pPr>
    </w:p>
    <w:p w14:paraId="321FF6A7" w14:textId="056A4268" w:rsidR="001156F1" w:rsidRDefault="001C7CDF" w:rsidP="001C7CDF">
      <w:pPr>
        <w:jc w:val="both"/>
        <w:rPr>
          <w:rFonts w:ascii="Book Antiqua" w:eastAsia="Times New Roman" w:hAnsi="Book Antiqua"/>
          <w:szCs w:val="24"/>
          <w:lang w:val="es-PR" w:eastAsia="es-PR"/>
        </w:rPr>
      </w:pPr>
      <w:r w:rsidRPr="001C7CDF">
        <w:rPr>
          <w:rFonts w:ascii="Book Antiqua" w:eastAsia="Times New Roman" w:hAnsi="Book Antiqua"/>
          <w:szCs w:val="24"/>
          <w:lang w:val="es-PR" w:eastAsia="es-PR"/>
        </w:rPr>
        <w:t>Además, la medida contempla la designación de enlaces regionales para sistemas de entrada de datos o plataformas similares, a los fines de mantener la información actualizada. Este componente es importante, ya que la digitalización no debe limitarse a un esfuerzo inicial de escaneo documental, sino que debe convertirse en un mecanismo continuo de actualización, organización y manejo eficiente de información.</w:t>
      </w:r>
    </w:p>
    <w:p w14:paraId="17BA13E5" w14:textId="77777777" w:rsidR="001C7CDF" w:rsidRPr="001C7CDF" w:rsidRDefault="001C7CDF" w:rsidP="001C7CDF">
      <w:pPr>
        <w:jc w:val="center"/>
        <w:rPr>
          <w:rFonts w:ascii="Book Antiqua" w:hAnsi="Book Antiqua"/>
          <w:b/>
          <w:i/>
          <w:smallCaps/>
          <w:sz w:val="16"/>
          <w:szCs w:val="16"/>
          <w:lang w:val="es-ES_tradnl"/>
        </w:rPr>
      </w:pPr>
    </w:p>
    <w:p w14:paraId="6C410F04" w14:textId="00B797AF" w:rsidR="00DD1FCB" w:rsidRPr="007749C8" w:rsidRDefault="00DD1FCB" w:rsidP="006C19E0">
      <w:pPr>
        <w:jc w:val="center"/>
        <w:rPr>
          <w:rFonts w:ascii="Book Antiqua" w:hAnsi="Book Antiqua"/>
          <w:b/>
          <w:i/>
          <w:smallCaps/>
          <w:szCs w:val="24"/>
          <w:lang w:val="es-ES_tradnl"/>
        </w:rPr>
      </w:pPr>
      <w:r w:rsidRPr="007749C8">
        <w:rPr>
          <w:rFonts w:ascii="Book Antiqua" w:hAnsi="Book Antiqua"/>
          <w:b/>
          <w:i/>
          <w:smallCaps/>
          <w:szCs w:val="24"/>
          <w:lang w:val="es-ES_tradnl"/>
        </w:rPr>
        <w:t>Impacto Fiscal Municipal</w:t>
      </w:r>
    </w:p>
    <w:p w14:paraId="16EA00F8" w14:textId="77777777" w:rsidR="00DD1FCB" w:rsidRPr="001C7CDF" w:rsidRDefault="00DD1FCB" w:rsidP="006C19E0">
      <w:pPr>
        <w:rPr>
          <w:rFonts w:ascii="Book Antiqua" w:hAnsi="Book Antiqua"/>
          <w:b/>
          <w:i/>
          <w:smallCaps/>
          <w:sz w:val="16"/>
          <w:szCs w:val="16"/>
          <w:lang w:val="es-ES_tradnl"/>
        </w:rPr>
      </w:pPr>
    </w:p>
    <w:p w14:paraId="2A33EEF4" w14:textId="0A2BC32F" w:rsidR="00DD1FCB" w:rsidRPr="007749C8" w:rsidRDefault="00DD1FCB" w:rsidP="006C19E0">
      <w:pPr>
        <w:jc w:val="both"/>
        <w:rPr>
          <w:rFonts w:ascii="Book Antiqua" w:hAnsi="Book Antiqua"/>
          <w:szCs w:val="24"/>
          <w:lang w:val="es-ES_tradnl"/>
        </w:rPr>
      </w:pPr>
      <w:r w:rsidRPr="001156F1">
        <w:rPr>
          <w:rFonts w:ascii="Book Antiqua" w:hAnsi="Book Antiqua"/>
          <w:szCs w:val="24"/>
          <w:lang w:val="es-ES_tradnl"/>
        </w:rPr>
        <w:t>En cumplimiento con lo dispuesto en el Artículo 1.007 de la Ley 107-2020, (21 L.P.R.A. § 7012</w:t>
      </w:r>
      <w:r w:rsidR="00C9223C" w:rsidRPr="001156F1">
        <w:rPr>
          <w:rFonts w:ascii="Book Antiqua" w:hAnsi="Book Antiqua"/>
          <w:szCs w:val="24"/>
          <w:lang w:val="es-ES_tradnl"/>
        </w:rPr>
        <w:t>) supra</w:t>
      </w:r>
      <w:r w:rsidRPr="001156F1">
        <w:rPr>
          <w:rFonts w:ascii="Book Antiqua" w:hAnsi="Book Antiqua"/>
          <w:szCs w:val="24"/>
          <w:lang w:val="es-ES_tradnl"/>
        </w:rPr>
        <w:t xml:space="preserve">, conocida como “Código Municipal de Puerto Rico, la Comisión de </w:t>
      </w:r>
      <w:r w:rsidR="000C1B4B" w:rsidRPr="001156F1">
        <w:rPr>
          <w:rFonts w:ascii="Book Antiqua" w:hAnsi="Book Antiqua"/>
          <w:szCs w:val="24"/>
          <w:lang w:val="es-ES"/>
        </w:rPr>
        <w:t>Vivienda y Desarrollo Urbano de la Cámara de Representantes</w:t>
      </w:r>
      <w:r w:rsidR="00204D65" w:rsidRPr="001156F1">
        <w:rPr>
          <w:rFonts w:ascii="Book Antiqua" w:hAnsi="Book Antiqua"/>
          <w:szCs w:val="24"/>
          <w:lang w:val="es-ES_tradnl"/>
        </w:rPr>
        <w:t xml:space="preserve">, </w:t>
      </w:r>
      <w:r w:rsidR="001156F1">
        <w:rPr>
          <w:rFonts w:ascii="Book Antiqua" w:hAnsi="Book Antiqua"/>
          <w:szCs w:val="24"/>
          <w:lang w:val="es-ES_tradnl"/>
        </w:rPr>
        <w:t>certifica</w:t>
      </w:r>
      <w:r w:rsidRPr="001156F1">
        <w:rPr>
          <w:rFonts w:ascii="Book Antiqua" w:hAnsi="Book Antiqua"/>
          <w:szCs w:val="24"/>
          <w:lang w:val="es-ES_tradnl"/>
        </w:rPr>
        <w:t xml:space="preserve"> que la pieza legislativa bajo an</w:t>
      </w:r>
      <w:r w:rsidR="002A6663" w:rsidRPr="001156F1">
        <w:rPr>
          <w:rFonts w:ascii="Book Antiqua" w:hAnsi="Book Antiqua"/>
          <w:szCs w:val="24"/>
          <w:lang w:val="es-ES_tradnl"/>
        </w:rPr>
        <w:t>á</w:t>
      </w:r>
      <w:r w:rsidRPr="001156F1">
        <w:rPr>
          <w:rFonts w:ascii="Book Antiqua" w:hAnsi="Book Antiqua"/>
          <w:szCs w:val="24"/>
          <w:lang w:val="es-ES_tradnl"/>
        </w:rPr>
        <w:t>lisis no impone una carga económica negativa en el presupuesto de los gobiernos municipales.</w:t>
      </w:r>
    </w:p>
    <w:p w14:paraId="2EC4D52E" w14:textId="77777777" w:rsidR="002A17A6" w:rsidRPr="001C7CDF" w:rsidRDefault="002A17A6" w:rsidP="006C19E0">
      <w:pPr>
        <w:jc w:val="center"/>
        <w:rPr>
          <w:rFonts w:ascii="Book Antiqua" w:hAnsi="Book Antiqua"/>
          <w:b/>
          <w:i/>
          <w:smallCaps/>
          <w:sz w:val="16"/>
          <w:szCs w:val="16"/>
          <w:lang w:val="es-ES_tradnl"/>
        </w:rPr>
      </w:pPr>
    </w:p>
    <w:p w14:paraId="64E4266F" w14:textId="64C32DE7" w:rsidR="004000AE" w:rsidRDefault="004000AE" w:rsidP="006C19E0">
      <w:pPr>
        <w:jc w:val="center"/>
        <w:rPr>
          <w:rFonts w:ascii="Book Antiqua" w:hAnsi="Book Antiqua"/>
          <w:b/>
          <w:i/>
          <w:smallCaps/>
          <w:szCs w:val="24"/>
          <w:lang w:val="es-ES_tradnl"/>
        </w:rPr>
      </w:pPr>
      <w:r w:rsidRPr="007749C8">
        <w:rPr>
          <w:rFonts w:ascii="Book Antiqua" w:hAnsi="Book Antiqua"/>
          <w:b/>
          <w:i/>
          <w:smallCaps/>
          <w:szCs w:val="24"/>
          <w:lang w:val="es-ES_tradnl"/>
        </w:rPr>
        <w:t>Conclusión</w:t>
      </w:r>
    </w:p>
    <w:p w14:paraId="46FAA7E5" w14:textId="77777777" w:rsidR="006C19E0" w:rsidRPr="001C7CDF" w:rsidRDefault="006C19E0" w:rsidP="006C19E0">
      <w:pPr>
        <w:jc w:val="center"/>
        <w:rPr>
          <w:rFonts w:ascii="Book Antiqua" w:hAnsi="Book Antiqua"/>
          <w:b/>
          <w:i/>
          <w:smallCaps/>
          <w:sz w:val="16"/>
          <w:szCs w:val="16"/>
          <w:lang w:val="es-ES_tradnl"/>
        </w:rPr>
      </w:pPr>
    </w:p>
    <w:p w14:paraId="0E0B59E1" w14:textId="77777777" w:rsidR="001C7CDF" w:rsidRPr="001C7CDF" w:rsidRDefault="001C7CDF" w:rsidP="001C7CDF">
      <w:pPr>
        <w:jc w:val="both"/>
        <w:rPr>
          <w:rFonts w:ascii="Book Antiqua" w:hAnsi="Book Antiqua"/>
          <w:szCs w:val="24"/>
          <w:lang w:val="es-PR"/>
        </w:rPr>
      </w:pPr>
      <w:r w:rsidRPr="001C7CDF">
        <w:rPr>
          <w:rFonts w:ascii="Book Antiqua" w:hAnsi="Book Antiqua"/>
          <w:szCs w:val="24"/>
          <w:lang w:val="es-PR"/>
        </w:rPr>
        <w:t>La Comisión concluye que la Resolución Conjunta del Senado 43 constituye una medida necesaria para fortalecer la preservación documental, la continuidad gubernamental y la eficiencia administrativa del Departamento de la Vivienda. La digitalización de expedientes, planos y documentos técnicos permitirá proteger información esencial, mejorar la prestación de servicios y garantizar una respuesta institucional más efectiva ante emergencias.</w:t>
      </w:r>
    </w:p>
    <w:p w14:paraId="6483B473" w14:textId="77777777" w:rsidR="001C7CDF" w:rsidRPr="001C7CDF" w:rsidRDefault="001C7CDF" w:rsidP="001C7CDF">
      <w:pPr>
        <w:jc w:val="both"/>
        <w:rPr>
          <w:rFonts w:ascii="Book Antiqua" w:hAnsi="Book Antiqua"/>
          <w:szCs w:val="24"/>
          <w:lang w:val="es-PR"/>
        </w:rPr>
      </w:pPr>
    </w:p>
    <w:p w14:paraId="1745A313" w14:textId="2BAE83F5" w:rsidR="00D3053D" w:rsidRDefault="001C7CDF" w:rsidP="001C7CDF">
      <w:pPr>
        <w:jc w:val="both"/>
        <w:rPr>
          <w:rFonts w:ascii="Book Antiqua" w:hAnsi="Book Antiqua"/>
          <w:szCs w:val="24"/>
          <w:lang w:val="es-PR"/>
        </w:rPr>
      </w:pPr>
      <w:r w:rsidRPr="001C7CDF">
        <w:rPr>
          <w:rFonts w:ascii="Book Antiqua" w:hAnsi="Book Antiqua"/>
          <w:szCs w:val="24"/>
          <w:lang w:val="es-PR"/>
        </w:rPr>
        <w:t>La medida es cónsona con los principios de transparencia, modernización gubernamental, seguridad documental y buena administración pública. Además, provee un mecanismo razonable de seguimiento legislativo mediante la presentación de un informe a la Asamblea Legislativa sobre el inventario, plan de trabajo, recursos necesarios y alternativas de implementación.</w:t>
      </w:r>
    </w:p>
    <w:p w14:paraId="0CE03725" w14:textId="77777777" w:rsidR="00D3053D" w:rsidRDefault="00D3053D" w:rsidP="00D3053D">
      <w:pPr>
        <w:jc w:val="both"/>
        <w:rPr>
          <w:rFonts w:ascii="Book Antiqua" w:hAnsi="Book Antiqua"/>
          <w:szCs w:val="24"/>
          <w:lang w:val="es-PR"/>
        </w:rPr>
      </w:pPr>
    </w:p>
    <w:p w14:paraId="3CAC93CF" w14:textId="6228439C" w:rsidR="00E405EE" w:rsidRPr="00E405EE" w:rsidRDefault="00E405EE" w:rsidP="00D3053D">
      <w:pPr>
        <w:jc w:val="both"/>
        <w:rPr>
          <w:rFonts w:ascii="Book Antiqua" w:hAnsi="Book Antiqua"/>
          <w:szCs w:val="24"/>
          <w:lang w:val="es-ES"/>
        </w:rPr>
      </w:pPr>
      <w:r>
        <w:rPr>
          <w:rFonts w:ascii="Book Antiqua" w:hAnsi="Book Antiqua"/>
          <w:szCs w:val="24"/>
          <w:lang w:val="es-ES"/>
        </w:rPr>
        <w:t>Por lo anterior, l</w:t>
      </w:r>
      <w:r w:rsidRPr="00E405EE">
        <w:rPr>
          <w:rFonts w:ascii="Book Antiqua" w:hAnsi="Book Antiqua"/>
          <w:szCs w:val="24"/>
          <w:lang w:val="es-ES"/>
        </w:rPr>
        <w:t xml:space="preserve">a Comisión de Vivienda y Desarrollo Urbano de la Cámara de Representantes, previo estudio y consideración, tiene el honor de </w:t>
      </w:r>
      <w:r w:rsidRPr="00E405EE">
        <w:rPr>
          <w:rFonts w:ascii="Book Antiqua" w:hAnsi="Book Antiqua"/>
          <w:b/>
          <w:bCs/>
          <w:szCs w:val="24"/>
          <w:lang w:val="es-ES"/>
        </w:rPr>
        <w:t>recomendar</w:t>
      </w:r>
      <w:r w:rsidRPr="00E405EE">
        <w:rPr>
          <w:rFonts w:ascii="Book Antiqua" w:hAnsi="Book Antiqua"/>
          <w:szCs w:val="24"/>
          <w:lang w:val="es-ES"/>
        </w:rPr>
        <w:t xml:space="preserve"> a este Alto Cuerpo </w:t>
      </w:r>
      <w:r w:rsidRPr="00E405EE">
        <w:rPr>
          <w:rFonts w:ascii="Book Antiqua" w:hAnsi="Book Antiqua"/>
          <w:b/>
          <w:bCs/>
          <w:szCs w:val="24"/>
          <w:lang w:val="es-ES"/>
        </w:rPr>
        <w:t>la aprobación</w:t>
      </w:r>
      <w:r w:rsidR="00D3053D">
        <w:rPr>
          <w:rFonts w:ascii="Book Antiqua" w:hAnsi="Book Antiqua"/>
          <w:b/>
          <w:bCs/>
          <w:szCs w:val="24"/>
          <w:lang w:val="es-ES"/>
        </w:rPr>
        <w:t xml:space="preserve"> de</w:t>
      </w:r>
      <w:r w:rsidRPr="00E405EE">
        <w:rPr>
          <w:rFonts w:ascii="Book Antiqua" w:hAnsi="Book Antiqua"/>
          <w:b/>
          <w:bCs/>
          <w:szCs w:val="24"/>
          <w:lang w:val="es-ES"/>
        </w:rPr>
        <w:t xml:space="preserve"> </w:t>
      </w:r>
      <w:r w:rsidR="00D3053D" w:rsidRPr="00D3053D">
        <w:rPr>
          <w:rFonts w:ascii="Book Antiqua" w:hAnsi="Book Antiqua"/>
          <w:b/>
          <w:bCs/>
          <w:szCs w:val="24"/>
          <w:lang w:val="es-ES"/>
        </w:rPr>
        <w:t xml:space="preserve">la Resolución Conjunta del Senado </w:t>
      </w:r>
      <w:r w:rsidR="001C7CDF">
        <w:rPr>
          <w:rFonts w:ascii="Book Antiqua" w:hAnsi="Book Antiqua"/>
          <w:b/>
          <w:bCs/>
          <w:szCs w:val="24"/>
          <w:lang w:val="es-ES"/>
        </w:rPr>
        <w:t>43</w:t>
      </w:r>
      <w:r w:rsidRPr="00E405EE">
        <w:rPr>
          <w:rFonts w:ascii="Book Antiqua" w:hAnsi="Book Antiqua"/>
          <w:b/>
          <w:bCs/>
          <w:szCs w:val="24"/>
          <w:lang w:val="es-ES"/>
        </w:rPr>
        <w:t>, sin enmiendas</w:t>
      </w:r>
      <w:r w:rsidRPr="00E405EE">
        <w:rPr>
          <w:rFonts w:ascii="Book Antiqua" w:hAnsi="Book Antiqua"/>
          <w:szCs w:val="24"/>
          <w:lang w:val="es-ES"/>
        </w:rPr>
        <w:t xml:space="preserve">. </w:t>
      </w:r>
    </w:p>
    <w:p w14:paraId="2D3414A2" w14:textId="77777777" w:rsidR="0076466B" w:rsidRDefault="0076466B" w:rsidP="006C19E0">
      <w:pPr>
        <w:jc w:val="both"/>
        <w:rPr>
          <w:rFonts w:ascii="Book Antiqua" w:hAnsi="Book Antiqua" w:cs="Arial"/>
          <w:sz w:val="16"/>
          <w:szCs w:val="16"/>
          <w:lang w:val="es-ES"/>
        </w:rPr>
      </w:pPr>
    </w:p>
    <w:p w14:paraId="02754A68" w14:textId="77777777" w:rsidR="001539D9" w:rsidRPr="007F4797" w:rsidRDefault="001539D9" w:rsidP="006C19E0">
      <w:pPr>
        <w:jc w:val="both"/>
        <w:rPr>
          <w:rFonts w:ascii="Book Antiqua" w:hAnsi="Book Antiqua" w:cs="Arial"/>
          <w:sz w:val="16"/>
          <w:szCs w:val="16"/>
          <w:lang w:val="es-ES"/>
        </w:rPr>
      </w:pPr>
    </w:p>
    <w:p w14:paraId="0636930C" w14:textId="77777777" w:rsidR="00AC0B45" w:rsidRPr="007749C8" w:rsidRDefault="00AC0B45" w:rsidP="006C19E0">
      <w:pPr>
        <w:jc w:val="both"/>
        <w:rPr>
          <w:rFonts w:ascii="Book Antiqua" w:hAnsi="Book Antiqua" w:cs="Arial"/>
          <w:szCs w:val="24"/>
          <w:lang w:val="es-ES"/>
        </w:rPr>
      </w:pPr>
      <w:r w:rsidRPr="007749C8">
        <w:rPr>
          <w:rFonts w:ascii="Book Antiqua" w:hAnsi="Book Antiqua" w:cs="Arial"/>
          <w:szCs w:val="24"/>
          <w:lang w:val="es-ES"/>
        </w:rPr>
        <w:t>Respetuosamente sometido,</w:t>
      </w:r>
    </w:p>
    <w:p w14:paraId="73C7FD62" w14:textId="77777777" w:rsidR="00AC0B45" w:rsidRDefault="00AC0B45" w:rsidP="006C19E0">
      <w:pPr>
        <w:rPr>
          <w:rFonts w:ascii="Book Antiqua" w:hAnsi="Book Antiqua"/>
          <w:szCs w:val="24"/>
          <w:lang w:val="es-ES"/>
        </w:rPr>
      </w:pPr>
    </w:p>
    <w:p w14:paraId="34229431" w14:textId="77777777" w:rsidR="007F4797" w:rsidRDefault="007F4797" w:rsidP="006C19E0">
      <w:pPr>
        <w:rPr>
          <w:rFonts w:ascii="Book Antiqua" w:hAnsi="Book Antiqua"/>
          <w:szCs w:val="24"/>
          <w:lang w:val="es-ES"/>
        </w:rPr>
      </w:pPr>
    </w:p>
    <w:p w14:paraId="538F0FDF" w14:textId="77777777" w:rsidR="007F4797" w:rsidRDefault="007F4797" w:rsidP="006C19E0">
      <w:pPr>
        <w:rPr>
          <w:rFonts w:ascii="Book Antiqua" w:hAnsi="Book Antiqua"/>
          <w:szCs w:val="24"/>
          <w:lang w:val="es-ES"/>
        </w:rPr>
      </w:pPr>
    </w:p>
    <w:p w14:paraId="5B4D9823" w14:textId="77777777" w:rsidR="007F4797" w:rsidRPr="007749C8" w:rsidRDefault="007F4797" w:rsidP="006C19E0">
      <w:pPr>
        <w:rPr>
          <w:rFonts w:ascii="Book Antiqua" w:hAnsi="Book Antiqua"/>
          <w:szCs w:val="24"/>
          <w:lang w:val="es-ES"/>
        </w:rPr>
      </w:pPr>
    </w:p>
    <w:p w14:paraId="5A509428" w14:textId="77777777" w:rsidR="00AC0B45" w:rsidRPr="007F4797" w:rsidRDefault="00AC0B45" w:rsidP="006C19E0">
      <w:pPr>
        <w:rPr>
          <w:rFonts w:ascii="Book Antiqua" w:hAnsi="Book Antiqua"/>
          <w:sz w:val="2"/>
          <w:szCs w:val="2"/>
          <w:lang w:val="es-ES"/>
        </w:rPr>
      </w:pPr>
    </w:p>
    <w:p w14:paraId="4A3B8568" w14:textId="77777777" w:rsidR="00573AAB" w:rsidRPr="007F4797" w:rsidRDefault="00573AAB" w:rsidP="006C19E0">
      <w:pPr>
        <w:rPr>
          <w:rFonts w:ascii="Book Antiqua" w:hAnsi="Book Antiqua"/>
          <w:sz w:val="2"/>
          <w:szCs w:val="2"/>
          <w:lang w:val="es-ES"/>
        </w:rPr>
      </w:pPr>
    </w:p>
    <w:p w14:paraId="3EC4B2F2" w14:textId="3B011EDA" w:rsidR="00304C16" w:rsidRPr="007749C8" w:rsidRDefault="00D66E20" w:rsidP="006C19E0">
      <w:pPr>
        <w:jc w:val="both"/>
        <w:rPr>
          <w:rFonts w:ascii="Book Antiqua" w:hAnsi="Book Antiqua"/>
          <w:b/>
          <w:i/>
          <w:szCs w:val="24"/>
          <w:lang w:val="es-ES_tradnl"/>
        </w:rPr>
      </w:pPr>
      <w:r>
        <w:rPr>
          <w:rFonts w:ascii="Book Antiqua" w:hAnsi="Book Antiqua"/>
          <w:b/>
          <w:i/>
          <w:szCs w:val="24"/>
          <w:lang w:val="es-ES_tradnl"/>
        </w:rPr>
        <w:t xml:space="preserve">Hon. </w:t>
      </w:r>
      <w:r w:rsidR="00C12C37" w:rsidRPr="007749C8">
        <w:rPr>
          <w:rFonts w:ascii="Book Antiqua" w:hAnsi="Book Antiqua"/>
          <w:b/>
          <w:i/>
          <w:szCs w:val="24"/>
          <w:lang w:val="es-ES_tradnl"/>
        </w:rPr>
        <w:t>Oma</w:t>
      </w:r>
      <w:r w:rsidR="001156F1">
        <w:rPr>
          <w:rFonts w:ascii="Book Antiqua" w:hAnsi="Book Antiqua"/>
          <w:b/>
          <w:i/>
          <w:szCs w:val="24"/>
          <w:lang w:val="es-ES_tradnl"/>
        </w:rPr>
        <w:t>y</w:t>
      </w:r>
      <w:r w:rsidR="00C12C37" w:rsidRPr="007749C8">
        <w:rPr>
          <w:rFonts w:ascii="Book Antiqua" w:hAnsi="Book Antiqua"/>
          <w:b/>
          <w:i/>
          <w:szCs w:val="24"/>
          <w:lang w:val="es-ES_tradnl"/>
        </w:rPr>
        <w:t>ra</w:t>
      </w:r>
      <w:r>
        <w:rPr>
          <w:rFonts w:ascii="Book Antiqua" w:hAnsi="Book Antiqua"/>
          <w:b/>
          <w:i/>
          <w:szCs w:val="24"/>
          <w:lang w:val="es-ES_tradnl"/>
        </w:rPr>
        <w:t xml:space="preserve"> M. </w:t>
      </w:r>
      <w:r w:rsidR="00C12C37" w:rsidRPr="007749C8">
        <w:rPr>
          <w:rFonts w:ascii="Book Antiqua" w:hAnsi="Book Antiqua"/>
          <w:b/>
          <w:i/>
          <w:szCs w:val="24"/>
          <w:lang w:val="es-ES_tradnl"/>
        </w:rPr>
        <w:t xml:space="preserve"> Martínez Vázquez</w:t>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p>
    <w:p w14:paraId="1293D745" w14:textId="79C2A3FC" w:rsidR="00AC0B45" w:rsidRPr="007749C8" w:rsidRDefault="00AC0B45" w:rsidP="006C19E0">
      <w:pPr>
        <w:jc w:val="both"/>
        <w:rPr>
          <w:rFonts w:ascii="Book Antiqua" w:hAnsi="Book Antiqua" w:cs="Arial"/>
          <w:szCs w:val="24"/>
          <w:lang w:val="es-ES"/>
        </w:rPr>
      </w:pPr>
      <w:r w:rsidRPr="007749C8">
        <w:rPr>
          <w:rFonts w:ascii="Book Antiqua" w:hAnsi="Book Antiqua" w:cs="Arial"/>
          <w:szCs w:val="24"/>
          <w:lang w:val="es-ES"/>
        </w:rPr>
        <w:t>President</w:t>
      </w:r>
      <w:r w:rsidR="001D27E9" w:rsidRPr="007749C8">
        <w:rPr>
          <w:rFonts w:ascii="Book Antiqua" w:hAnsi="Book Antiqua" w:cs="Arial"/>
          <w:szCs w:val="24"/>
          <w:lang w:val="es-ES"/>
        </w:rPr>
        <w:t>a</w:t>
      </w:r>
      <w:r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p>
    <w:p w14:paraId="3D9F1629" w14:textId="5DA5F6B0" w:rsidR="00AC0B45" w:rsidRPr="007749C8" w:rsidRDefault="00AC0B45" w:rsidP="006C19E0">
      <w:pPr>
        <w:jc w:val="both"/>
        <w:rPr>
          <w:rFonts w:ascii="Book Antiqua" w:hAnsi="Book Antiqua" w:cs="Arial"/>
          <w:lang w:val="es-ES"/>
        </w:rPr>
      </w:pPr>
      <w:r w:rsidRPr="007749C8">
        <w:rPr>
          <w:rFonts w:ascii="Book Antiqua" w:hAnsi="Book Antiqua" w:cs="Arial"/>
          <w:szCs w:val="24"/>
          <w:lang w:val="es-ES"/>
        </w:rPr>
        <w:t xml:space="preserve">Comisión </w:t>
      </w:r>
      <w:r w:rsidR="001D27E9" w:rsidRPr="007749C8">
        <w:rPr>
          <w:rFonts w:ascii="Book Antiqua" w:hAnsi="Book Antiqua" w:cs="Arial"/>
          <w:szCs w:val="24"/>
          <w:lang w:val="es-ES"/>
        </w:rPr>
        <w:t>de Vivienda y Desarrollo Urbano de la Cámara de Representantes</w:t>
      </w:r>
      <w:r w:rsidR="00FE1B47" w:rsidRPr="007749C8">
        <w:rPr>
          <w:rFonts w:ascii="Book Antiqua" w:hAnsi="Book Antiqua" w:cs="Arial"/>
          <w:lang w:val="es-ES"/>
        </w:rPr>
        <w:tab/>
      </w:r>
      <w:r w:rsidR="00FE1B47" w:rsidRPr="007749C8">
        <w:rPr>
          <w:rFonts w:ascii="Book Antiqua" w:hAnsi="Book Antiqua" w:cs="Arial"/>
          <w:lang w:val="es-ES"/>
        </w:rPr>
        <w:tab/>
      </w:r>
      <w:r w:rsidR="00FE1B47" w:rsidRPr="007749C8">
        <w:rPr>
          <w:rFonts w:ascii="Book Antiqua" w:hAnsi="Book Antiqua" w:cs="Arial"/>
          <w:lang w:val="es-ES"/>
        </w:rPr>
        <w:tab/>
      </w:r>
      <w:r w:rsidR="00FE1B47" w:rsidRPr="007749C8">
        <w:rPr>
          <w:rFonts w:ascii="Book Antiqua" w:hAnsi="Book Antiqua" w:cs="Arial"/>
          <w:lang w:val="es-ES"/>
        </w:rPr>
        <w:tab/>
        <w:t xml:space="preserve"> </w:t>
      </w:r>
    </w:p>
    <w:sectPr w:rsidR="00AC0B45" w:rsidRPr="007749C8" w:rsidSect="007F4797">
      <w:headerReference w:type="default" r:id="rId7"/>
      <w:footerReference w:type="default" r:id="rId8"/>
      <w:pgSz w:w="12240" w:h="15840"/>
      <w:pgMar w:top="1440" w:right="1440" w:bottom="1080" w:left="1440" w:header="720" w:footer="27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1934A2" w14:textId="77777777" w:rsidR="005B7ADF" w:rsidRDefault="005B7ADF" w:rsidP="006705DD">
      <w:r>
        <w:separator/>
      </w:r>
    </w:p>
  </w:endnote>
  <w:endnote w:type="continuationSeparator" w:id="0">
    <w:p w14:paraId="7E843505" w14:textId="77777777" w:rsidR="005B7ADF" w:rsidRDefault="005B7ADF"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G Times (W1)">
    <w:altName w:val="Times New Roman"/>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XANP N+ Serifa B T,">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B636" w14:textId="77777777" w:rsidR="009A24F9" w:rsidRDefault="009A24F9" w:rsidP="006705DD">
    <w:pPr>
      <w:pStyle w:val="Footer"/>
      <w:tabs>
        <w:tab w:val="left" w:pos="5508"/>
      </w:tabs>
      <w:jc w:val="center"/>
      <w:rPr>
        <w:rFonts w:ascii="Verdana" w:hAnsi="Verdana"/>
        <w:i/>
        <w:sz w:val="20"/>
        <w:lang w:val="es-ES"/>
      </w:rPr>
    </w:pPr>
  </w:p>
  <w:p w14:paraId="15B3E2F4" w14:textId="009BA6E5" w:rsidR="009A24F9" w:rsidRPr="005777F7" w:rsidRDefault="009A24F9" w:rsidP="006705DD">
    <w:pPr>
      <w:pStyle w:val="Footer"/>
      <w:tabs>
        <w:tab w:val="left" w:pos="5508"/>
      </w:tabs>
      <w:jc w:val="center"/>
      <w:rPr>
        <w:rFonts w:ascii="Book Antiqua" w:hAnsi="Book Antiqua"/>
        <w:i/>
        <w:sz w:val="22"/>
        <w:szCs w:val="22"/>
        <w:lang w:val="es-ES"/>
      </w:rPr>
    </w:pPr>
    <w:r>
      <w:rPr>
        <w:rFonts w:ascii="Book Antiqua" w:hAnsi="Book Antiqua"/>
        <w:i/>
        <w:noProof/>
        <w:sz w:val="22"/>
        <w:szCs w:val="22"/>
      </w:rPr>
      <mc:AlternateContent>
        <mc:Choice Requires="wps">
          <w:drawing>
            <wp:anchor distT="4294967295" distB="4294967295" distL="114300" distR="114300" simplePos="0" relativeHeight="251661312" behindDoc="0" locked="0" layoutInCell="1" allowOverlap="1" wp14:anchorId="23ACEF40" wp14:editId="3C63327C">
              <wp:simplePos x="0" y="0"/>
              <wp:positionH relativeFrom="column">
                <wp:posOffset>0</wp:posOffset>
              </wp:positionH>
              <wp:positionV relativeFrom="paragraph">
                <wp:posOffset>-31751</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ED78C2" id="Straight Connector 2" o:spid="_x0000_s1026" style="position:absolute;z-index:251661312;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" strokecolor="black [3213]"/>
          </w:pict>
        </mc:Fallback>
      </mc:AlternateContent>
    </w:r>
    <w:r w:rsidRPr="005777F7">
      <w:rPr>
        <w:rFonts w:ascii="Book Antiqua" w:hAnsi="Book Antiqua"/>
        <w:i/>
        <w:sz w:val="22"/>
        <w:szCs w:val="22"/>
        <w:lang w:val="es-ES"/>
      </w:rPr>
      <w:t xml:space="preserve">Comisión de </w:t>
    </w:r>
    <w:r w:rsidR="001D27E9" w:rsidRPr="001D27E9">
      <w:rPr>
        <w:rFonts w:ascii="Book Antiqua" w:hAnsi="Book Antiqua"/>
        <w:i/>
        <w:sz w:val="22"/>
        <w:szCs w:val="22"/>
        <w:lang w:val="es-ES"/>
      </w:rPr>
      <w:t>Vivienda y Desarrollo Urbano de la Cámara de Representantes</w:t>
    </w:r>
  </w:p>
  <w:p w14:paraId="311659FF" w14:textId="77777777" w:rsidR="009A24F9" w:rsidRPr="006705DD" w:rsidRDefault="009A24F9">
    <w:pPr>
      <w:pStyle w:val="Foo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CF78BF" w14:textId="77777777" w:rsidR="005B7ADF" w:rsidRDefault="005B7ADF" w:rsidP="006705DD">
      <w:r>
        <w:separator/>
      </w:r>
    </w:p>
  </w:footnote>
  <w:footnote w:type="continuationSeparator" w:id="0">
    <w:p w14:paraId="059A06C4" w14:textId="77777777" w:rsidR="005B7ADF" w:rsidRDefault="005B7ADF"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BAB4B" w14:textId="62FF798B" w:rsidR="009A24F9" w:rsidRPr="009A24F9" w:rsidRDefault="009A24F9" w:rsidP="006705DD">
    <w:pPr>
      <w:pStyle w:val="Header"/>
      <w:rPr>
        <w:rStyle w:val="PageNumber"/>
        <w:lang w:val="es-PR"/>
      </w:rPr>
    </w:pPr>
    <w:r w:rsidRPr="005777F7">
      <w:rPr>
        <w:rStyle w:val="PageNumber"/>
        <w:rFonts w:ascii="Book Antiqua" w:hAnsi="Book Antiqua"/>
        <w:i/>
        <w:sz w:val="22"/>
        <w:szCs w:val="22"/>
        <w:lang w:val="es-PR"/>
      </w:rPr>
      <w:tab/>
    </w:r>
    <w:r w:rsidRPr="005777F7">
      <w:rPr>
        <w:rStyle w:val="PageNumber"/>
        <w:rFonts w:ascii="Book Antiqua" w:hAnsi="Book Antiqua"/>
        <w:i/>
        <w:sz w:val="22"/>
        <w:szCs w:val="22"/>
        <w:lang w:val="es-PR"/>
      </w:rPr>
      <w:tab/>
    </w:r>
  </w:p>
  <w:p w14:paraId="5CDEC73C" w14:textId="4F0F0DFA" w:rsidR="005E345A" w:rsidRPr="009A24F9" w:rsidRDefault="005E345A" w:rsidP="005E345A">
    <w:pPr>
      <w:pStyle w:val="Header"/>
      <w:rPr>
        <w:rStyle w:val="PageNumber"/>
        <w:lang w:val="es-PR"/>
      </w:rPr>
    </w:pPr>
    <w:r>
      <w:rPr>
        <w:rFonts w:ascii="Book Antiqua" w:hAnsi="Book Antiqua"/>
        <w:i/>
        <w:noProof/>
        <w:sz w:val="22"/>
        <w:szCs w:val="22"/>
      </w:rPr>
      <mc:AlternateContent>
        <mc:Choice Requires="wps">
          <w:drawing>
            <wp:anchor distT="4294967295" distB="4294967295" distL="114300" distR="114300" simplePos="0" relativeHeight="251656704" behindDoc="0" locked="0" layoutInCell="1" allowOverlap="1" wp14:anchorId="0A79470A" wp14:editId="61E5FFD7">
              <wp:simplePos x="0" y="0"/>
              <wp:positionH relativeFrom="margin">
                <wp:align>center</wp:align>
              </wp:positionH>
              <wp:positionV relativeFrom="paragraph">
                <wp:posOffset>265430</wp:posOffset>
              </wp:positionV>
              <wp:extent cx="6057900" cy="0"/>
              <wp:effectExtent l="0" t="0" r="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05890A" id="Straight Connector 1" o:spid="_x0000_s1026" style="position:absolute;z-index:251656704;visibility:visible;mso-wrap-style:square;mso-width-percent:0;mso-height-percent:0;mso-wrap-distance-left:9pt;mso-wrap-distance-top:.mm;mso-wrap-distance-right:9pt;mso-wrap-distance-bottom:.mm;mso-position-horizontal:center;mso-position-horizontal-relative:margin;mso-position-vertical:absolute;mso-position-vertical-relative:text;mso-width-percent:0;mso-height-percent:0;mso-width-relative:page;mso-height-relative:page" from="0,20.9pt" to="477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Hw/sAEAAEgDAAAOAAAAZHJzL2Uyb0RvYy54bWysU8Fu2zAMvQ/YPwi6L3YCpFuNOD2k7S7d&#10;FqDdBzCSbAuVRYFU4uTvJ6lJVmy3YT4Ikkg+vfdIr+6OoxMHQ2zRt3I+q6UwXqG2vm/lz5fHT1+k&#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">
              <w10:wrap anchorx="margin"/>
            </v:line>
          </w:pict>
        </mc:Fallback>
      </mc:AlternateContent>
    </w:r>
    <w:r w:rsidRPr="005777F7">
      <w:rPr>
        <w:rStyle w:val="PageNumber"/>
        <w:rFonts w:ascii="Book Antiqua" w:hAnsi="Book Antiqua"/>
        <w:i/>
        <w:sz w:val="22"/>
        <w:szCs w:val="22"/>
        <w:lang w:val="es-PR"/>
      </w:rPr>
      <w:t>Informe</w:t>
    </w:r>
    <w:r w:rsidR="00A56BC5">
      <w:rPr>
        <w:rStyle w:val="PageNumber"/>
        <w:rFonts w:ascii="Book Antiqua" w:hAnsi="Book Antiqua"/>
        <w:i/>
        <w:sz w:val="22"/>
        <w:szCs w:val="22"/>
        <w:lang w:val="es-PR"/>
      </w:rPr>
      <w:t xml:space="preserve"> Positivo</w:t>
    </w:r>
    <w:r w:rsidR="00DD1FCB">
      <w:rPr>
        <w:rStyle w:val="PageNumber"/>
        <w:rFonts w:ascii="Book Antiqua" w:hAnsi="Book Antiqua"/>
        <w:i/>
        <w:sz w:val="22"/>
        <w:szCs w:val="22"/>
        <w:lang w:val="es-PR"/>
      </w:rPr>
      <w:t xml:space="preserve"> </w:t>
    </w:r>
    <w:r w:rsidR="00D3053D">
      <w:rPr>
        <w:rStyle w:val="PageNumber"/>
        <w:rFonts w:ascii="Book Antiqua" w:hAnsi="Book Antiqua"/>
        <w:i/>
        <w:sz w:val="22"/>
        <w:szCs w:val="22"/>
        <w:lang w:val="es-PR"/>
      </w:rPr>
      <w:t xml:space="preserve">R. C. </w:t>
    </w:r>
    <w:r w:rsidR="00887B5A">
      <w:rPr>
        <w:rStyle w:val="PageNumber"/>
        <w:rFonts w:ascii="Book Antiqua" w:hAnsi="Book Antiqua"/>
        <w:i/>
        <w:sz w:val="22"/>
        <w:szCs w:val="22"/>
        <w:lang w:val="es-PR"/>
      </w:rPr>
      <w:t xml:space="preserve"> del S.</w:t>
    </w:r>
    <w:r w:rsidR="001C7CDF">
      <w:rPr>
        <w:rStyle w:val="PageNumber"/>
        <w:rFonts w:ascii="Book Antiqua" w:hAnsi="Book Antiqua"/>
        <w:i/>
        <w:sz w:val="22"/>
        <w:szCs w:val="22"/>
        <w:lang w:val="es-PR"/>
      </w:rPr>
      <w:t>43</w:t>
    </w:r>
    <w:r>
      <w:rPr>
        <w:rStyle w:val="PageNumber"/>
        <w:rFonts w:ascii="Book Antiqua" w:hAnsi="Book Antiqua"/>
        <w:i/>
        <w:sz w:val="22"/>
        <w:szCs w:val="22"/>
        <w:lang w:val="es-PR"/>
      </w:rPr>
      <w:tab/>
    </w:r>
    <w:r>
      <w:rPr>
        <w:rStyle w:val="PageNumber"/>
        <w:rFonts w:ascii="Book Antiqua" w:hAnsi="Book Antiqua"/>
        <w:i/>
        <w:sz w:val="22"/>
        <w:szCs w:val="22"/>
        <w:lang w:val="es-PR"/>
      </w:rPr>
      <w:tab/>
    </w:r>
    <w:r w:rsidRPr="005777F7">
      <w:rPr>
        <w:rStyle w:val="PageNumber"/>
        <w:rFonts w:ascii="Book Antiqua" w:hAnsi="Book Antiqua"/>
        <w:i/>
        <w:sz w:val="22"/>
        <w:szCs w:val="22"/>
        <w:lang w:val="es-PR"/>
      </w:rPr>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Pr="005E345A">
      <w:rPr>
        <w:rStyle w:val="PageNumber"/>
        <w:rFonts w:ascii="Book Antiqua" w:hAnsi="Book Antiqua"/>
        <w:i/>
        <w:sz w:val="22"/>
        <w:szCs w:val="22"/>
        <w:lang w:val="es-ES"/>
      </w:rPr>
      <w:t>3</w:t>
    </w:r>
    <w:r w:rsidRPr="005777F7">
      <w:rPr>
        <w:rStyle w:val="PageNumber"/>
        <w:rFonts w:ascii="Book Antiqua" w:hAnsi="Book Antiqua"/>
        <w:i/>
        <w:sz w:val="22"/>
        <w:szCs w:val="22"/>
      </w:rPr>
      <w:fldChar w:fldCharType="end"/>
    </w:r>
  </w:p>
  <w:p w14:paraId="44E0AE6E" w14:textId="698E2E2C" w:rsidR="009A24F9" w:rsidRPr="009A24F9" w:rsidRDefault="009A24F9">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B7677"/>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9D7498"/>
    <w:multiLevelType w:val="hybridMultilevel"/>
    <w:tmpl w:val="610A4594"/>
    <w:lvl w:ilvl="0" w:tplc="20000001">
      <w:start w:val="1"/>
      <w:numFmt w:val="bullet"/>
      <w:lvlText w:val=""/>
      <w:lvlJc w:val="left"/>
      <w:pPr>
        <w:ind w:left="783" w:hanging="360"/>
      </w:pPr>
      <w:rPr>
        <w:rFonts w:ascii="Symbol" w:hAnsi="Symbol" w:hint="default"/>
      </w:rPr>
    </w:lvl>
    <w:lvl w:ilvl="1" w:tplc="20000003" w:tentative="1">
      <w:start w:val="1"/>
      <w:numFmt w:val="bullet"/>
      <w:lvlText w:val="o"/>
      <w:lvlJc w:val="left"/>
      <w:pPr>
        <w:ind w:left="1503" w:hanging="360"/>
      </w:pPr>
      <w:rPr>
        <w:rFonts w:ascii="Courier New" w:hAnsi="Courier New" w:cs="Courier New" w:hint="default"/>
      </w:rPr>
    </w:lvl>
    <w:lvl w:ilvl="2" w:tplc="20000005" w:tentative="1">
      <w:start w:val="1"/>
      <w:numFmt w:val="bullet"/>
      <w:lvlText w:val=""/>
      <w:lvlJc w:val="left"/>
      <w:pPr>
        <w:ind w:left="2223" w:hanging="360"/>
      </w:pPr>
      <w:rPr>
        <w:rFonts w:ascii="Wingdings" w:hAnsi="Wingdings" w:hint="default"/>
      </w:rPr>
    </w:lvl>
    <w:lvl w:ilvl="3" w:tplc="20000001" w:tentative="1">
      <w:start w:val="1"/>
      <w:numFmt w:val="bullet"/>
      <w:lvlText w:val=""/>
      <w:lvlJc w:val="left"/>
      <w:pPr>
        <w:ind w:left="2943" w:hanging="360"/>
      </w:pPr>
      <w:rPr>
        <w:rFonts w:ascii="Symbol" w:hAnsi="Symbol" w:hint="default"/>
      </w:rPr>
    </w:lvl>
    <w:lvl w:ilvl="4" w:tplc="20000003" w:tentative="1">
      <w:start w:val="1"/>
      <w:numFmt w:val="bullet"/>
      <w:lvlText w:val="o"/>
      <w:lvlJc w:val="left"/>
      <w:pPr>
        <w:ind w:left="3663" w:hanging="360"/>
      </w:pPr>
      <w:rPr>
        <w:rFonts w:ascii="Courier New" w:hAnsi="Courier New" w:cs="Courier New" w:hint="default"/>
      </w:rPr>
    </w:lvl>
    <w:lvl w:ilvl="5" w:tplc="20000005" w:tentative="1">
      <w:start w:val="1"/>
      <w:numFmt w:val="bullet"/>
      <w:lvlText w:val=""/>
      <w:lvlJc w:val="left"/>
      <w:pPr>
        <w:ind w:left="4383" w:hanging="360"/>
      </w:pPr>
      <w:rPr>
        <w:rFonts w:ascii="Wingdings" w:hAnsi="Wingdings" w:hint="default"/>
      </w:rPr>
    </w:lvl>
    <w:lvl w:ilvl="6" w:tplc="20000001" w:tentative="1">
      <w:start w:val="1"/>
      <w:numFmt w:val="bullet"/>
      <w:lvlText w:val=""/>
      <w:lvlJc w:val="left"/>
      <w:pPr>
        <w:ind w:left="5103" w:hanging="360"/>
      </w:pPr>
      <w:rPr>
        <w:rFonts w:ascii="Symbol" w:hAnsi="Symbol" w:hint="default"/>
      </w:rPr>
    </w:lvl>
    <w:lvl w:ilvl="7" w:tplc="20000003" w:tentative="1">
      <w:start w:val="1"/>
      <w:numFmt w:val="bullet"/>
      <w:lvlText w:val="o"/>
      <w:lvlJc w:val="left"/>
      <w:pPr>
        <w:ind w:left="5823" w:hanging="360"/>
      </w:pPr>
      <w:rPr>
        <w:rFonts w:ascii="Courier New" w:hAnsi="Courier New" w:cs="Courier New" w:hint="default"/>
      </w:rPr>
    </w:lvl>
    <w:lvl w:ilvl="8" w:tplc="20000005" w:tentative="1">
      <w:start w:val="1"/>
      <w:numFmt w:val="bullet"/>
      <w:lvlText w:val=""/>
      <w:lvlJc w:val="left"/>
      <w:pPr>
        <w:ind w:left="6543" w:hanging="360"/>
      </w:pPr>
      <w:rPr>
        <w:rFonts w:ascii="Wingdings" w:hAnsi="Wingdings" w:hint="default"/>
      </w:rPr>
    </w:lvl>
  </w:abstractNum>
  <w:abstractNum w:abstractNumId="2" w15:restartNumberingAfterBreak="0">
    <w:nsid w:val="18F531B0"/>
    <w:multiLevelType w:val="multilevel"/>
    <w:tmpl w:val="DF5E92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4C1E95"/>
    <w:multiLevelType w:val="hybridMultilevel"/>
    <w:tmpl w:val="22B01520"/>
    <w:lvl w:ilvl="0" w:tplc="64EE6FB0">
      <w:numFmt w:val="bullet"/>
      <w:lvlText w:val="-"/>
      <w:lvlJc w:val="left"/>
      <w:pPr>
        <w:ind w:left="720" w:hanging="360"/>
      </w:pPr>
      <w:rPr>
        <w:rFonts w:ascii="Book Antiqua" w:eastAsia="Batang"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2DD75DDB"/>
    <w:multiLevelType w:val="hybridMultilevel"/>
    <w:tmpl w:val="27E01B38"/>
    <w:lvl w:ilvl="0" w:tplc="3B64B730">
      <w:start w:val="1"/>
      <w:numFmt w:val="decimal"/>
      <w:lvlText w:val="%1."/>
      <w:lvlJc w:val="left"/>
      <w:pPr>
        <w:ind w:left="792" w:hanging="360"/>
      </w:pPr>
      <w:rPr>
        <w:rFonts w:ascii="Book Antiqua" w:hAnsi="Book Antiqua"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5" w15:restartNumberingAfterBreak="0">
    <w:nsid w:val="36AE6D4A"/>
    <w:multiLevelType w:val="multilevel"/>
    <w:tmpl w:val="DB389D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9C90BBF"/>
    <w:multiLevelType w:val="multilevel"/>
    <w:tmpl w:val="7C507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28C3DB4"/>
    <w:multiLevelType w:val="multilevel"/>
    <w:tmpl w:val="AA5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AE1BB8"/>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AF6D05"/>
    <w:multiLevelType w:val="hybridMultilevel"/>
    <w:tmpl w:val="6108E12E"/>
    <w:lvl w:ilvl="0" w:tplc="EE70E0F2">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0" w15:restartNumberingAfterBreak="0">
    <w:nsid w:val="51805A61"/>
    <w:multiLevelType w:val="hybridMultilevel"/>
    <w:tmpl w:val="7134391C"/>
    <w:lvl w:ilvl="0" w:tplc="760C217E">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47F6229"/>
    <w:multiLevelType w:val="hybridMultilevel"/>
    <w:tmpl w:val="3216C80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58D5223D"/>
    <w:multiLevelType w:val="multilevel"/>
    <w:tmpl w:val="900A7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EB81360"/>
    <w:multiLevelType w:val="hybridMultilevel"/>
    <w:tmpl w:val="FF982BFA"/>
    <w:lvl w:ilvl="0" w:tplc="4FA601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3BD0DEB"/>
    <w:multiLevelType w:val="hybridMultilevel"/>
    <w:tmpl w:val="AE988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86A6D4F"/>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8AB2DA6"/>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16342DF"/>
    <w:multiLevelType w:val="hybridMultilevel"/>
    <w:tmpl w:val="2C24E42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9" w15:restartNumberingAfterBreak="0">
    <w:nsid w:val="72173076"/>
    <w:multiLevelType w:val="multilevel"/>
    <w:tmpl w:val="A9A81F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96E37A7"/>
    <w:multiLevelType w:val="hybridMultilevel"/>
    <w:tmpl w:val="69463F8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7A7B168D"/>
    <w:multiLevelType w:val="multilevel"/>
    <w:tmpl w:val="93105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D0B6D6E"/>
    <w:multiLevelType w:val="multilevel"/>
    <w:tmpl w:val="C72C8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1621562">
    <w:abstractNumId w:val="0"/>
  </w:num>
  <w:num w:numId="2" w16cid:durableId="12457928">
    <w:abstractNumId w:val="14"/>
  </w:num>
  <w:num w:numId="3" w16cid:durableId="150217024">
    <w:abstractNumId w:val="15"/>
  </w:num>
  <w:num w:numId="4" w16cid:durableId="1144077218">
    <w:abstractNumId w:val="8"/>
  </w:num>
  <w:num w:numId="5" w16cid:durableId="1391071492">
    <w:abstractNumId w:val="17"/>
  </w:num>
  <w:num w:numId="6" w16cid:durableId="1887521205">
    <w:abstractNumId w:val="16"/>
  </w:num>
  <w:num w:numId="7" w16cid:durableId="172000890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7391682">
    <w:abstractNumId w:val="13"/>
  </w:num>
  <w:num w:numId="9" w16cid:durableId="978419079">
    <w:abstractNumId w:val="7"/>
  </w:num>
  <w:num w:numId="10" w16cid:durableId="1920630375">
    <w:abstractNumId w:val="6"/>
  </w:num>
  <w:num w:numId="11" w16cid:durableId="1876967153">
    <w:abstractNumId w:val="2"/>
  </w:num>
  <w:num w:numId="12" w16cid:durableId="1030955634">
    <w:abstractNumId w:val="19"/>
  </w:num>
  <w:num w:numId="13" w16cid:durableId="1443761483">
    <w:abstractNumId w:val="11"/>
  </w:num>
  <w:num w:numId="14" w16cid:durableId="317928374">
    <w:abstractNumId w:val="21"/>
  </w:num>
  <w:num w:numId="15" w16cid:durableId="1784879955">
    <w:abstractNumId w:val="22"/>
  </w:num>
  <w:num w:numId="16" w16cid:durableId="1263222138">
    <w:abstractNumId w:val="3"/>
  </w:num>
  <w:num w:numId="17" w16cid:durableId="663701081">
    <w:abstractNumId w:val="1"/>
  </w:num>
  <w:num w:numId="18" w16cid:durableId="2086878990">
    <w:abstractNumId w:val="12"/>
  </w:num>
  <w:num w:numId="19" w16cid:durableId="953445716">
    <w:abstractNumId w:val="18"/>
  </w:num>
  <w:num w:numId="20" w16cid:durableId="1211067804">
    <w:abstractNumId w:val="5"/>
  </w:num>
  <w:num w:numId="21" w16cid:durableId="1827357940">
    <w:abstractNumId w:val="9"/>
  </w:num>
  <w:num w:numId="22" w16cid:durableId="76682557">
    <w:abstractNumId w:val="20"/>
  </w:num>
  <w:num w:numId="23" w16cid:durableId="11360720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4082"/>
    <w:rsid w:val="00010377"/>
    <w:rsid w:val="0001647C"/>
    <w:rsid w:val="00027280"/>
    <w:rsid w:val="00030373"/>
    <w:rsid w:val="00040D4F"/>
    <w:rsid w:val="0004232E"/>
    <w:rsid w:val="00044487"/>
    <w:rsid w:val="0004456A"/>
    <w:rsid w:val="000507DD"/>
    <w:rsid w:val="000549AC"/>
    <w:rsid w:val="000569F4"/>
    <w:rsid w:val="00057583"/>
    <w:rsid w:val="00061538"/>
    <w:rsid w:val="00062C12"/>
    <w:rsid w:val="00065BE7"/>
    <w:rsid w:val="0006657A"/>
    <w:rsid w:val="00071672"/>
    <w:rsid w:val="00082518"/>
    <w:rsid w:val="00084478"/>
    <w:rsid w:val="00084B35"/>
    <w:rsid w:val="00093070"/>
    <w:rsid w:val="00093599"/>
    <w:rsid w:val="000A0DD0"/>
    <w:rsid w:val="000A36B0"/>
    <w:rsid w:val="000A3926"/>
    <w:rsid w:val="000A55EE"/>
    <w:rsid w:val="000C1B4B"/>
    <w:rsid w:val="000C66D1"/>
    <w:rsid w:val="000D471A"/>
    <w:rsid w:val="000D4ACC"/>
    <w:rsid w:val="000E2315"/>
    <w:rsid w:val="000E328C"/>
    <w:rsid w:val="000E4B80"/>
    <w:rsid w:val="000E5DC1"/>
    <w:rsid w:val="000E66EE"/>
    <w:rsid w:val="000F0112"/>
    <w:rsid w:val="000F4366"/>
    <w:rsid w:val="000F52E9"/>
    <w:rsid w:val="00103081"/>
    <w:rsid w:val="001042AC"/>
    <w:rsid w:val="00104793"/>
    <w:rsid w:val="00105132"/>
    <w:rsid w:val="00105310"/>
    <w:rsid w:val="00105E0D"/>
    <w:rsid w:val="00114A85"/>
    <w:rsid w:val="001156F1"/>
    <w:rsid w:val="00115CCE"/>
    <w:rsid w:val="00126B90"/>
    <w:rsid w:val="001319DA"/>
    <w:rsid w:val="00144AFF"/>
    <w:rsid w:val="0014633D"/>
    <w:rsid w:val="00147634"/>
    <w:rsid w:val="00152E5E"/>
    <w:rsid w:val="001539D9"/>
    <w:rsid w:val="0015537F"/>
    <w:rsid w:val="00157737"/>
    <w:rsid w:val="001632EC"/>
    <w:rsid w:val="00163B5C"/>
    <w:rsid w:val="00165840"/>
    <w:rsid w:val="00167228"/>
    <w:rsid w:val="00170953"/>
    <w:rsid w:val="00171EEE"/>
    <w:rsid w:val="00172896"/>
    <w:rsid w:val="0017614C"/>
    <w:rsid w:val="001B2971"/>
    <w:rsid w:val="001C6904"/>
    <w:rsid w:val="001C7CDF"/>
    <w:rsid w:val="001D0ABB"/>
    <w:rsid w:val="001D27E9"/>
    <w:rsid w:val="001D352F"/>
    <w:rsid w:val="001E299C"/>
    <w:rsid w:val="001E2BBC"/>
    <w:rsid w:val="001E571B"/>
    <w:rsid w:val="001E58FE"/>
    <w:rsid w:val="001F0094"/>
    <w:rsid w:val="001F2A92"/>
    <w:rsid w:val="002028EC"/>
    <w:rsid w:val="00204D65"/>
    <w:rsid w:val="00214189"/>
    <w:rsid w:val="002169FB"/>
    <w:rsid w:val="00216A33"/>
    <w:rsid w:val="00216D65"/>
    <w:rsid w:val="0023264E"/>
    <w:rsid w:val="002335EA"/>
    <w:rsid w:val="00235393"/>
    <w:rsid w:val="002360B5"/>
    <w:rsid w:val="002370D3"/>
    <w:rsid w:val="00237F14"/>
    <w:rsid w:val="00244182"/>
    <w:rsid w:val="00244C04"/>
    <w:rsid w:val="00245609"/>
    <w:rsid w:val="00253858"/>
    <w:rsid w:val="00257E33"/>
    <w:rsid w:val="00261114"/>
    <w:rsid w:val="002739C0"/>
    <w:rsid w:val="00276BDD"/>
    <w:rsid w:val="002808F0"/>
    <w:rsid w:val="00281A3B"/>
    <w:rsid w:val="00282A14"/>
    <w:rsid w:val="00290C4B"/>
    <w:rsid w:val="00296D3F"/>
    <w:rsid w:val="002971A4"/>
    <w:rsid w:val="002A17A6"/>
    <w:rsid w:val="002A6314"/>
    <w:rsid w:val="002A6663"/>
    <w:rsid w:val="002A7192"/>
    <w:rsid w:val="002B3B61"/>
    <w:rsid w:val="002B646E"/>
    <w:rsid w:val="002B670A"/>
    <w:rsid w:val="002C5515"/>
    <w:rsid w:val="002D4B38"/>
    <w:rsid w:val="002F2243"/>
    <w:rsid w:val="002F2860"/>
    <w:rsid w:val="002F58EB"/>
    <w:rsid w:val="002F60E4"/>
    <w:rsid w:val="00301861"/>
    <w:rsid w:val="00304C16"/>
    <w:rsid w:val="00310CDF"/>
    <w:rsid w:val="00327EDE"/>
    <w:rsid w:val="00330D59"/>
    <w:rsid w:val="00345202"/>
    <w:rsid w:val="00352C61"/>
    <w:rsid w:val="00353EC5"/>
    <w:rsid w:val="00361144"/>
    <w:rsid w:val="003618E3"/>
    <w:rsid w:val="00364DCF"/>
    <w:rsid w:val="00365790"/>
    <w:rsid w:val="003700E9"/>
    <w:rsid w:val="00371C36"/>
    <w:rsid w:val="00381FCA"/>
    <w:rsid w:val="00396BC5"/>
    <w:rsid w:val="00397AC7"/>
    <w:rsid w:val="003A32F1"/>
    <w:rsid w:val="003A69EF"/>
    <w:rsid w:val="003B1D9A"/>
    <w:rsid w:val="003B644B"/>
    <w:rsid w:val="003C3A80"/>
    <w:rsid w:val="003C66FA"/>
    <w:rsid w:val="003D07D2"/>
    <w:rsid w:val="003E749F"/>
    <w:rsid w:val="003F0372"/>
    <w:rsid w:val="003F2DE1"/>
    <w:rsid w:val="003F7352"/>
    <w:rsid w:val="003F7F49"/>
    <w:rsid w:val="004000AE"/>
    <w:rsid w:val="0041753F"/>
    <w:rsid w:val="004204F7"/>
    <w:rsid w:val="004229E9"/>
    <w:rsid w:val="0042474F"/>
    <w:rsid w:val="004264B1"/>
    <w:rsid w:val="0042655A"/>
    <w:rsid w:val="00427040"/>
    <w:rsid w:val="00437BDC"/>
    <w:rsid w:val="004409AA"/>
    <w:rsid w:val="00440C62"/>
    <w:rsid w:val="00441AE7"/>
    <w:rsid w:val="00441DE5"/>
    <w:rsid w:val="004474E0"/>
    <w:rsid w:val="00450550"/>
    <w:rsid w:val="004538A3"/>
    <w:rsid w:val="00462A7A"/>
    <w:rsid w:val="004641B9"/>
    <w:rsid w:val="00465358"/>
    <w:rsid w:val="004663D5"/>
    <w:rsid w:val="004719B8"/>
    <w:rsid w:val="004733FF"/>
    <w:rsid w:val="004833A3"/>
    <w:rsid w:val="00493872"/>
    <w:rsid w:val="004A1E96"/>
    <w:rsid w:val="004C0E27"/>
    <w:rsid w:val="004C300F"/>
    <w:rsid w:val="004D66E8"/>
    <w:rsid w:val="004E1C6B"/>
    <w:rsid w:val="004E6881"/>
    <w:rsid w:val="0050015A"/>
    <w:rsid w:val="0050357A"/>
    <w:rsid w:val="0052307A"/>
    <w:rsid w:val="005300B1"/>
    <w:rsid w:val="005308F9"/>
    <w:rsid w:val="00531976"/>
    <w:rsid w:val="00540C4E"/>
    <w:rsid w:val="00553376"/>
    <w:rsid w:val="005568C4"/>
    <w:rsid w:val="00561FC0"/>
    <w:rsid w:val="005665D9"/>
    <w:rsid w:val="005670CC"/>
    <w:rsid w:val="0057109A"/>
    <w:rsid w:val="0057135C"/>
    <w:rsid w:val="00573AAB"/>
    <w:rsid w:val="00575591"/>
    <w:rsid w:val="00584F82"/>
    <w:rsid w:val="005852B6"/>
    <w:rsid w:val="005865D6"/>
    <w:rsid w:val="00592912"/>
    <w:rsid w:val="00597725"/>
    <w:rsid w:val="005B5660"/>
    <w:rsid w:val="005B7ADF"/>
    <w:rsid w:val="005D4247"/>
    <w:rsid w:val="005E3160"/>
    <w:rsid w:val="005E32A2"/>
    <w:rsid w:val="005E345A"/>
    <w:rsid w:val="005F2117"/>
    <w:rsid w:val="005F57EA"/>
    <w:rsid w:val="005F7FE4"/>
    <w:rsid w:val="00605B06"/>
    <w:rsid w:val="00610D55"/>
    <w:rsid w:val="00617C77"/>
    <w:rsid w:val="00624B6C"/>
    <w:rsid w:val="00625848"/>
    <w:rsid w:val="006260D3"/>
    <w:rsid w:val="00627101"/>
    <w:rsid w:val="00646BD1"/>
    <w:rsid w:val="00651F6C"/>
    <w:rsid w:val="00663552"/>
    <w:rsid w:val="006700B0"/>
    <w:rsid w:val="006705DD"/>
    <w:rsid w:val="00670688"/>
    <w:rsid w:val="00677ADE"/>
    <w:rsid w:val="0069086B"/>
    <w:rsid w:val="006922AD"/>
    <w:rsid w:val="006A2B0F"/>
    <w:rsid w:val="006A2E89"/>
    <w:rsid w:val="006A384C"/>
    <w:rsid w:val="006A627D"/>
    <w:rsid w:val="006B0E23"/>
    <w:rsid w:val="006B78C8"/>
    <w:rsid w:val="006C01E8"/>
    <w:rsid w:val="006C19E0"/>
    <w:rsid w:val="006C6F08"/>
    <w:rsid w:val="006D2DAD"/>
    <w:rsid w:val="006E01C3"/>
    <w:rsid w:val="006F31C3"/>
    <w:rsid w:val="006F45AD"/>
    <w:rsid w:val="006F7782"/>
    <w:rsid w:val="0070231A"/>
    <w:rsid w:val="00706B87"/>
    <w:rsid w:val="0071164C"/>
    <w:rsid w:val="00716D4F"/>
    <w:rsid w:val="00721D3E"/>
    <w:rsid w:val="00726C66"/>
    <w:rsid w:val="0073795E"/>
    <w:rsid w:val="007421B4"/>
    <w:rsid w:val="00744889"/>
    <w:rsid w:val="00746BC3"/>
    <w:rsid w:val="00750016"/>
    <w:rsid w:val="007526B6"/>
    <w:rsid w:val="00757B0E"/>
    <w:rsid w:val="00762BF0"/>
    <w:rsid w:val="0076466B"/>
    <w:rsid w:val="0076672E"/>
    <w:rsid w:val="007703E1"/>
    <w:rsid w:val="007749C8"/>
    <w:rsid w:val="007767FD"/>
    <w:rsid w:val="00777CB0"/>
    <w:rsid w:val="00787CC3"/>
    <w:rsid w:val="007922F5"/>
    <w:rsid w:val="00796D86"/>
    <w:rsid w:val="007A3330"/>
    <w:rsid w:val="007A4D9A"/>
    <w:rsid w:val="007A52BD"/>
    <w:rsid w:val="007B1F4C"/>
    <w:rsid w:val="007B737C"/>
    <w:rsid w:val="007C1FB4"/>
    <w:rsid w:val="007C5402"/>
    <w:rsid w:val="007D483B"/>
    <w:rsid w:val="007D502B"/>
    <w:rsid w:val="007E56F0"/>
    <w:rsid w:val="007F4797"/>
    <w:rsid w:val="00801D43"/>
    <w:rsid w:val="0080494A"/>
    <w:rsid w:val="008146F5"/>
    <w:rsid w:val="0082461D"/>
    <w:rsid w:val="0083160D"/>
    <w:rsid w:val="00835666"/>
    <w:rsid w:val="0084517F"/>
    <w:rsid w:val="00855DDC"/>
    <w:rsid w:val="00856C3D"/>
    <w:rsid w:val="00866623"/>
    <w:rsid w:val="00873014"/>
    <w:rsid w:val="0087700A"/>
    <w:rsid w:val="008839C3"/>
    <w:rsid w:val="00887B5A"/>
    <w:rsid w:val="008945B2"/>
    <w:rsid w:val="008B5837"/>
    <w:rsid w:val="008C0089"/>
    <w:rsid w:val="008C4E1E"/>
    <w:rsid w:val="008C4E31"/>
    <w:rsid w:val="008D355B"/>
    <w:rsid w:val="008D3AED"/>
    <w:rsid w:val="008D3EE6"/>
    <w:rsid w:val="008E3733"/>
    <w:rsid w:val="008E384F"/>
    <w:rsid w:val="008E3FE1"/>
    <w:rsid w:val="008E55BC"/>
    <w:rsid w:val="008E59B3"/>
    <w:rsid w:val="008E5C47"/>
    <w:rsid w:val="008E5EFA"/>
    <w:rsid w:val="008F3240"/>
    <w:rsid w:val="00905F9D"/>
    <w:rsid w:val="00916851"/>
    <w:rsid w:val="0091696B"/>
    <w:rsid w:val="00931E0E"/>
    <w:rsid w:val="0093513A"/>
    <w:rsid w:val="00944B6E"/>
    <w:rsid w:val="00947E95"/>
    <w:rsid w:val="00950543"/>
    <w:rsid w:val="00952084"/>
    <w:rsid w:val="00972B1F"/>
    <w:rsid w:val="009766C1"/>
    <w:rsid w:val="0098155A"/>
    <w:rsid w:val="00981CB1"/>
    <w:rsid w:val="00982856"/>
    <w:rsid w:val="00984B7C"/>
    <w:rsid w:val="00986544"/>
    <w:rsid w:val="009866B1"/>
    <w:rsid w:val="00986838"/>
    <w:rsid w:val="0099092B"/>
    <w:rsid w:val="00991137"/>
    <w:rsid w:val="009912EA"/>
    <w:rsid w:val="00991927"/>
    <w:rsid w:val="00995340"/>
    <w:rsid w:val="00995C19"/>
    <w:rsid w:val="009A0D8D"/>
    <w:rsid w:val="009A24F9"/>
    <w:rsid w:val="009B6AF1"/>
    <w:rsid w:val="009C4DF5"/>
    <w:rsid w:val="009D50C3"/>
    <w:rsid w:val="009D7AE4"/>
    <w:rsid w:val="009E097D"/>
    <w:rsid w:val="009F1CEE"/>
    <w:rsid w:val="009F71A9"/>
    <w:rsid w:val="00A00B79"/>
    <w:rsid w:val="00A06D24"/>
    <w:rsid w:val="00A107E2"/>
    <w:rsid w:val="00A2744F"/>
    <w:rsid w:val="00A3230B"/>
    <w:rsid w:val="00A338D0"/>
    <w:rsid w:val="00A361F6"/>
    <w:rsid w:val="00A42BD2"/>
    <w:rsid w:val="00A43C41"/>
    <w:rsid w:val="00A51AED"/>
    <w:rsid w:val="00A56BC5"/>
    <w:rsid w:val="00A608EE"/>
    <w:rsid w:val="00A6590F"/>
    <w:rsid w:val="00A83496"/>
    <w:rsid w:val="00A91581"/>
    <w:rsid w:val="00A975A9"/>
    <w:rsid w:val="00AB7EF3"/>
    <w:rsid w:val="00AC0B45"/>
    <w:rsid w:val="00AD57A1"/>
    <w:rsid w:val="00AE53C7"/>
    <w:rsid w:val="00AE634E"/>
    <w:rsid w:val="00AF79C4"/>
    <w:rsid w:val="00B00CBE"/>
    <w:rsid w:val="00B11907"/>
    <w:rsid w:val="00B26C56"/>
    <w:rsid w:val="00B30485"/>
    <w:rsid w:val="00B34FF4"/>
    <w:rsid w:val="00B41EA0"/>
    <w:rsid w:val="00B42919"/>
    <w:rsid w:val="00B43B2F"/>
    <w:rsid w:val="00B60543"/>
    <w:rsid w:val="00B64DBC"/>
    <w:rsid w:val="00B656A1"/>
    <w:rsid w:val="00B65CD0"/>
    <w:rsid w:val="00B75683"/>
    <w:rsid w:val="00B76FC7"/>
    <w:rsid w:val="00B95434"/>
    <w:rsid w:val="00B958BB"/>
    <w:rsid w:val="00B97282"/>
    <w:rsid w:val="00BA19F5"/>
    <w:rsid w:val="00BB04FE"/>
    <w:rsid w:val="00BB2CA7"/>
    <w:rsid w:val="00BB74AA"/>
    <w:rsid w:val="00BC3F52"/>
    <w:rsid w:val="00BC4AEA"/>
    <w:rsid w:val="00BC7AC3"/>
    <w:rsid w:val="00BD0052"/>
    <w:rsid w:val="00BD4CEF"/>
    <w:rsid w:val="00BE4507"/>
    <w:rsid w:val="00BE62B2"/>
    <w:rsid w:val="00BF2933"/>
    <w:rsid w:val="00BF2EA2"/>
    <w:rsid w:val="00BF399D"/>
    <w:rsid w:val="00C0097E"/>
    <w:rsid w:val="00C0489D"/>
    <w:rsid w:val="00C04CC4"/>
    <w:rsid w:val="00C05074"/>
    <w:rsid w:val="00C12C37"/>
    <w:rsid w:val="00C20727"/>
    <w:rsid w:val="00C23448"/>
    <w:rsid w:val="00C24181"/>
    <w:rsid w:val="00C31BB0"/>
    <w:rsid w:val="00C32BF4"/>
    <w:rsid w:val="00C445E0"/>
    <w:rsid w:val="00C54F93"/>
    <w:rsid w:val="00C55349"/>
    <w:rsid w:val="00C563E4"/>
    <w:rsid w:val="00C70147"/>
    <w:rsid w:val="00C72BDF"/>
    <w:rsid w:val="00C746E5"/>
    <w:rsid w:val="00C759E8"/>
    <w:rsid w:val="00C9223C"/>
    <w:rsid w:val="00CA25B9"/>
    <w:rsid w:val="00CA25DD"/>
    <w:rsid w:val="00CB75CE"/>
    <w:rsid w:val="00CC0AC2"/>
    <w:rsid w:val="00CC634D"/>
    <w:rsid w:val="00CC71E1"/>
    <w:rsid w:val="00CD7998"/>
    <w:rsid w:val="00CE1E51"/>
    <w:rsid w:val="00CE50B0"/>
    <w:rsid w:val="00CE5266"/>
    <w:rsid w:val="00CE6859"/>
    <w:rsid w:val="00CE7FD0"/>
    <w:rsid w:val="00CF224B"/>
    <w:rsid w:val="00CF3279"/>
    <w:rsid w:val="00CF59F5"/>
    <w:rsid w:val="00D01039"/>
    <w:rsid w:val="00D10164"/>
    <w:rsid w:val="00D128BF"/>
    <w:rsid w:val="00D27623"/>
    <w:rsid w:val="00D3053D"/>
    <w:rsid w:val="00D327B5"/>
    <w:rsid w:val="00D36F4D"/>
    <w:rsid w:val="00D44AB3"/>
    <w:rsid w:val="00D555F5"/>
    <w:rsid w:val="00D633B9"/>
    <w:rsid w:val="00D66E20"/>
    <w:rsid w:val="00D752D6"/>
    <w:rsid w:val="00D75329"/>
    <w:rsid w:val="00D86496"/>
    <w:rsid w:val="00D905F2"/>
    <w:rsid w:val="00D90C62"/>
    <w:rsid w:val="00D91B3E"/>
    <w:rsid w:val="00D95FED"/>
    <w:rsid w:val="00DA02ED"/>
    <w:rsid w:val="00DA09E1"/>
    <w:rsid w:val="00DA29A7"/>
    <w:rsid w:val="00DA7015"/>
    <w:rsid w:val="00DB74EB"/>
    <w:rsid w:val="00DD1DC0"/>
    <w:rsid w:val="00DD1FCB"/>
    <w:rsid w:val="00E013DB"/>
    <w:rsid w:val="00E05AD7"/>
    <w:rsid w:val="00E102E9"/>
    <w:rsid w:val="00E168C9"/>
    <w:rsid w:val="00E2105F"/>
    <w:rsid w:val="00E227DF"/>
    <w:rsid w:val="00E24F6A"/>
    <w:rsid w:val="00E279FD"/>
    <w:rsid w:val="00E27A93"/>
    <w:rsid w:val="00E3239A"/>
    <w:rsid w:val="00E35958"/>
    <w:rsid w:val="00E359DB"/>
    <w:rsid w:val="00E405EE"/>
    <w:rsid w:val="00E44ACE"/>
    <w:rsid w:val="00E46361"/>
    <w:rsid w:val="00E46CCE"/>
    <w:rsid w:val="00E47605"/>
    <w:rsid w:val="00E47CDB"/>
    <w:rsid w:val="00E51889"/>
    <w:rsid w:val="00E54D41"/>
    <w:rsid w:val="00E604D4"/>
    <w:rsid w:val="00E61D3F"/>
    <w:rsid w:val="00E662B1"/>
    <w:rsid w:val="00E66D25"/>
    <w:rsid w:val="00E70E1E"/>
    <w:rsid w:val="00E776B4"/>
    <w:rsid w:val="00E8150B"/>
    <w:rsid w:val="00E87DFC"/>
    <w:rsid w:val="00E900FB"/>
    <w:rsid w:val="00EA1A07"/>
    <w:rsid w:val="00EB166E"/>
    <w:rsid w:val="00EB1E3E"/>
    <w:rsid w:val="00EB6A8F"/>
    <w:rsid w:val="00EB76FA"/>
    <w:rsid w:val="00EC6693"/>
    <w:rsid w:val="00EC6777"/>
    <w:rsid w:val="00EC6989"/>
    <w:rsid w:val="00ED2849"/>
    <w:rsid w:val="00ED6D04"/>
    <w:rsid w:val="00EE5C3E"/>
    <w:rsid w:val="00EE5D67"/>
    <w:rsid w:val="00EE6540"/>
    <w:rsid w:val="00F043A8"/>
    <w:rsid w:val="00F04A9A"/>
    <w:rsid w:val="00F11058"/>
    <w:rsid w:val="00F173C8"/>
    <w:rsid w:val="00F176A3"/>
    <w:rsid w:val="00F179C6"/>
    <w:rsid w:val="00F21142"/>
    <w:rsid w:val="00F313CE"/>
    <w:rsid w:val="00F4202C"/>
    <w:rsid w:val="00F447FF"/>
    <w:rsid w:val="00F45FA2"/>
    <w:rsid w:val="00F4737F"/>
    <w:rsid w:val="00F503BB"/>
    <w:rsid w:val="00F510CA"/>
    <w:rsid w:val="00F53856"/>
    <w:rsid w:val="00F53F22"/>
    <w:rsid w:val="00F5568C"/>
    <w:rsid w:val="00F664B4"/>
    <w:rsid w:val="00F718D0"/>
    <w:rsid w:val="00F719B8"/>
    <w:rsid w:val="00F82035"/>
    <w:rsid w:val="00FB4EBF"/>
    <w:rsid w:val="00FB78E8"/>
    <w:rsid w:val="00FC11CC"/>
    <w:rsid w:val="00FC410C"/>
    <w:rsid w:val="00FC7A0C"/>
    <w:rsid w:val="00FD11BF"/>
    <w:rsid w:val="00FD661C"/>
    <w:rsid w:val="00FE1B47"/>
    <w:rsid w:val="00FE4E48"/>
    <w:rsid w:val="00FF5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905D1"/>
  <w15:docId w15:val="{66C7528C-1530-4EDC-9344-D5B7FFA21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456A"/>
    <w:pPr>
      <w:jc w:val="left"/>
    </w:pPr>
    <w:rPr>
      <w:rFonts w:ascii="Times New Roman" w:eastAsia="Batang" w:hAnsi="Times New Roman" w:cs="Times New Roman"/>
      <w:sz w:val="24"/>
      <w:szCs w:val="20"/>
    </w:rPr>
  </w:style>
  <w:style w:type="paragraph" w:styleId="Heading1">
    <w:name w:val="heading 1"/>
    <w:basedOn w:val="Normal"/>
    <w:next w:val="Normal"/>
    <w:link w:val="Heading1Char"/>
    <w:uiPriority w:val="9"/>
    <w:qFormat/>
    <w:rsid w:val="00AC0B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52C6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character" w:customStyle="1" w:styleId="Heading2Char">
    <w:name w:val="Heading 2 Char"/>
    <w:basedOn w:val="DefaultParagraphFont"/>
    <w:link w:val="Heading2"/>
    <w:uiPriority w:val="9"/>
    <w:rsid w:val="00352C61"/>
    <w:rPr>
      <w:rFonts w:ascii="Times New Roman" w:eastAsia="Times New Roman" w:hAnsi="Times New Roman" w:cs="Times New Roman"/>
      <w:b/>
      <w:bCs/>
      <w:sz w:val="36"/>
      <w:szCs w:val="36"/>
    </w:rPr>
  </w:style>
  <w:style w:type="paragraph" w:styleId="ListParagraph">
    <w:name w:val="List Paragraph"/>
    <w:basedOn w:val="Normal"/>
    <w:uiPriority w:val="34"/>
    <w:qFormat/>
    <w:rsid w:val="0050357A"/>
    <w:pPr>
      <w:ind w:left="720"/>
      <w:contextualSpacing/>
      <w:jc w:val="both"/>
    </w:pPr>
    <w:rPr>
      <w:rFonts w:ascii="Arial Narrow" w:eastAsiaTheme="minorHAnsi" w:hAnsi="Arial Narrow" w:cstheme="minorBidi"/>
      <w:szCs w:val="22"/>
      <w:lang w:val="es-PR"/>
    </w:rPr>
  </w:style>
  <w:style w:type="paragraph" w:styleId="FootnoteText">
    <w:name w:val="footnote text"/>
    <w:basedOn w:val="Normal"/>
    <w:link w:val="FootnoteTextChar"/>
    <w:unhideWhenUsed/>
    <w:rsid w:val="0050357A"/>
    <w:rPr>
      <w:rFonts w:asciiTheme="minorHAnsi" w:eastAsiaTheme="minorHAnsi" w:hAnsiTheme="minorHAnsi" w:cstheme="minorBidi"/>
      <w:szCs w:val="24"/>
      <w:lang w:val="es-PR"/>
    </w:rPr>
  </w:style>
  <w:style w:type="character" w:customStyle="1" w:styleId="FootnoteTextChar">
    <w:name w:val="Footnote Text Char"/>
    <w:basedOn w:val="DefaultParagraphFont"/>
    <w:link w:val="FootnoteText"/>
    <w:rsid w:val="0050357A"/>
    <w:rPr>
      <w:sz w:val="24"/>
      <w:szCs w:val="24"/>
      <w:lang w:val="es-PR"/>
    </w:rPr>
  </w:style>
  <w:style w:type="character" w:styleId="FootnoteReference">
    <w:name w:val="footnote reference"/>
    <w:basedOn w:val="DefaultParagraphFont"/>
    <w:uiPriority w:val="99"/>
    <w:unhideWhenUsed/>
    <w:rsid w:val="0050357A"/>
    <w:rPr>
      <w:vertAlign w:val="superscript"/>
    </w:rPr>
  </w:style>
  <w:style w:type="paragraph" w:styleId="BalloonText">
    <w:name w:val="Balloon Text"/>
    <w:basedOn w:val="Normal"/>
    <w:link w:val="BalloonTextChar"/>
    <w:uiPriority w:val="99"/>
    <w:semiHidden/>
    <w:unhideWhenUsed/>
    <w:rsid w:val="004653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358"/>
    <w:rPr>
      <w:rFonts w:ascii="Segoe UI" w:eastAsia="Batang" w:hAnsi="Segoe UI" w:cs="Segoe UI"/>
      <w:sz w:val="18"/>
      <w:szCs w:val="18"/>
    </w:rPr>
  </w:style>
  <w:style w:type="table" w:styleId="TableGrid">
    <w:name w:val="Table Grid"/>
    <w:basedOn w:val="TableNormal"/>
    <w:uiPriority w:val="39"/>
    <w:rsid w:val="00C00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99"/>
    <w:rsid w:val="00C0097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C0097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MediumGrid1-Accent21">
    <w:name w:val="Medium Grid 1 - Accent 21"/>
    <w:basedOn w:val="Normal"/>
    <w:uiPriority w:val="34"/>
    <w:qFormat/>
    <w:rsid w:val="006A627D"/>
    <w:pPr>
      <w:spacing w:after="160" w:line="256" w:lineRule="auto"/>
      <w:ind w:left="720"/>
      <w:contextualSpacing/>
    </w:pPr>
    <w:rPr>
      <w:rFonts w:ascii="Calibri" w:eastAsia="Calibri" w:hAnsi="Calibri"/>
      <w:sz w:val="22"/>
      <w:szCs w:val="22"/>
    </w:rPr>
  </w:style>
  <w:style w:type="paragraph" w:customStyle="1" w:styleId="default">
    <w:name w:val="default"/>
    <w:basedOn w:val="Normal"/>
    <w:rsid w:val="00163B5C"/>
    <w:pPr>
      <w:autoSpaceDE w:val="0"/>
      <w:autoSpaceDN w:val="0"/>
    </w:pPr>
    <w:rPr>
      <w:rFonts w:ascii="DXANP N+ Serifa B T," w:eastAsia="Times New Roman" w:hAnsi="DXANP N+ Serifa B T,"/>
      <w:color w:val="000000"/>
      <w:szCs w:val="24"/>
    </w:rPr>
  </w:style>
  <w:style w:type="character" w:styleId="Hyperlink">
    <w:name w:val="Hyperlink"/>
    <w:basedOn w:val="DefaultParagraphFont"/>
    <w:uiPriority w:val="99"/>
    <w:semiHidden/>
    <w:unhideWhenUsed/>
    <w:rsid w:val="00163B5C"/>
    <w:rPr>
      <w:color w:val="0563C1" w:themeColor="hyperlink"/>
      <w:u w:val="single"/>
    </w:rPr>
  </w:style>
  <w:style w:type="paragraph" w:customStyle="1" w:styleId="Default0">
    <w:name w:val="Default"/>
    <w:rsid w:val="00716D4F"/>
    <w:pPr>
      <w:autoSpaceDE w:val="0"/>
      <w:autoSpaceDN w:val="0"/>
      <w:adjustRightInd w:val="0"/>
      <w:jc w:val="left"/>
    </w:pPr>
    <w:rPr>
      <w:rFonts w:ascii="Arial" w:hAnsi="Arial" w:cs="Arial"/>
      <w:color w:val="000000"/>
      <w:sz w:val="24"/>
      <w:szCs w:val="24"/>
    </w:rPr>
  </w:style>
  <w:style w:type="table" w:styleId="ListTable3">
    <w:name w:val="List Table 3"/>
    <w:basedOn w:val="TableNormal"/>
    <w:uiPriority w:val="48"/>
    <w:rsid w:val="004D66E8"/>
    <w:pPr>
      <w:jc w:val="left"/>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BodyText">
    <w:name w:val="Body Text"/>
    <w:basedOn w:val="Normal"/>
    <w:link w:val="BodyTextChar"/>
    <w:uiPriority w:val="1"/>
    <w:qFormat/>
    <w:rsid w:val="005E345A"/>
    <w:pPr>
      <w:widowControl w:val="0"/>
      <w:tabs>
        <w:tab w:val="left" w:pos="-1440"/>
        <w:tab w:val="left" w:pos="-720"/>
      </w:tabs>
      <w:suppressAutoHyphens/>
      <w:spacing w:line="480" w:lineRule="auto"/>
      <w:jc w:val="both"/>
    </w:pPr>
    <w:rPr>
      <w:rFonts w:ascii="CG Times (W1)" w:eastAsia="Times New Roman" w:hAnsi="CG Times (W1)"/>
      <w:snapToGrid w:val="0"/>
      <w:spacing w:val="-3"/>
      <w:lang w:val="es-PR"/>
    </w:rPr>
  </w:style>
  <w:style w:type="character" w:customStyle="1" w:styleId="BodyTextChar">
    <w:name w:val="Body Text Char"/>
    <w:basedOn w:val="DefaultParagraphFont"/>
    <w:link w:val="BodyText"/>
    <w:uiPriority w:val="1"/>
    <w:rsid w:val="005E345A"/>
    <w:rPr>
      <w:rFonts w:ascii="CG Times (W1)" w:eastAsia="Times New Roman" w:hAnsi="CG Times (W1)" w:cs="Times New Roman"/>
      <w:snapToGrid w:val="0"/>
      <w:spacing w:val="-3"/>
      <w:sz w:val="24"/>
      <w:szCs w:val="20"/>
      <w:lang w:val="es-PR"/>
    </w:rPr>
  </w:style>
  <w:style w:type="character" w:customStyle="1" w:styleId="Heading1Char">
    <w:name w:val="Heading 1 Char"/>
    <w:basedOn w:val="DefaultParagraphFont"/>
    <w:link w:val="Heading1"/>
    <w:uiPriority w:val="9"/>
    <w:rsid w:val="00AC0B45"/>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AC0B45"/>
    <w:rPr>
      <w:i/>
      <w:iCs/>
    </w:rPr>
  </w:style>
  <w:style w:type="character" w:styleId="Strong">
    <w:name w:val="Strong"/>
    <w:basedOn w:val="DefaultParagraphFont"/>
    <w:uiPriority w:val="22"/>
    <w:qFormat/>
    <w:rsid w:val="002141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347249">
      <w:bodyDiv w:val="1"/>
      <w:marLeft w:val="0"/>
      <w:marRight w:val="0"/>
      <w:marTop w:val="0"/>
      <w:marBottom w:val="0"/>
      <w:divBdr>
        <w:top w:val="none" w:sz="0" w:space="0" w:color="auto"/>
        <w:left w:val="none" w:sz="0" w:space="0" w:color="auto"/>
        <w:bottom w:val="none" w:sz="0" w:space="0" w:color="auto"/>
        <w:right w:val="none" w:sz="0" w:space="0" w:color="auto"/>
      </w:divBdr>
    </w:div>
    <w:div w:id="111438281">
      <w:bodyDiv w:val="1"/>
      <w:marLeft w:val="0"/>
      <w:marRight w:val="0"/>
      <w:marTop w:val="0"/>
      <w:marBottom w:val="0"/>
      <w:divBdr>
        <w:top w:val="none" w:sz="0" w:space="0" w:color="auto"/>
        <w:left w:val="none" w:sz="0" w:space="0" w:color="auto"/>
        <w:bottom w:val="none" w:sz="0" w:space="0" w:color="auto"/>
        <w:right w:val="none" w:sz="0" w:space="0" w:color="auto"/>
      </w:divBdr>
    </w:div>
    <w:div w:id="125199426">
      <w:bodyDiv w:val="1"/>
      <w:marLeft w:val="0"/>
      <w:marRight w:val="0"/>
      <w:marTop w:val="0"/>
      <w:marBottom w:val="0"/>
      <w:divBdr>
        <w:top w:val="none" w:sz="0" w:space="0" w:color="auto"/>
        <w:left w:val="none" w:sz="0" w:space="0" w:color="auto"/>
        <w:bottom w:val="none" w:sz="0" w:space="0" w:color="auto"/>
        <w:right w:val="none" w:sz="0" w:space="0" w:color="auto"/>
      </w:divBdr>
    </w:div>
    <w:div w:id="218326374">
      <w:bodyDiv w:val="1"/>
      <w:marLeft w:val="0"/>
      <w:marRight w:val="0"/>
      <w:marTop w:val="0"/>
      <w:marBottom w:val="0"/>
      <w:divBdr>
        <w:top w:val="none" w:sz="0" w:space="0" w:color="auto"/>
        <w:left w:val="none" w:sz="0" w:space="0" w:color="auto"/>
        <w:bottom w:val="none" w:sz="0" w:space="0" w:color="auto"/>
        <w:right w:val="none" w:sz="0" w:space="0" w:color="auto"/>
      </w:divBdr>
    </w:div>
    <w:div w:id="228613306">
      <w:bodyDiv w:val="1"/>
      <w:marLeft w:val="0"/>
      <w:marRight w:val="0"/>
      <w:marTop w:val="0"/>
      <w:marBottom w:val="0"/>
      <w:divBdr>
        <w:top w:val="none" w:sz="0" w:space="0" w:color="auto"/>
        <w:left w:val="none" w:sz="0" w:space="0" w:color="auto"/>
        <w:bottom w:val="none" w:sz="0" w:space="0" w:color="auto"/>
        <w:right w:val="none" w:sz="0" w:space="0" w:color="auto"/>
      </w:divBdr>
    </w:div>
    <w:div w:id="288439286">
      <w:bodyDiv w:val="1"/>
      <w:marLeft w:val="0"/>
      <w:marRight w:val="0"/>
      <w:marTop w:val="0"/>
      <w:marBottom w:val="0"/>
      <w:divBdr>
        <w:top w:val="none" w:sz="0" w:space="0" w:color="auto"/>
        <w:left w:val="none" w:sz="0" w:space="0" w:color="auto"/>
        <w:bottom w:val="none" w:sz="0" w:space="0" w:color="auto"/>
        <w:right w:val="none" w:sz="0" w:space="0" w:color="auto"/>
      </w:divBdr>
    </w:div>
    <w:div w:id="376441565">
      <w:bodyDiv w:val="1"/>
      <w:marLeft w:val="0"/>
      <w:marRight w:val="0"/>
      <w:marTop w:val="0"/>
      <w:marBottom w:val="0"/>
      <w:divBdr>
        <w:top w:val="none" w:sz="0" w:space="0" w:color="auto"/>
        <w:left w:val="none" w:sz="0" w:space="0" w:color="auto"/>
        <w:bottom w:val="none" w:sz="0" w:space="0" w:color="auto"/>
        <w:right w:val="none" w:sz="0" w:space="0" w:color="auto"/>
      </w:divBdr>
    </w:div>
    <w:div w:id="445926149">
      <w:bodyDiv w:val="1"/>
      <w:marLeft w:val="0"/>
      <w:marRight w:val="0"/>
      <w:marTop w:val="0"/>
      <w:marBottom w:val="0"/>
      <w:divBdr>
        <w:top w:val="none" w:sz="0" w:space="0" w:color="auto"/>
        <w:left w:val="none" w:sz="0" w:space="0" w:color="auto"/>
        <w:bottom w:val="none" w:sz="0" w:space="0" w:color="auto"/>
        <w:right w:val="none" w:sz="0" w:space="0" w:color="auto"/>
      </w:divBdr>
    </w:div>
    <w:div w:id="459106347">
      <w:bodyDiv w:val="1"/>
      <w:marLeft w:val="0"/>
      <w:marRight w:val="0"/>
      <w:marTop w:val="0"/>
      <w:marBottom w:val="0"/>
      <w:divBdr>
        <w:top w:val="none" w:sz="0" w:space="0" w:color="auto"/>
        <w:left w:val="none" w:sz="0" w:space="0" w:color="auto"/>
        <w:bottom w:val="none" w:sz="0" w:space="0" w:color="auto"/>
        <w:right w:val="none" w:sz="0" w:space="0" w:color="auto"/>
      </w:divBdr>
    </w:div>
    <w:div w:id="479734148">
      <w:bodyDiv w:val="1"/>
      <w:marLeft w:val="0"/>
      <w:marRight w:val="0"/>
      <w:marTop w:val="0"/>
      <w:marBottom w:val="0"/>
      <w:divBdr>
        <w:top w:val="none" w:sz="0" w:space="0" w:color="auto"/>
        <w:left w:val="none" w:sz="0" w:space="0" w:color="auto"/>
        <w:bottom w:val="none" w:sz="0" w:space="0" w:color="auto"/>
        <w:right w:val="none" w:sz="0" w:space="0" w:color="auto"/>
      </w:divBdr>
    </w:div>
    <w:div w:id="534346967">
      <w:bodyDiv w:val="1"/>
      <w:marLeft w:val="0"/>
      <w:marRight w:val="0"/>
      <w:marTop w:val="0"/>
      <w:marBottom w:val="0"/>
      <w:divBdr>
        <w:top w:val="none" w:sz="0" w:space="0" w:color="auto"/>
        <w:left w:val="none" w:sz="0" w:space="0" w:color="auto"/>
        <w:bottom w:val="none" w:sz="0" w:space="0" w:color="auto"/>
        <w:right w:val="none" w:sz="0" w:space="0" w:color="auto"/>
      </w:divBdr>
    </w:div>
    <w:div w:id="633143829">
      <w:bodyDiv w:val="1"/>
      <w:marLeft w:val="0"/>
      <w:marRight w:val="0"/>
      <w:marTop w:val="0"/>
      <w:marBottom w:val="0"/>
      <w:divBdr>
        <w:top w:val="none" w:sz="0" w:space="0" w:color="auto"/>
        <w:left w:val="none" w:sz="0" w:space="0" w:color="auto"/>
        <w:bottom w:val="none" w:sz="0" w:space="0" w:color="auto"/>
        <w:right w:val="none" w:sz="0" w:space="0" w:color="auto"/>
      </w:divBdr>
    </w:div>
    <w:div w:id="644118573">
      <w:bodyDiv w:val="1"/>
      <w:marLeft w:val="0"/>
      <w:marRight w:val="0"/>
      <w:marTop w:val="0"/>
      <w:marBottom w:val="0"/>
      <w:divBdr>
        <w:top w:val="none" w:sz="0" w:space="0" w:color="auto"/>
        <w:left w:val="none" w:sz="0" w:space="0" w:color="auto"/>
        <w:bottom w:val="none" w:sz="0" w:space="0" w:color="auto"/>
        <w:right w:val="none" w:sz="0" w:space="0" w:color="auto"/>
      </w:divBdr>
    </w:div>
    <w:div w:id="685592256">
      <w:bodyDiv w:val="1"/>
      <w:marLeft w:val="0"/>
      <w:marRight w:val="0"/>
      <w:marTop w:val="0"/>
      <w:marBottom w:val="0"/>
      <w:divBdr>
        <w:top w:val="none" w:sz="0" w:space="0" w:color="auto"/>
        <w:left w:val="none" w:sz="0" w:space="0" w:color="auto"/>
        <w:bottom w:val="none" w:sz="0" w:space="0" w:color="auto"/>
        <w:right w:val="none" w:sz="0" w:space="0" w:color="auto"/>
      </w:divBdr>
    </w:div>
    <w:div w:id="749693984">
      <w:bodyDiv w:val="1"/>
      <w:marLeft w:val="0"/>
      <w:marRight w:val="0"/>
      <w:marTop w:val="0"/>
      <w:marBottom w:val="0"/>
      <w:divBdr>
        <w:top w:val="none" w:sz="0" w:space="0" w:color="auto"/>
        <w:left w:val="none" w:sz="0" w:space="0" w:color="auto"/>
        <w:bottom w:val="none" w:sz="0" w:space="0" w:color="auto"/>
        <w:right w:val="none" w:sz="0" w:space="0" w:color="auto"/>
      </w:divBdr>
    </w:div>
    <w:div w:id="782845843">
      <w:bodyDiv w:val="1"/>
      <w:marLeft w:val="0"/>
      <w:marRight w:val="0"/>
      <w:marTop w:val="0"/>
      <w:marBottom w:val="0"/>
      <w:divBdr>
        <w:top w:val="none" w:sz="0" w:space="0" w:color="auto"/>
        <w:left w:val="none" w:sz="0" w:space="0" w:color="auto"/>
        <w:bottom w:val="none" w:sz="0" w:space="0" w:color="auto"/>
        <w:right w:val="none" w:sz="0" w:space="0" w:color="auto"/>
      </w:divBdr>
      <w:divsChild>
        <w:div w:id="1668433764">
          <w:blockQuote w:val="1"/>
          <w:marLeft w:val="720"/>
          <w:marRight w:val="720"/>
          <w:marTop w:val="100"/>
          <w:marBottom w:val="100"/>
          <w:divBdr>
            <w:top w:val="none" w:sz="0" w:space="0" w:color="auto"/>
            <w:left w:val="none" w:sz="0" w:space="0" w:color="auto"/>
            <w:bottom w:val="none" w:sz="0" w:space="0" w:color="auto"/>
            <w:right w:val="none" w:sz="0" w:space="0" w:color="auto"/>
          </w:divBdr>
        </w:div>
        <w:div w:id="14927923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9494750">
      <w:bodyDiv w:val="1"/>
      <w:marLeft w:val="0"/>
      <w:marRight w:val="0"/>
      <w:marTop w:val="0"/>
      <w:marBottom w:val="0"/>
      <w:divBdr>
        <w:top w:val="none" w:sz="0" w:space="0" w:color="auto"/>
        <w:left w:val="none" w:sz="0" w:space="0" w:color="auto"/>
        <w:bottom w:val="none" w:sz="0" w:space="0" w:color="auto"/>
        <w:right w:val="none" w:sz="0" w:space="0" w:color="auto"/>
      </w:divBdr>
    </w:div>
    <w:div w:id="982586494">
      <w:bodyDiv w:val="1"/>
      <w:marLeft w:val="0"/>
      <w:marRight w:val="0"/>
      <w:marTop w:val="0"/>
      <w:marBottom w:val="0"/>
      <w:divBdr>
        <w:top w:val="none" w:sz="0" w:space="0" w:color="auto"/>
        <w:left w:val="none" w:sz="0" w:space="0" w:color="auto"/>
        <w:bottom w:val="none" w:sz="0" w:space="0" w:color="auto"/>
        <w:right w:val="none" w:sz="0" w:space="0" w:color="auto"/>
      </w:divBdr>
    </w:div>
    <w:div w:id="1051274359">
      <w:bodyDiv w:val="1"/>
      <w:marLeft w:val="0"/>
      <w:marRight w:val="0"/>
      <w:marTop w:val="0"/>
      <w:marBottom w:val="0"/>
      <w:divBdr>
        <w:top w:val="none" w:sz="0" w:space="0" w:color="auto"/>
        <w:left w:val="none" w:sz="0" w:space="0" w:color="auto"/>
        <w:bottom w:val="none" w:sz="0" w:space="0" w:color="auto"/>
        <w:right w:val="none" w:sz="0" w:space="0" w:color="auto"/>
      </w:divBdr>
    </w:div>
    <w:div w:id="1053232081">
      <w:bodyDiv w:val="1"/>
      <w:marLeft w:val="0"/>
      <w:marRight w:val="0"/>
      <w:marTop w:val="0"/>
      <w:marBottom w:val="0"/>
      <w:divBdr>
        <w:top w:val="none" w:sz="0" w:space="0" w:color="auto"/>
        <w:left w:val="none" w:sz="0" w:space="0" w:color="auto"/>
        <w:bottom w:val="none" w:sz="0" w:space="0" w:color="auto"/>
        <w:right w:val="none" w:sz="0" w:space="0" w:color="auto"/>
      </w:divBdr>
    </w:div>
    <w:div w:id="1079211384">
      <w:bodyDiv w:val="1"/>
      <w:marLeft w:val="0"/>
      <w:marRight w:val="0"/>
      <w:marTop w:val="0"/>
      <w:marBottom w:val="0"/>
      <w:divBdr>
        <w:top w:val="none" w:sz="0" w:space="0" w:color="auto"/>
        <w:left w:val="none" w:sz="0" w:space="0" w:color="auto"/>
        <w:bottom w:val="none" w:sz="0" w:space="0" w:color="auto"/>
        <w:right w:val="none" w:sz="0" w:space="0" w:color="auto"/>
      </w:divBdr>
    </w:div>
    <w:div w:id="1143277712">
      <w:bodyDiv w:val="1"/>
      <w:marLeft w:val="0"/>
      <w:marRight w:val="0"/>
      <w:marTop w:val="0"/>
      <w:marBottom w:val="0"/>
      <w:divBdr>
        <w:top w:val="none" w:sz="0" w:space="0" w:color="auto"/>
        <w:left w:val="none" w:sz="0" w:space="0" w:color="auto"/>
        <w:bottom w:val="none" w:sz="0" w:space="0" w:color="auto"/>
        <w:right w:val="none" w:sz="0" w:space="0" w:color="auto"/>
      </w:divBdr>
    </w:div>
    <w:div w:id="1152215126">
      <w:bodyDiv w:val="1"/>
      <w:marLeft w:val="0"/>
      <w:marRight w:val="0"/>
      <w:marTop w:val="0"/>
      <w:marBottom w:val="0"/>
      <w:divBdr>
        <w:top w:val="none" w:sz="0" w:space="0" w:color="auto"/>
        <w:left w:val="none" w:sz="0" w:space="0" w:color="auto"/>
        <w:bottom w:val="none" w:sz="0" w:space="0" w:color="auto"/>
        <w:right w:val="none" w:sz="0" w:space="0" w:color="auto"/>
      </w:divBdr>
    </w:div>
    <w:div w:id="1155607050">
      <w:bodyDiv w:val="1"/>
      <w:marLeft w:val="0"/>
      <w:marRight w:val="0"/>
      <w:marTop w:val="0"/>
      <w:marBottom w:val="0"/>
      <w:divBdr>
        <w:top w:val="none" w:sz="0" w:space="0" w:color="auto"/>
        <w:left w:val="none" w:sz="0" w:space="0" w:color="auto"/>
        <w:bottom w:val="none" w:sz="0" w:space="0" w:color="auto"/>
        <w:right w:val="none" w:sz="0" w:space="0" w:color="auto"/>
      </w:divBdr>
    </w:div>
    <w:div w:id="1183980984">
      <w:bodyDiv w:val="1"/>
      <w:marLeft w:val="0"/>
      <w:marRight w:val="0"/>
      <w:marTop w:val="0"/>
      <w:marBottom w:val="0"/>
      <w:divBdr>
        <w:top w:val="none" w:sz="0" w:space="0" w:color="auto"/>
        <w:left w:val="none" w:sz="0" w:space="0" w:color="auto"/>
        <w:bottom w:val="none" w:sz="0" w:space="0" w:color="auto"/>
        <w:right w:val="none" w:sz="0" w:space="0" w:color="auto"/>
      </w:divBdr>
    </w:div>
    <w:div w:id="1196654326">
      <w:bodyDiv w:val="1"/>
      <w:marLeft w:val="0"/>
      <w:marRight w:val="0"/>
      <w:marTop w:val="0"/>
      <w:marBottom w:val="0"/>
      <w:divBdr>
        <w:top w:val="none" w:sz="0" w:space="0" w:color="auto"/>
        <w:left w:val="none" w:sz="0" w:space="0" w:color="auto"/>
        <w:bottom w:val="none" w:sz="0" w:space="0" w:color="auto"/>
        <w:right w:val="none" w:sz="0" w:space="0" w:color="auto"/>
      </w:divBdr>
    </w:div>
    <w:div w:id="1217396895">
      <w:bodyDiv w:val="1"/>
      <w:marLeft w:val="0"/>
      <w:marRight w:val="0"/>
      <w:marTop w:val="0"/>
      <w:marBottom w:val="0"/>
      <w:divBdr>
        <w:top w:val="none" w:sz="0" w:space="0" w:color="auto"/>
        <w:left w:val="none" w:sz="0" w:space="0" w:color="auto"/>
        <w:bottom w:val="none" w:sz="0" w:space="0" w:color="auto"/>
        <w:right w:val="none" w:sz="0" w:space="0" w:color="auto"/>
      </w:divBdr>
    </w:div>
    <w:div w:id="1266108606">
      <w:bodyDiv w:val="1"/>
      <w:marLeft w:val="0"/>
      <w:marRight w:val="0"/>
      <w:marTop w:val="0"/>
      <w:marBottom w:val="0"/>
      <w:divBdr>
        <w:top w:val="none" w:sz="0" w:space="0" w:color="auto"/>
        <w:left w:val="none" w:sz="0" w:space="0" w:color="auto"/>
        <w:bottom w:val="none" w:sz="0" w:space="0" w:color="auto"/>
        <w:right w:val="none" w:sz="0" w:space="0" w:color="auto"/>
      </w:divBdr>
    </w:div>
    <w:div w:id="1393503689">
      <w:bodyDiv w:val="1"/>
      <w:marLeft w:val="0"/>
      <w:marRight w:val="0"/>
      <w:marTop w:val="0"/>
      <w:marBottom w:val="0"/>
      <w:divBdr>
        <w:top w:val="none" w:sz="0" w:space="0" w:color="auto"/>
        <w:left w:val="none" w:sz="0" w:space="0" w:color="auto"/>
        <w:bottom w:val="none" w:sz="0" w:space="0" w:color="auto"/>
        <w:right w:val="none" w:sz="0" w:space="0" w:color="auto"/>
      </w:divBdr>
    </w:div>
    <w:div w:id="1470778983">
      <w:bodyDiv w:val="1"/>
      <w:marLeft w:val="0"/>
      <w:marRight w:val="0"/>
      <w:marTop w:val="0"/>
      <w:marBottom w:val="0"/>
      <w:divBdr>
        <w:top w:val="none" w:sz="0" w:space="0" w:color="auto"/>
        <w:left w:val="none" w:sz="0" w:space="0" w:color="auto"/>
        <w:bottom w:val="none" w:sz="0" w:space="0" w:color="auto"/>
        <w:right w:val="none" w:sz="0" w:space="0" w:color="auto"/>
      </w:divBdr>
    </w:div>
    <w:div w:id="1635210962">
      <w:bodyDiv w:val="1"/>
      <w:marLeft w:val="0"/>
      <w:marRight w:val="0"/>
      <w:marTop w:val="0"/>
      <w:marBottom w:val="0"/>
      <w:divBdr>
        <w:top w:val="none" w:sz="0" w:space="0" w:color="auto"/>
        <w:left w:val="none" w:sz="0" w:space="0" w:color="auto"/>
        <w:bottom w:val="none" w:sz="0" w:space="0" w:color="auto"/>
        <w:right w:val="none" w:sz="0" w:space="0" w:color="auto"/>
      </w:divBdr>
    </w:div>
    <w:div w:id="1670329743">
      <w:bodyDiv w:val="1"/>
      <w:marLeft w:val="0"/>
      <w:marRight w:val="0"/>
      <w:marTop w:val="0"/>
      <w:marBottom w:val="0"/>
      <w:divBdr>
        <w:top w:val="none" w:sz="0" w:space="0" w:color="auto"/>
        <w:left w:val="none" w:sz="0" w:space="0" w:color="auto"/>
        <w:bottom w:val="none" w:sz="0" w:space="0" w:color="auto"/>
        <w:right w:val="none" w:sz="0" w:space="0" w:color="auto"/>
      </w:divBdr>
    </w:div>
    <w:div w:id="1673214311">
      <w:bodyDiv w:val="1"/>
      <w:marLeft w:val="0"/>
      <w:marRight w:val="0"/>
      <w:marTop w:val="0"/>
      <w:marBottom w:val="0"/>
      <w:divBdr>
        <w:top w:val="none" w:sz="0" w:space="0" w:color="auto"/>
        <w:left w:val="none" w:sz="0" w:space="0" w:color="auto"/>
        <w:bottom w:val="none" w:sz="0" w:space="0" w:color="auto"/>
        <w:right w:val="none" w:sz="0" w:space="0" w:color="auto"/>
      </w:divBdr>
    </w:div>
    <w:div w:id="1705057127">
      <w:bodyDiv w:val="1"/>
      <w:marLeft w:val="0"/>
      <w:marRight w:val="0"/>
      <w:marTop w:val="0"/>
      <w:marBottom w:val="0"/>
      <w:divBdr>
        <w:top w:val="none" w:sz="0" w:space="0" w:color="auto"/>
        <w:left w:val="none" w:sz="0" w:space="0" w:color="auto"/>
        <w:bottom w:val="none" w:sz="0" w:space="0" w:color="auto"/>
        <w:right w:val="none" w:sz="0" w:space="0" w:color="auto"/>
      </w:divBdr>
    </w:div>
    <w:div w:id="1791195343">
      <w:bodyDiv w:val="1"/>
      <w:marLeft w:val="0"/>
      <w:marRight w:val="0"/>
      <w:marTop w:val="0"/>
      <w:marBottom w:val="0"/>
      <w:divBdr>
        <w:top w:val="none" w:sz="0" w:space="0" w:color="auto"/>
        <w:left w:val="none" w:sz="0" w:space="0" w:color="auto"/>
        <w:bottom w:val="none" w:sz="0" w:space="0" w:color="auto"/>
        <w:right w:val="none" w:sz="0" w:space="0" w:color="auto"/>
      </w:divBdr>
    </w:div>
    <w:div w:id="1836337782">
      <w:bodyDiv w:val="1"/>
      <w:marLeft w:val="0"/>
      <w:marRight w:val="0"/>
      <w:marTop w:val="0"/>
      <w:marBottom w:val="0"/>
      <w:divBdr>
        <w:top w:val="none" w:sz="0" w:space="0" w:color="auto"/>
        <w:left w:val="none" w:sz="0" w:space="0" w:color="auto"/>
        <w:bottom w:val="none" w:sz="0" w:space="0" w:color="auto"/>
        <w:right w:val="none" w:sz="0" w:space="0" w:color="auto"/>
      </w:divBdr>
    </w:div>
    <w:div w:id="1845626466">
      <w:bodyDiv w:val="1"/>
      <w:marLeft w:val="0"/>
      <w:marRight w:val="0"/>
      <w:marTop w:val="0"/>
      <w:marBottom w:val="0"/>
      <w:divBdr>
        <w:top w:val="none" w:sz="0" w:space="0" w:color="auto"/>
        <w:left w:val="none" w:sz="0" w:space="0" w:color="auto"/>
        <w:bottom w:val="none" w:sz="0" w:space="0" w:color="auto"/>
        <w:right w:val="none" w:sz="0" w:space="0" w:color="auto"/>
      </w:divBdr>
    </w:div>
    <w:div w:id="1862009372">
      <w:bodyDiv w:val="1"/>
      <w:marLeft w:val="0"/>
      <w:marRight w:val="0"/>
      <w:marTop w:val="0"/>
      <w:marBottom w:val="0"/>
      <w:divBdr>
        <w:top w:val="none" w:sz="0" w:space="0" w:color="auto"/>
        <w:left w:val="none" w:sz="0" w:space="0" w:color="auto"/>
        <w:bottom w:val="none" w:sz="0" w:space="0" w:color="auto"/>
        <w:right w:val="none" w:sz="0" w:space="0" w:color="auto"/>
      </w:divBdr>
    </w:div>
    <w:div w:id="1875189762">
      <w:bodyDiv w:val="1"/>
      <w:marLeft w:val="0"/>
      <w:marRight w:val="0"/>
      <w:marTop w:val="0"/>
      <w:marBottom w:val="0"/>
      <w:divBdr>
        <w:top w:val="none" w:sz="0" w:space="0" w:color="auto"/>
        <w:left w:val="none" w:sz="0" w:space="0" w:color="auto"/>
        <w:bottom w:val="none" w:sz="0" w:space="0" w:color="auto"/>
        <w:right w:val="none" w:sz="0" w:space="0" w:color="auto"/>
      </w:divBdr>
    </w:div>
    <w:div w:id="1907645058">
      <w:bodyDiv w:val="1"/>
      <w:marLeft w:val="0"/>
      <w:marRight w:val="0"/>
      <w:marTop w:val="0"/>
      <w:marBottom w:val="0"/>
      <w:divBdr>
        <w:top w:val="none" w:sz="0" w:space="0" w:color="auto"/>
        <w:left w:val="none" w:sz="0" w:space="0" w:color="auto"/>
        <w:bottom w:val="none" w:sz="0" w:space="0" w:color="auto"/>
        <w:right w:val="none" w:sz="0" w:space="0" w:color="auto"/>
      </w:divBdr>
    </w:div>
    <w:div w:id="1971280151">
      <w:bodyDiv w:val="1"/>
      <w:marLeft w:val="0"/>
      <w:marRight w:val="0"/>
      <w:marTop w:val="0"/>
      <w:marBottom w:val="0"/>
      <w:divBdr>
        <w:top w:val="none" w:sz="0" w:space="0" w:color="auto"/>
        <w:left w:val="none" w:sz="0" w:space="0" w:color="auto"/>
        <w:bottom w:val="none" w:sz="0" w:space="0" w:color="auto"/>
        <w:right w:val="none" w:sz="0" w:space="0" w:color="auto"/>
      </w:divBdr>
    </w:div>
    <w:div w:id="2031103714">
      <w:bodyDiv w:val="1"/>
      <w:marLeft w:val="0"/>
      <w:marRight w:val="0"/>
      <w:marTop w:val="0"/>
      <w:marBottom w:val="0"/>
      <w:divBdr>
        <w:top w:val="none" w:sz="0" w:space="0" w:color="auto"/>
        <w:left w:val="none" w:sz="0" w:space="0" w:color="auto"/>
        <w:bottom w:val="none" w:sz="0" w:space="0" w:color="auto"/>
        <w:right w:val="none" w:sz="0" w:space="0" w:color="auto"/>
      </w:divBdr>
    </w:div>
    <w:div w:id="2031175064">
      <w:bodyDiv w:val="1"/>
      <w:marLeft w:val="0"/>
      <w:marRight w:val="0"/>
      <w:marTop w:val="0"/>
      <w:marBottom w:val="0"/>
      <w:divBdr>
        <w:top w:val="none" w:sz="0" w:space="0" w:color="auto"/>
        <w:left w:val="none" w:sz="0" w:space="0" w:color="auto"/>
        <w:bottom w:val="none" w:sz="0" w:space="0" w:color="auto"/>
        <w:right w:val="none" w:sz="0" w:space="0" w:color="auto"/>
      </w:divBdr>
    </w:div>
    <w:div w:id="2107798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1045</Words>
  <Characters>5963</Characters>
  <Application>Microsoft Office Word</Application>
  <DocSecurity>4</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Camyl Moreno Pantojas</cp:lastModifiedBy>
  <cp:revision>2</cp:revision>
  <cp:lastPrinted>2025-06-25T13:54:00Z</cp:lastPrinted>
  <dcterms:created xsi:type="dcterms:W3CDTF">2026-05-26T17:35:00Z</dcterms:created>
  <dcterms:modified xsi:type="dcterms:W3CDTF">2026-05-26T17:35:00Z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edc798787d77dbc8f14a5aa77c22d597721fe9218da44b727083135e5451780d</vt:lpwstr>
  </property>
</Properties>
</file>