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AF3E1" w14:textId="77777777" w:rsidR="00735779" w:rsidRPr="00735779" w:rsidRDefault="00735779" w:rsidP="00735779">
      <w:pPr>
        <w:suppressLineNumbers/>
        <w:tabs>
          <w:tab w:val="left" w:pos="648"/>
          <w:tab w:val="left" w:pos="7740"/>
        </w:tabs>
        <w:jc w:val="center"/>
        <w:rPr>
          <w:rFonts w:ascii="Book Antiqua" w:hAnsi="Book Antiqua"/>
          <w:b/>
          <w:bCs/>
          <w:szCs w:val="24"/>
          <w:lang w:val="es-PR"/>
        </w:rPr>
      </w:pPr>
      <w:bookmarkStart w:id="0" w:name="_Hlk138253982"/>
      <w:r w:rsidRPr="00735779">
        <w:rPr>
          <w:rFonts w:ascii="Book Antiqua" w:hAnsi="Book Antiqua"/>
          <w:b/>
          <w:bCs/>
          <w:szCs w:val="24"/>
          <w:lang w:val="es-PR"/>
        </w:rPr>
        <w:t>(TEXTO DE APROBACIÓN FINAL POR LA CÁMARA)</w:t>
      </w:r>
      <w:r w:rsidRPr="00735779">
        <w:rPr>
          <w:rFonts w:ascii="Book Antiqua" w:hAnsi="Book Antiqua"/>
          <w:szCs w:val="24"/>
          <w:lang w:val="es-ES"/>
        </w:rPr>
        <w:fldChar w:fldCharType="begin"/>
      </w:r>
      <w:r w:rsidRPr="00735779">
        <w:rPr>
          <w:rFonts w:ascii="Book Antiqua" w:hAnsi="Book Antiqua"/>
          <w:b/>
          <w:bCs/>
          <w:szCs w:val="24"/>
          <w:lang w:val="es-PR"/>
        </w:rPr>
        <w:instrText xml:space="preserve">PRIVATE </w:instrText>
      </w:r>
      <w:r w:rsidRPr="00735779">
        <w:rPr>
          <w:rFonts w:ascii="Book Antiqua" w:hAnsi="Book Antiqua"/>
          <w:szCs w:val="24"/>
          <w:lang w:val="es-ES"/>
        </w:rPr>
        <w:fldChar w:fldCharType="end"/>
      </w:r>
    </w:p>
    <w:p w14:paraId="7CBADA72" w14:textId="77777777" w:rsidR="00735779" w:rsidRPr="00735779" w:rsidRDefault="00735779" w:rsidP="00735779">
      <w:pPr>
        <w:suppressLineNumbers/>
        <w:tabs>
          <w:tab w:val="left" w:pos="648"/>
          <w:tab w:val="left" w:pos="7740"/>
        </w:tabs>
        <w:jc w:val="center"/>
        <w:rPr>
          <w:rFonts w:ascii="Book Antiqua" w:hAnsi="Book Antiqua"/>
          <w:b/>
          <w:bCs/>
          <w:szCs w:val="24"/>
          <w:lang w:val="es-PR"/>
        </w:rPr>
      </w:pPr>
      <w:r w:rsidRPr="00735779">
        <w:rPr>
          <w:rFonts w:ascii="Book Antiqua" w:hAnsi="Book Antiqua"/>
          <w:b/>
          <w:bCs/>
          <w:szCs w:val="24"/>
          <w:lang w:val="es-PR"/>
        </w:rPr>
        <w:t>(17 DE JUNIO DE 2025)</w:t>
      </w:r>
    </w:p>
    <w:p w14:paraId="275B5435" w14:textId="40AB9B2D" w:rsidR="00735779" w:rsidRPr="00735779" w:rsidRDefault="00735779" w:rsidP="00735779">
      <w:pPr>
        <w:suppressLineNumbers/>
        <w:tabs>
          <w:tab w:val="left" w:pos="648"/>
          <w:tab w:val="left" w:pos="7740"/>
        </w:tabs>
        <w:jc w:val="center"/>
        <w:rPr>
          <w:rFonts w:ascii="Book Antiqua" w:hAnsi="Book Antiqua"/>
          <w:b/>
          <w:bCs/>
          <w:sz w:val="28"/>
          <w:szCs w:val="22"/>
          <w:lang w:val="es-ES_tradnl"/>
        </w:rPr>
      </w:pPr>
      <w:r w:rsidRPr="00735779">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1DE7AAAA" wp14:editId="75D327D2">
                <wp:simplePos x="0" y="0"/>
                <wp:positionH relativeFrom="margin">
                  <wp:posOffset>0</wp:posOffset>
                </wp:positionH>
                <wp:positionV relativeFrom="paragraph">
                  <wp:posOffset>0</wp:posOffset>
                </wp:positionV>
                <wp:extent cx="5943600" cy="22860"/>
                <wp:effectExtent l="0" t="0" r="0" b="0"/>
                <wp:wrapNone/>
                <wp:docPr id="17292510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8744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E68167" w14:textId="121F2FA2" w:rsidR="00FF6BD2" w:rsidRDefault="00457C09" w:rsidP="00640AB5">
      <w:pPr>
        <w:jc w:val="center"/>
        <w:rPr>
          <w:rFonts w:ascii="Book Antiqua" w:hAnsi="Book Antiqua"/>
          <w:sz w:val="28"/>
          <w:lang w:val="es-ES_tradnl"/>
        </w:rPr>
      </w:pPr>
      <w:r w:rsidRPr="00E72EB0">
        <w:rPr>
          <w:rFonts w:ascii="Book Antiqua" w:hAnsi="Book Antiqua"/>
          <w:sz w:val="28"/>
          <w:lang w:val="es-ES_tradnl"/>
        </w:rPr>
        <w:t>GOBIERNO</w:t>
      </w:r>
      <w:r>
        <w:rPr>
          <w:rFonts w:ascii="Book Antiqua" w:hAnsi="Book Antiqua"/>
          <w:sz w:val="28"/>
          <w:lang w:val="es-ES_tradnl"/>
        </w:rPr>
        <w:t xml:space="preserve"> DE PUERTO RICO</w:t>
      </w:r>
    </w:p>
    <w:p w14:paraId="21FF212A" w14:textId="77777777" w:rsidR="00457C09" w:rsidRPr="00F0126B" w:rsidRDefault="00457C09" w:rsidP="00640AB5">
      <w:pPr>
        <w:jc w:val="center"/>
        <w:rPr>
          <w:rFonts w:ascii="Book Antiqua" w:hAnsi="Book Antiqua"/>
          <w:szCs w:val="18"/>
          <w:lang w:val="es-ES_tradnl"/>
        </w:rPr>
      </w:pPr>
    </w:p>
    <w:p w14:paraId="53A80C71" w14:textId="781E4876" w:rsidR="00457C09" w:rsidRDefault="00E72EB0" w:rsidP="00640AB5">
      <w:pPr>
        <w:pStyle w:val="Title2"/>
        <w:rPr>
          <w:rFonts w:ascii="Book Antiqua" w:hAnsi="Book Antiqua"/>
          <w:lang w:val="es-ES_tradnl"/>
        </w:rPr>
      </w:pPr>
      <w:r>
        <w:rPr>
          <w:rFonts w:ascii="Book Antiqua" w:hAnsi="Book Antiqua"/>
          <w:lang w:val="es-ES_tradnl"/>
        </w:rPr>
        <w:t>20m</w:t>
      </w:r>
      <w:r w:rsidR="00457C09">
        <w:rPr>
          <w:rFonts w:ascii="Book Antiqua" w:hAnsi="Book Antiqua"/>
          <w:lang w:val="es-ES_tradnl"/>
        </w:rPr>
        <w:t>a. Asamblea</w:t>
      </w:r>
      <w:r>
        <w:rPr>
          <w:rFonts w:ascii="Book Antiqua" w:hAnsi="Book Antiqua"/>
          <w:lang w:val="es-ES_tradnl"/>
        </w:rPr>
        <w:tab/>
      </w:r>
      <w:r w:rsidR="00457C09">
        <w:rPr>
          <w:rFonts w:ascii="Book Antiqua" w:hAnsi="Book Antiqua"/>
          <w:lang w:val="es-ES_tradnl"/>
        </w:rPr>
        <w:t xml:space="preserve">1ra. </w:t>
      </w:r>
      <w:r w:rsidR="00457C09">
        <w:rPr>
          <w:rFonts w:ascii="Book Antiqua" w:hAnsi="Book Antiqua"/>
          <w:lang w:val="es-ES_tradnl"/>
        </w:rPr>
        <w:tab/>
        <w:t>Sesión</w:t>
      </w:r>
    </w:p>
    <w:p w14:paraId="70F23020" w14:textId="77777777" w:rsidR="00457C09" w:rsidRDefault="00457C09" w:rsidP="00640AB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62D3D1B" w14:textId="77777777" w:rsidR="00457C09" w:rsidRDefault="00457C09" w:rsidP="00640AB5">
      <w:pPr>
        <w:rPr>
          <w:lang w:val="es-ES_tradnl"/>
        </w:rPr>
      </w:pPr>
    </w:p>
    <w:p w14:paraId="608DE37D" w14:textId="77777777" w:rsidR="00457C09" w:rsidRDefault="00457C09" w:rsidP="00640AB5">
      <w:pPr>
        <w:jc w:val="center"/>
        <w:rPr>
          <w:rFonts w:ascii="Book Antiqua" w:hAnsi="Book Antiqua"/>
          <w:b/>
          <w:sz w:val="36"/>
          <w:lang w:val="es-ES_tradnl"/>
        </w:rPr>
      </w:pPr>
      <w:r>
        <w:rPr>
          <w:rFonts w:ascii="Book Antiqua" w:hAnsi="Book Antiqua"/>
          <w:b/>
          <w:sz w:val="36"/>
          <w:lang w:val="es-ES_tradnl"/>
        </w:rPr>
        <w:t>CÁMARA DE REPRESENTANTES</w:t>
      </w:r>
    </w:p>
    <w:p w14:paraId="3E5D1278" w14:textId="77777777" w:rsidR="00457C09" w:rsidRPr="00640AB5" w:rsidRDefault="00457C09" w:rsidP="00640AB5">
      <w:pPr>
        <w:jc w:val="center"/>
        <w:rPr>
          <w:rFonts w:ascii="Book Antiqua" w:hAnsi="Book Antiqua"/>
          <w:b/>
          <w:szCs w:val="24"/>
          <w:lang w:val="es-ES_tradnl"/>
        </w:rPr>
      </w:pPr>
    </w:p>
    <w:p w14:paraId="139A5A31" w14:textId="548A6616" w:rsidR="00457C09" w:rsidRDefault="00457C09" w:rsidP="00640AB5">
      <w:pPr>
        <w:jc w:val="center"/>
        <w:rPr>
          <w:rFonts w:ascii="Book Antiqua" w:hAnsi="Book Antiqua"/>
          <w:b/>
          <w:sz w:val="52"/>
          <w:lang w:val="es-ES_tradnl"/>
        </w:rPr>
      </w:pPr>
      <w:r>
        <w:rPr>
          <w:rFonts w:ascii="Book Antiqua" w:hAnsi="Book Antiqua"/>
          <w:b/>
          <w:sz w:val="52"/>
          <w:lang w:val="es-ES_tradnl"/>
        </w:rPr>
        <w:t xml:space="preserve">P. de la C. </w:t>
      </w:r>
      <w:r w:rsidR="00961B92">
        <w:rPr>
          <w:rFonts w:ascii="Book Antiqua" w:hAnsi="Book Antiqua"/>
          <w:b/>
          <w:sz w:val="52"/>
          <w:lang w:val="es-ES_tradnl"/>
        </w:rPr>
        <w:t>544</w:t>
      </w:r>
    </w:p>
    <w:p w14:paraId="2382C00D" w14:textId="77777777" w:rsidR="00640AB5" w:rsidRPr="00640AB5" w:rsidRDefault="00640AB5" w:rsidP="00640AB5">
      <w:pPr>
        <w:jc w:val="center"/>
        <w:rPr>
          <w:rFonts w:ascii="Book Antiqua" w:hAnsi="Book Antiqua"/>
          <w:b/>
          <w:szCs w:val="24"/>
          <w:lang w:val="es-ES_tradnl"/>
        </w:rPr>
      </w:pPr>
    </w:p>
    <w:p w14:paraId="6A0E79AD" w14:textId="5246DE59" w:rsidR="00457C09" w:rsidRDefault="00961B92" w:rsidP="00640AB5">
      <w:pPr>
        <w:jc w:val="center"/>
        <w:rPr>
          <w:rFonts w:ascii="Book Antiqua" w:hAnsi="Book Antiqua"/>
          <w:lang w:val="es-ES_tradnl"/>
        </w:rPr>
      </w:pPr>
      <w:r>
        <w:rPr>
          <w:rFonts w:ascii="Book Antiqua" w:hAnsi="Book Antiqua"/>
          <w:lang w:val="es-ES_tradnl"/>
        </w:rPr>
        <w:t xml:space="preserve">23 </w:t>
      </w:r>
      <w:r w:rsidR="00457C09">
        <w:rPr>
          <w:rFonts w:ascii="Book Antiqua" w:hAnsi="Book Antiqua"/>
          <w:lang w:val="es-ES_tradnl"/>
        </w:rPr>
        <w:t xml:space="preserve">DE </w:t>
      </w:r>
      <w:r w:rsidR="00E72EB0">
        <w:rPr>
          <w:rFonts w:ascii="Book Antiqua" w:hAnsi="Book Antiqua"/>
          <w:lang w:val="es-ES_tradnl"/>
        </w:rPr>
        <w:t>ABRIL</w:t>
      </w:r>
      <w:r w:rsidR="00457C09">
        <w:rPr>
          <w:rFonts w:ascii="Book Antiqua" w:hAnsi="Book Antiqua"/>
          <w:lang w:val="es-ES_tradnl"/>
        </w:rPr>
        <w:t xml:space="preserve"> DE 202</w:t>
      </w:r>
      <w:r w:rsidR="00AD59D6">
        <w:rPr>
          <w:rFonts w:ascii="Book Antiqua" w:hAnsi="Book Antiqua"/>
          <w:lang w:val="es-ES_tradnl"/>
        </w:rPr>
        <w:t>5</w:t>
      </w:r>
    </w:p>
    <w:p w14:paraId="485EE293" w14:textId="77777777" w:rsidR="00640AB5" w:rsidRDefault="00640AB5" w:rsidP="00640AB5">
      <w:pPr>
        <w:jc w:val="center"/>
        <w:rPr>
          <w:rFonts w:ascii="Book Antiqua" w:hAnsi="Book Antiqua"/>
          <w:lang w:val="es-ES_tradnl"/>
        </w:rPr>
      </w:pPr>
    </w:p>
    <w:p w14:paraId="7B26FD7C" w14:textId="77777777" w:rsidR="00457C09" w:rsidRDefault="00457C09" w:rsidP="00640AB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21D78751" w14:textId="77777777" w:rsidR="00640AB5" w:rsidRDefault="00640AB5" w:rsidP="00640AB5">
      <w:pPr>
        <w:jc w:val="center"/>
        <w:rPr>
          <w:rFonts w:ascii="Book Antiqua" w:hAnsi="Book Antiqua"/>
          <w:lang w:val="es-ES_tradnl"/>
        </w:rPr>
      </w:pPr>
    </w:p>
    <w:p w14:paraId="646EFF46" w14:textId="632146CC" w:rsidR="00457C09" w:rsidRDefault="00855C91" w:rsidP="00640AB5">
      <w:pPr>
        <w:jc w:val="center"/>
        <w:rPr>
          <w:rFonts w:ascii="Book Antiqua" w:hAnsi="Book Antiqua"/>
          <w:lang w:val="es-ES_tradnl"/>
        </w:rPr>
      </w:pPr>
      <w:r w:rsidRPr="00855C91">
        <w:rPr>
          <w:rFonts w:ascii="Book Antiqua" w:hAnsi="Book Antiqua"/>
          <w:lang w:val="es-ES_tradnl"/>
        </w:rPr>
        <w:t>Referido a la Comisión de lo Jurídico</w:t>
      </w:r>
      <w:r w:rsidR="00457C09">
        <w:rPr>
          <w:rFonts w:ascii="Book Antiqua" w:hAnsi="Book Antiqua"/>
          <w:lang w:val="es-ES_tradnl"/>
        </w:rPr>
        <w:t xml:space="preserve"> </w:t>
      </w:r>
    </w:p>
    <w:p w14:paraId="1143F9E6" w14:textId="77777777" w:rsidR="00457C09" w:rsidRDefault="00457C09" w:rsidP="00640AB5">
      <w:pPr>
        <w:jc w:val="both"/>
        <w:rPr>
          <w:rFonts w:ascii="Book Antiqua" w:hAnsi="Book Antiqua"/>
          <w:lang w:val="es-ES_tradnl"/>
        </w:rPr>
      </w:pPr>
    </w:p>
    <w:p w14:paraId="77D69B62" w14:textId="77777777" w:rsidR="00457C09" w:rsidRDefault="00457C09" w:rsidP="00640AB5">
      <w:pPr>
        <w:jc w:val="center"/>
        <w:rPr>
          <w:rFonts w:ascii="Book Antiqua" w:hAnsi="Book Antiqua"/>
          <w:b/>
          <w:sz w:val="28"/>
          <w:lang w:val="es-ES_tradnl"/>
        </w:rPr>
      </w:pPr>
      <w:r>
        <w:rPr>
          <w:rFonts w:ascii="Book Antiqua" w:hAnsi="Book Antiqua"/>
          <w:b/>
          <w:sz w:val="28"/>
          <w:lang w:val="es-ES_tradnl"/>
        </w:rPr>
        <w:t>LEY</w:t>
      </w:r>
    </w:p>
    <w:p w14:paraId="7F13EC98" w14:textId="77777777" w:rsidR="00457C09" w:rsidRDefault="00457C09" w:rsidP="00640AB5">
      <w:pPr>
        <w:jc w:val="both"/>
        <w:rPr>
          <w:rFonts w:ascii="Book Antiqua" w:hAnsi="Book Antiqua"/>
          <w:lang w:val="es-ES_tradnl"/>
        </w:rPr>
      </w:pPr>
    </w:p>
    <w:p w14:paraId="3A6875EF" w14:textId="08178728" w:rsidR="00457C09" w:rsidRPr="00E20D62" w:rsidRDefault="00457C09" w:rsidP="00640AB5">
      <w:pPr>
        <w:ind w:left="720" w:hanging="720"/>
        <w:jc w:val="both"/>
        <w:rPr>
          <w:rFonts w:ascii="Book Antiqua" w:hAnsi="Book Antiqua"/>
          <w:lang w:val="es-PR"/>
        </w:rPr>
      </w:pPr>
      <w:r w:rsidRPr="00E20D62">
        <w:rPr>
          <w:rFonts w:ascii="Book Antiqua" w:hAnsi="Book Antiqua"/>
          <w:lang w:val="es-ES_tradnl"/>
        </w:rPr>
        <w:t xml:space="preserve">Para </w:t>
      </w:r>
      <w:r w:rsidRPr="00E20D62">
        <w:rPr>
          <w:rFonts w:ascii="Book Antiqua" w:hAnsi="Book Antiqua"/>
          <w:lang w:val="es-PR"/>
        </w:rPr>
        <w:t xml:space="preserve">enmendar el </w:t>
      </w:r>
      <w:r w:rsidR="00DD6B67" w:rsidRPr="00E20D62">
        <w:rPr>
          <w:rFonts w:ascii="Book Antiqua" w:hAnsi="Book Antiqua"/>
          <w:lang w:val="es-ES"/>
        </w:rPr>
        <w:t xml:space="preserve">Artículo 4-A de la Ley 88-1986, </w:t>
      </w:r>
      <w:r w:rsidR="00D454B7" w:rsidRPr="00E20D62">
        <w:rPr>
          <w:rFonts w:ascii="Book Antiqua" w:hAnsi="Book Antiqua"/>
          <w:lang w:val="es-ES"/>
        </w:rPr>
        <w:t xml:space="preserve">según enmendada, </w:t>
      </w:r>
      <w:r w:rsidR="00DD6B67" w:rsidRPr="00E20D62">
        <w:rPr>
          <w:rFonts w:ascii="Book Antiqua" w:hAnsi="Book Antiqua"/>
          <w:lang w:val="es-ES"/>
        </w:rPr>
        <w:t xml:space="preserve">conocida como “Ley de Menores de Puerto Rico”, </w:t>
      </w:r>
      <w:r w:rsidR="00D454B7" w:rsidRPr="00E20D62">
        <w:rPr>
          <w:rFonts w:ascii="Book Antiqua" w:hAnsi="Book Antiqua"/>
          <w:lang w:val="es-ES"/>
        </w:rPr>
        <w:t xml:space="preserve">con el propósito </w:t>
      </w:r>
      <w:r w:rsidR="00DD6B67" w:rsidRPr="00E20D62">
        <w:rPr>
          <w:rFonts w:ascii="Book Antiqua" w:hAnsi="Book Antiqua"/>
          <w:lang w:val="es-ES"/>
        </w:rPr>
        <w:t xml:space="preserve">de establecer una excepción a la exigencia de agotar los remedios administrativos cuando </w:t>
      </w:r>
      <w:r w:rsidR="00D454B7" w:rsidRPr="00E20D62">
        <w:rPr>
          <w:rFonts w:ascii="Book Antiqua" w:hAnsi="Book Antiqua"/>
          <w:lang w:val="es-ES"/>
        </w:rPr>
        <w:t xml:space="preserve">un </w:t>
      </w:r>
      <w:r w:rsidR="00DD6B67" w:rsidRPr="00E20D62">
        <w:rPr>
          <w:rFonts w:ascii="Book Antiqua" w:hAnsi="Book Antiqua"/>
          <w:lang w:val="es-ES"/>
        </w:rPr>
        <w:t>menor esté imputado de faltas graves que representen una amenaza sustancial a la seguridad escolar o a la integridad física de otras personas; y para otros fines relacionados.</w:t>
      </w:r>
    </w:p>
    <w:p w14:paraId="54812F42" w14:textId="77777777" w:rsidR="00457C09" w:rsidRPr="00457C09" w:rsidRDefault="00457C09" w:rsidP="00640AB5">
      <w:pPr>
        <w:ind w:left="360" w:hanging="360"/>
        <w:jc w:val="both"/>
        <w:rPr>
          <w:rFonts w:ascii="Book Antiqua" w:hAnsi="Book Antiqua"/>
          <w:lang w:val="es-PR"/>
        </w:rPr>
      </w:pPr>
    </w:p>
    <w:p w14:paraId="1F86321B" w14:textId="7A186F50" w:rsidR="00640AB5" w:rsidRDefault="00457C09" w:rsidP="00F35175">
      <w:pPr>
        <w:ind w:firstLine="360"/>
        <w:jc w:val="center"/>
        <w:rPr>
          <w:rFonts w:ascii="Book Antiqua" w:hAnsi="Book Antiqua"/>
          <w:lang w:val="es-ES_tradnl"/>
        </w:rPr>
      </w:pPr>
      <w:r>
        <w:rPr>
          <w:rFonts w:ascii="Book Antiqua" w:hAnsi="Book Antiqua"/>
          <w:lang w:val="es-ES_tradnl"/>
        </w:rPr>
        <w:t>EXPOSICIÓN DE MOTIVOS</w:t>
      </w:r>
    </w:p>
    <w:p w14:paraId="71D60529" w14:textId="77777777" w:rsidR="00F35175" w:rsidRDefault="00F35175" w:rsidP="00F35175">
      <w:pPr>
        <w:ind w:firstLine="360"/>
        <w:jc w:val="center"/>
        <w:rPr>
          <w:rFonts w:ascii="Book Antiqua" w:hAnsi="Book Antiqua"/>
          <w:lang w:val="es-ES_tradnl"/>
        </w:rPr>
      </w:pPr>
    </w:p>
    <w:p w14:paraId="6CFD7C0F" w14:textId="514EEE8A" w:rsidR="007D662C" w:rsidRPr="00E20D62" w:rsidRDefault="007D662C" w:rsidP="00F35175">
      <w:pPr>
        <w:ind w:firstLine="360"/>
        <w:jc w:val="both"/>
        <w:rPr>
          <w:rFonts w:ascii="Book Antiqua" w:hAnsi="Book Antiqua"/>
          <w:lang w:val="es-ES"/>
        </w:rPr>
      </w:pPr>
      <w:r w:rsidRPr="00E20D62">
        <w:rPr>
          <w:rFonts w:ascii="Book Antiqua" w:hAnsi="Book Antiqua"/>
          <w:lang w:val="es-ES"/>
        </w:rPr>
        <w:t>La Ley Núm. 47-2022 enmendó la</w:t>
      </w:r>
      <w:r w:rsidR="00D454B7" w:rsidRPr="00E20D62">
        <w:rPr>
          <w:rFonts w:ascii="Book Antiqua" w:hAnsi="Book Antiqua"/>
          <w:lang w:val="es-ES"/>
        </w:rPr>
        <w:t xml:space="preserve"> </w:t>
      </w:r>
      <w:r w:rsidR="00D454B7" w:rsidRPr="00E20D62">
        <w:rPr>
          <w:rFonts w:ascii="Book Antiqua" w:hAnsi="Book Antiqua"/>
          <w:color w:val="000000"/>
          <w:shd w:val="clear" w:color="auto" w:fill="FFFFFF"/>
          <w:lang w:val="es-ES"/>
        </w:rPr>
        <w:t>Ley Núm. 88 del 9 de julio de 1986, según enmendada, conocida como “</w:t>
      </w:r>
      <w:r w:rsidRPr="00E20D62">
        <w:rPr>
          <w:rFonts w:ascii="Book Antiqua" w:hAnsi="Book Antiqua"/>
          <w:lang w:val="es-ES"/>
        </w:rPr>
        <w:t>Ley de Menores de Puerto Rico</w:t>
      </w:r>
      <w:r w:rsidR="00D454B7" w:rsidRPr="00E20D62">
        <w:rPr>
          <w:rFonts w:ascii="Book Antiqua" w:hAnsi="Book Antiqua"/>
          <w:lang w:val="es-ES"/>
        </w:rPr>
        <w:t>”,</w:t>
      </w:r>
      <w:r w:rsidRPr="00E20D62">
        <w:rPr>
          <w:rFonts w:ascii="Book Antiqua" w:hAnsi="Book Antiqua"/>
          <w:lang w:val="es-ES"/>
        </w:rPr>
        <w:t xml:space="preserve"> con el objetivo de reducir la intervención judicial en situaciones que pudieran ser atendidas mediante procedimientos administrativos internos en las instituciones educativas. Como parte de dicha enmienda, se incorporó el Artículo 4-A, que dispone que antes de que el Tribunal de Menores pueda asumir jurisdicción sobre una querella relacionada con incidentes ocurridos en contextos escolares, deberá agotarse el procedimiento administrativo correspondiente ante el Departamento de Educación.</w:t>
      </w:r>
    </w:p>
    <w:p w14:paraId="1C770709" w14:textId="77777777" w:rsidR="007D662C" w:rsidRPr="007D662C" w:rsidRDefault="007D662C" w:rsidP="00F35175">
      <w:pPr>
        <w:ind w:firstLine="360"/>
        <w:jc w:val="both"/>
        <w:rPr>
          <w:rFonts w:ascii="Book Antiqua" w:hAnsi="Book Antiqua"/>
          <w:lang w:val="es-ES"/>
        </w:rPr>
      </w:pPr>
    </w:p>
    <w:p w14:paraId="4ED205DE" w14:textId="31C44287" w:rsidR="00F31C6B" w:rsidRPr="00E20D62" w:rsidRDefault="007D662C" w:rsidP="00F35175">
      <w:pPr>
        <w:ind w:firstLine="360"/>
        <w:jc w:val="both"/>
        <w:rPr>
          <w:rFonts w:ascii="Book Antiqua" w:hAnsi="Book Antiqua"/>
          <w:lang w:val="es-ES"/>
        </w:rPr>
      </w:pPr>
      <w:r w:rsidRPr="00E20D62">
        <w:rPr>
          <w:rFonts w:ascii="Book Antiqua" w:hAnsi="Book Antiqua"/>
          <w:lang w:val="es-ES"/>
        </w:rPr>
        <w:t>Esta política pública</w:t>
      </w:r>
      <w:r w:rsidR="00F45847" w:rsidRPr="00E20D62">
        <w:rPr>
          <w:rFonts w:ascii="Book Antiqua" w:hAnsi="Book Antiqua"/>
          <w:lang w:val="es-ES"/>
        </w:rPr>
        <w:t xml:space="preserve"> tuvo y</w:t>
      </w:r>
      <w:r w:rsidRPr="00E20D62">
        <w:rPr>
          <w:rFonts w:ascii="Book Antiqua" w:hAnsi="Book Antiqua"/>
          <w:lang w:val="es-ES"/>
        </w:rPr>
        <w:t xml:space="preserve"> tiene como fin evitar la criminalización innecesaria de menores de edad por incidentes escolares que pueden corregirse mediante medidas disciplinarias adecuadas, con el propósito de preservar su rehabilitación y evitar el estigma de un proceso judicial. No obstante, la aplicación automática y generalizada de </w:t>
      </w:r>
      <w:r w:rsidRPr="00E20D62">
        <w:rPr>
          <w:rFonts w:ascii="Book Antiqua" w:hAnsi="Book Antiqua"/>
          <w:lang w:val="es-ES"/>
        </w:rPr>
        <w:lastRenderedPageBreak/>
        <w:t>este precepto, sin distinción de la naturaleza o gravedad de la falta imputada, ha generado consecuencias adversas para el interés público y la seguridad de las comunidades escolares.</w:t>
      </w:r>
    </w:p>
    <w:p w14:paraId="03410DAC" w14:textId="77777777" w:rsidR="00F35175" w:rsidRPr="007D662C" w:rsidRDefault="00F35175" w:rsidP="00F35175">
      <w:pPr>
        <w:ind w:firstLine="360"/>
        <w:jc w:val="both"/>
        <w:rPr>
          <w:rFonts w:ascii="Book Antiqua" w:hAnsi="Book Antiqua"/>
          <w:lang w:val="es-ES"/>
        </w:rPr>
      </w:pPr>
    </w:p>
    <w:p w14:paraId="39058961" w14:textId="4E02876D" w:rsidR="007D662C" w:rsidRDefault="007D662C" w:rsidP="00F35175">
      <w:pPr>
        <w:ind w:firstLine="360"/>
        <w:jc w:val="both"/>
        <w:rPr>
          <w:rFonts w:ascii="Book Antiqua" w:hAnsi="Book Antiqua"/>
          <w:lang w:val="es-ES"/>
        </w:rPr>
      </w:pPr>
      <w:r w:rsidRPr="007D662C">
        <w:rPr>
          <w:rFonts w:ascii="Book Antiqua" w:hAnsi="Book Antiqua"/>
          <w:lang w:val="es-ES"/>
        </w:rPr>
        <w:t xml:space="preserve">En la práctica, se ha observado que la exigencia del agotamiento </w:t>
      </w:r>
      <w:r w:rsidR="00F31C6B">
        <w:rPr>
          <w:rFonts w:ascii="Book Antiqua" w:hAnsi="Book Antiqua"/>
          <w:lang w:val="es-ES"/>
        </w:rPr>
        <w:t xml:space="preserve">de remedios </w:t>
      </w:r>
      <w:r w:rsidRPr="007D662C">
        <w:rPr>
          <w:rFonts w:ascii="Book Antiqua" w:hAnsi="Book Antiqua"/>
          <w:lang w:val="es-ES"/>
        </w:rPr>
        <w:t>administrativo</w:t>
      </w:r>
      <w:r w:rsidR="00F31C6B">
        <w:rPr>
          <w:rFonts w:ascii="Book Antiqua" w:hAnsi="Book Antiqua"/>
          <w:lang w:val="es-ES"/>
        </w:rPr>
        <w:t>s</w:t>
      </w:r>
      <w:r w:rsidRPr="007D662C">
        <w:rPr>
          <w:rFonts w:ascii="Book Antiqua" w:hAnsi="Book Antiqua"/>
          <w:lang w:val="es-ES"/>
        </w:rPr>
        <w:t>, incluso en casos donde las imputaciones constituyen delitos graves o amenazan la integridad física de estudiantes y personal docente, ha provocado dilaciones procesales que afectan la eficacia de la justicia. El proceso interno del Departamento de Educación</w:t>
      </w:r>
      <w:r w:rsidR="00DD6B67">
        <w:rPr>
          <w:rFonts w:ascii="Book Antiqua" w:hAnsi="Book Antiqua"/>
          <w:lang w:val="es-ES"/>
        </w:rPr>
        <w:t xml:space="preserve">, </w:t>
      </w:r>
      <w:r w:rsidRPr="007D662C">
        <w:rPr>
          <w:rFonts w:ascii="Book Antiqua" w:hAnsi="Book Antiqua"/>
          <w:lang w:val="es-ES"/>
        </w:rPr>
        <w:t>que incluye la presentación de querellas, celebración de vistas y la notificación de sanciones</w:t>
      </w:r>
      <w:r w:rsidR="00DD6B67">
        <w:rPr>
          <w:rFonts w:ascii="Book Antiqua" w:hAnsi="Book Antiqua"/>
          <w:lang w:val="es-ES"/>
        </w:rPr>
        <w:t>,</w:t>
      </w:r>
      <w:r w:rsidRPr="007D662C">
        <w:rPr>
          <w:rFonts w:ascii="Book Antiqua" w:hAnsi="Book Antiqua"/>
          <w:lang w:val="es-ES"/>
        </w:rPr>
        <w:t xml:space="preserve"> puede extenderse por semanas o meses, impidiendo así una intervención judicial oportuna. Estas demoras pueden frustrar el curso del proceso judicial, desalentar a las partes perjudicadas de proseguir con sus denuncias y debilitar la confianza en el sistema de justicia y la percepción de seguridad dentro del entorno escolar.</w:t>
      </w:r>
    </w:p>
    <w:p w14:paraId="5FB33D11" w14:textId="77777777" w:rsidR="00080F11" w:rsidRPr="007D662C" w:rsidRDefault="00080F11" w:rsidP="00F35175">
      <w:pPr>
        <w:ind w:firstLine="360"/>
        <w:jc w:val="both"/>
        <w:rPr>
          <w:rFonts w:ascii="Book Antiqua" w:hAnsi="Book Antiqua"/>
          <w:lang w:val="es-ES"/>
        </w:rPr>
      </w:pPr>
    </w:p>
    <w:p w14:paraId="3D0E3624" w14:textId="3617C8DB" w:rsidR="007D662C" w:rsidRPr="00E20D62" w:rsidRDefault="00F45847" w:rsidP="00702A28">
      <w:pPr>
        <w:ind w:firstLine="360"/>
        <w:jc w:val="both"/>
        <w:rPr>
          <w:rFonts w:ascii="Book Antiqua" w:hAnsi="Book Antiqua"/>
          <w:lang w:val="es-ES"/>
        </w:rPr>
      </w:pPr>
      <w:r w:rsidRPr="00E20D62">
        <w:rPr>
          <w:rFonts w:ascii="Book Antiqua" w:hAnsi="Book Antiqua"/>
          <w:lang w:val="es-ES"/>
        </w:rPr>
        <w:t xml:space="preserve">Los </w:t>
      </w:r>
      <w:r w:rsidR="007D662C" w:rsidRPr="00E20D62">
        <w:rPr>
          <w:rFonts w:ascii="Book Antiqua" w:hAnsi="Book Antiqua"/>
          <w:lang w:val="es-ES"/>
        </w:rPr>
        <w:t>tribunales han interpretado el Artículo 4-A de manera estricta, desestimando querellas incluso en casos donde se alegan faltas graves como agresiones sexuales, amenazas de muerte, posesión de armas de fuego o distribución de sustancias controladas. Aunque la doctrina del agotamiento de remedios administrativos reconoce ciertas excepciones jurisprudenciales, el lenguaje categórico de</w:t>
      </w:r>
      <w:r w:rsidR="00F31C6B" w:rsidRPr="00E20D62">
        <w:rPr>
          <w:rFonts w:ascii="Book Antiqua" w:hAnsi="Book Antiqua"/>
          <w:lang w:val="es-ES"/>
        </w:rPr>
        <w:t xml:space="preserve"> la </w:t>
      </w:r>
      <w:r w:rsidRPr="00E20D62">
        <w:rPr>
          <w:rFonts w:ascii="Book Antiqua" w:hAnsi="Book Antiqua"/>
          <w:lang w:val="es-ES"/>
        </w:rPr>
        <w:t>ley</w:t>
      </w:r>
      <w:r w:rsidR="007D662C" w:rsidRPr="00E20D62">
        <w:rPr>
          <w:rFonts w:ascii="Book Antiqua" w:hAnsi="Book Antiqua"/>
          <w:lang w:val="es-ES"/>
        </w:rPr>
        <w:t xml:space="preserve"> ha limitado la capacidad del foro judicial para ejercer su discreción en estos casos.</w:t>
      </w:r>
      <w:r w:rsidR="00CE2D97" w:rsidRPr="00E20D62">
        <w:rPr>
          <w:rFonts w:ascii="Book Antiqua" w:hAnsi="Book Antiqua"/>
          <w:lang w:val="es-ES"/>
        </w:rPr>
        <w:t xml:space="preserve"> </w:t>
      </w:r>
      <w:r w:rsidR="003350CF" w:rsidRPr="00E20D62">
        <w:rPr>
          <w:rFonts w:ascii="Book Antiqua" w:hAnsi="Book Antiqua"/>
          <w:lang w:val="es-ES"/>
        </w:rPr>
        <w:t>Ante este panorama</w:t>
      </w:r>
      <w:r w:rsidR="007D662C" w:rsidRPr="00E20D62">
        <w:rPr>
          <w:rFonts w:ascii="Book Antiqua" w:hAnsi="Book Antiqua"/>
          <w:lang w:val="es-ES"/>
        </w:rPr>
        <w:t xml:space="preserve">, </w:t>
      </w:r>
      <w:r w:rsidRPr="00E20D62">
        <w:rPr>
          <w:rFonts w:ascii="Book Antiqua" w:hAnsi="Book Antiqua"/>
          <w:lang w:val="es-ES"/>
        </w:rPr>
        <w:t xml:space="preserve">mediante esta ley enmendamos  </w:t>
      </w:r>
      <w:r w:rsidR="007D662C" w:rsidRPr="00E20D62">
        <w:rPr>
          <w:rFonts w:ascii="Book Antiqua" w:hAnsi="Book Antiqua"/>
          <w:lang w:val="es-ES"/>
        </w:rPr>
        <w:t>el Artículo 4-A</w:t>
      </w:r>
      <w:r w:rsidRPr="00E20D62">
        <w:rPr>
          <w:rFonts w:ascii="Book Antiqua" w:hAnsi="Book Antiqua"/>
          <w:lang w:val="es-ES"/>
        </w:rPr>
        <w:t>, antes citado,</w:t>
      </w:r>
      <w:r w:rsidR="007D662C" w:rsidRPr="00E20D62">
        <w:rPr>
          <w:rFonts w:ascii="Book Antiqua" w:hAnsi="Book Antiqua"/>
          <w:lang w:val="es-ES"/>
        </w:rPr>
        <w:t xml:space="preserve"> a los fines de establecer una excepción clara y específica que </w:t>
      </w:r>
      <w:r w:rsidR="00702A28" w:rsidRPr="00E20D62">
        <w:rPr>
          <w:rFonts w:ascii="Book Antiqua" w:hAnsi="Book Antiqua"/>
          <w:lang w:val="es-ES"/>
        </w:rPr>
        <w:t xml:space="preserve">le </w:t>
      </w:r>
      <w:r w:rsidR="007D662C" w:rsidRPr="00E20D62">
        <w:rPr>
          <w:rFonts w:ascii="Book Antiqua" w:hAnsi="Book Antiqua"/>
          <w:lang w:val="es-ES"/>
        </w:rPr>
        <w:t>permita al tribunal asumir jurisdicción inmediata</w:t>
      </w:r>
      <w:r w:rsidR="00702A28" w:rsidRPr="00E20D62">
        <w:rPr>
          <w:rFonts w:ascii="Book Antiqua" w:hAnsi="Book Antiqua"/>
          <w:lang w:val="es-ES"/>
        </w:rPr>
        <w:t xml:space="preserve"> sobre una persona menor de edad a la que se le imputa una falta que haya tenido lugar en un plantel escolar, ya sea en las inmediaciones de la escuela, en la transportación escolar o en actividades escolares, deportivas con fin recreativo, cultural o académico, cuando </w:t>
      </w:r>
      <w:r w:rsidR="007D662C" w:rsidRPr="00E20D62">
        <w:rPr>
          <w:rFonts w:ascii="Book Antiqua" w:hAnsi="Book Antiqua"/>
          <w:lang w:val="es-ES"/>
        </w:rPr>
        <w:t xml:space="preserve">la conducta imputada al menor represente una amenaza sustancial a la seguridad escolar o a la integridad física de otras personas. </w:t>
      </w:r>
      <w:r w:rsidRPr="00E20D62">
        <w:rPr>
          <w:rFonts w:ascii="Book Antiqua" w:hAnsi="Book Antiqua"/>
          <w:lang w:val="es-ES"/>
        </w:rPr>
        <w:t xml:space="preserve">Con ello, preservamos </w:t>
      </w:r>
      <w:r w:rsidR="007D662C" w:rsidRPr="00E20D62">
        <w:rPr>
          <w:rFonts w:ascii="Book Antiqua" w:hAnsi="Book Antiqua"/>
          <w:lang w:val="es-ES"/>
        </w:rPr>
        <w:t>el balance entre la protección de los derechos del menor y la responsabilidad del Estado de proteger la vida, la integridad y el bienestar de toda la comunidad escolar.</w:t>
      </w:r>
    </w:p>
    <w:p w14:paraId="3317836E" w14:textId="77777777" w:rsidR="00080F11" w:rsidRPr="007D662C" w:rsidRDefault="00080F11" w:rsidP="00F35175">
      <w:pPr>
        <w:ind w:firstLine="360"/>
        <w:jc w:val="both"/>
        <w:rPr>
          <w:rFonts w:ascii="Book Antiqua" w:hAnsi="Book Antiqua"/>
          <w:lang w:val="es-ES"/>
        </w:rPr>
      </w:pPr>
    </w:p>
    <w:p w14:paraId="05797A2A" w14:textId="61F9A10F" w:rsidR="007D662C" w:rsidRPr="00E20D62" w:rsidRDefault="00F45847" w:rsidP="00F35175">
      <w:pPr>
        <w:ind w:firstLine="360"/>
        <w:jc w:val="both"/>
        <w:rPr>
          <w:rFonts w:ascii="Book Antiqua" w:hAnsi="Book Antiqua"/>
          <w:lang w:val="es-ES"/>
        </w:rPr>
      </w:pPr>
      <w:r w:rsidRPr="00E20D62">
        <w:rPr>
          <w:rFonts w:ascii="Book Antiqua" w:hAnsi="Book Antiqua"/>
          <w:lang w:val="es-ES"/>
        </w:rPr>
        <w:t>Esta ley</w:t>
      </w:r>
      <w:r w:rsidR="007D662C" w:rsidRPr="00E20D62">
        <w:rPr>
          <w:rFonts w:ascii="Book Antiqua" w:hAnsi="Book Antiqua"/>
          <w:lang w:val="es-ES"/>
        </w:rPr>
        <w:t xml:space="preserve"> no trastoca la intención original del legislador</w:t>
      </w:r>
      <w:r w:rsidRPr="00E20D62">
        <w:rPr>
          <w:rFonts w:ascii="Book Antiqua" w:hAnsi="Book Antiqua"/>
          <w:lang w:val="es-ES"/>
        </w:rPr>
        <w:t xml:space="preserve"> en la Ley Núm. 47-2022, </w:t>
      </w:r>
      <w:r w:rsidR="007D662C" w:rsidRPr="00E20D62">
        <w:rPr>
          <w:rFonts w:ascii="Book Antiqua" w:hAnsi="Book Antiqua"/>
          <w:lang w:val="es-ES"/>
        </w:rPr>
        <w:t>de evitar la judicialización innecesaria de menores por incidentes escolares de naturaleza leve, tales como agresiones simples o alteraciones a la paz. Por el contrario, fortalece la política pública al establecer un mecanismo separado que permite atender con urgencia y proporcionalidad aquellos casos cuya gravedad exige una intervención judicial inmediata.</w:t>
      </w:r>
    </w:p>
    <w:p w14:paraId="76684E5A" w14:textId="77777777" w:rsidR="00F35175" w:rsidRPr="007D662C" w:rsidRDefault="00F35175" w:rsidP="00F35175">
      <w:pPr>
        <w:ind w:firstLine="360"/>
        <w:jc w:val="both"/>
        <w:rPr>
          <w:rFonts w:ascii="Book Antiqua" w:hAnsi="Book Antiqua"/>
          <w:lang w:val="es-ES"/>
        </w:rPr>
      </w:pPr>
    </w:p>
    <w:p w14:paraId="52194634" w14:textId="2CAD9B1A" w:rsidR="00457C09" w:rsidRDefault="00476FAF" w:rsidP="00F35175">
      <w:pPr>
        <w:ind w:firstLine="360"/>
        <w:jc w:val="both"/>
        <w:rPr>
          <w:rFonts w:ascii="Book Antiqua" w:hAnsi="Book Antiqua"/>
          <w:lang w:val="es-ES"/>
        </w:rPr>
      </w:pPr>
      <w:r w:rsidRPr="00476FAF">
        <w:rPr>
          <w:rFonts w:ascii="Book Antiqua" w:hAnsi="Book Antiqua"/>
          <w:lang w:val="es-ES"/>
        </w:rPr>
        <w:t xml:space="preserve">La educación constituye un instrumento esencial para la formación de ciudadanos íntegros. </w:t>
      </w:r>
      <w:r w:rsidR="00080F11">
        <w:rPr>
          <w:rFonts w:ascii="Book Antiqua" w:hAnsi="Book Antiqua"/>
          <w:lang w:val="es-ES"/>
        </w:rPr>
        <w:t>Sin embargo</w:t>
      </w:r>
      <w:r w:rsidRPr="00476FAF">
        <w:rPr>
          <w:rFonts w:ascii="Book Antiqua" w:hAnsi="Book Antiqua"/>
          <w:lang w:val="es-ES"/>
        </w:rPr>
        <w:t xml:space="preserve">, este proceso formativo debe desarrollarse en un entorno que garantice la seguridad de todos sus componentes. Proteger a las víctimas, restaurar la paz escolar y asegurar una respuesta estatal que sea efectiva y proporcional no deben considerarse meras aspiraciones. Es deber del Estado revisar y adecuar la legislación </w:t>
      </w:r>
      <w:r w:rsidRPr="00476FAF">
        <w:rPr>
          <w:rFonts w:ascii="Book Antiqua" w:hAnsi="Book Antiqua"/>
          <w:lang w:val="es-ES"/>
        </w:rPr>
        <w:lastRenderedPageBreak/>
        <w:t>vigente a fin de alcanzar dichos objetivos y promover un ambiente escolar justo, seguro y restaurativo.</w:t>
      </w:r>
    </w:p>
    <w:p w14:paraId="1752ED2E" w14:textId="77777777" w:rsidR="00476FAF" w:rsidRPr="00457C09" w:rsidRDefault="00476FAF" w:rsidP="00640AB5">
      <w:pPr>
        <w:ind w:firstLine="360"/>
        <w:jc w:val="both"/>
        <w:rPr>
          <w:rFonts w:ascii="Book Antiqua" w:hAnsi="Book Antiqua"/>
          <w:lang w:val="es-PR"/>
        </w:rPr>
      </w:pPr>
    </w:p>
    <w:p w14:paraId="2EA72B4F" w14:textId="77777777" w:rsidR="00457C09" w:rsidRDefault="00457C09" w:rsidP="00640AB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E35372F" w14:textId="77777777" w:rsidR="00457C09" w:rsidRDefault="00457C09" w:rsidP="00457C09">
      <w:pPr>
        <w:spacing w:line="480" w:lineRule="auto"/>
        <w:jc w:val="both"/>
        <w:rPr>
          <w:rFonts w:ascii="Book Antiqua" w:hAnsi="Book Antiqua"/>
          <w:lang w:val="es-ES_tradnl"/>
        </w:rPr>
        <w:sectPr w:rsidR="00457C09">
          <w:headerReference w:type="default" r:id="rId11"/>
          <w:type w:val="continuous"/>
          <w:pgSz w:w="12240" w:h="15840" w:code="1"/>
          <w:pgMar w:top="1440" w:right="1440" w:bottom="1440" w:left="1440" w:header="720" w:footer="720" w:gutter="0"/>
          <w:cols w:space="720"/>
          <w:titlePg/>
        </w:sectPr>
      </w:pPr>
    </w:p>
    <w:p w14:paraId="3A92FCD6" w14:textId="574900CC"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Sección 1.-Se enmienda el </w:t>
      </w:r>
      <w:r w:rsidR="00880A6C" w:rsidRPr="00E20D62">
        <w:rPr>
          <w:rFonts w:ascii="Book Antiqua" w:hAnsi="Book Antiqua"/>
          <w:lang w:val="es-ES"/>
        </w:rPr>
        <w:t>Artículo 4-A de la Ley 88-1986</w:t>
      </w:r>
      <w:r w:rsidRPr="00E20D62">
        <w:rPr>
          <w:rFonts w:ascii="Book Antiqua" w:hAnsi="Book Antiqua"/>
          <w:lang w:val="es-PR"/>
        </w:rPr>
        <w:t>, según enmendada</w:t>
      </w:r>
      <w:r w:rsidR="00707042" w:rsidRPr="00E20D62">
        <w:rPr>
          <w:rFonts w:ascii="Book Antiqua" w:hAnsi="Book Antiqua"/>
          <w:lang w:val="es-PR"/>
        </w:rPr>
        <w:t>, para que lea como sigue</w:t>
      </w:r>
      <w:r w:rsidRPr="00E20D62">
        <w:rPr>
          <w:rFonts w:ascii="Book Antiqua" w:hAnsi="Book Antiqua"/>
          <w:lang w:val="es-PR"/>
        </w:rPr>
        <w:t xml:space="preserve">: </w:t>
      </w:r>
    </w:p>
    <w:p w14:paraId="38E95970" w14:textId="3BDDA530" w:rsidR="00457C09" w:rsidRPr="00E20D62" w:rsidRDefault="00A366CD" w:rsidP="00A366CD">
      <w:pPr>
        <w:spacing w:line="480" w:lineRule="auto"/>
        <w:ind w:firstLine="360"/>
        <w:jc w:val="both"/>
        <w:rPr>
          <w:rFonts w:ascii="Book Antiqua" w:hAnsi="Book Antiqua"/>
          <w:lang w:val="es-ES"/>
        </w:rPr>
      </w:pPr>
      <w:r w:rsidRPr="00E20D62">
        <w:rPr>
          <w:rFonts w:ascii="Book Antiqua" w:hAnsi="Book Antiqua"/>
          <w:lang w:val="es-ES"/>
        </w:rPr>
        <w:t xml:space="preserve">“Artículo 4-A – Agotamiento de remedios administrativos </w:t>
      </w:r>
      <w:r w:rsidR="00457C09" w:rsidRPr="00E20D62">
        <w:rPr>
          <w:rFonts w:ascii="Book Antiqua" w:hAnsi="Book Antiqua"/>
          <w:lang w:val="es-PR"/>
        </w:rPr>
        <w:tab/>
      </w:r>
    </w:p>
    <w:p w14:paraId="00E75F8B" w14:textId="00B55887" w:rsidR="00880A6C" w:rsidRPr="00E20D62" w:rsidRDefault="00A366CD" w:rsidP="00A92FA3">
      <w:pPr>
        <w:spacing w:line="480" w:lineRule="auto"/>
        <w:ind w:firstLine="720"/>
        <w:jc w:val="both"/>
        <w:rPr>
          <w:rFonts w:ascii="Book Antiqua" w:hAnsi="Book Antiqua"/>
          <w:lang w:val="es-PR"/>
        </w:rPr>
      </w:pPr>
      <w:r w:rsidRPr="00E20D62">
        <w:rPr>
          <w:rFonts w:ascii="Book Antiqua" w:hAnsi="Book Antiqua"/>
          <w:lang w:val="es-ES"/>
        </w:rPr>
        <w:t>Antes del Tribunal ejercer su jurisdicción sobre la persona menor de edad, deberá agotarse todo remedio administrativo establecido en el sistema de educación pública o privada, según sea el caso, cuando la falta que se impute haya tenido lugar en un plantel escolar, ya sea en las inmediaciones de la escuela, en la transportación escolar o en actividades escolares, deportivas con</w:t>
      </w:r>
      <w:r w:rsidRPr="00E20D62">
        <w:rPr>
          <w:lang w:val="es-ES"/>
        </w:rPr>
        <w:t xml:space="preserve"> </w:t>
      </w:r>
      <w:r w:rsidRPr="00E20D62">
        <w:rPr>
          <w:rFonts w:ascii="Book Antiqua" w:hAnsi="Book Antiqua"/>
          <w:lang w:val="es-ES"/>
        </w:rPr>
        <w:t>fin recreativo, cultural o académico.</w:t>
      </w:r>
      <w:r w:rsidRPr="00E20D62">
        <w:rPr>
          <w:rFonts w:ascii="Book Antiqua" w:hAnsi="Book Antiqua"/>
          <w:b/>
          <w:bCs/>
          <w:lang w:val="es-ES"/>
        </w:rPr>
        <w:t xml:space="preserve"> </w:t>
      </w:r>
    </w:p>
    <w:p w14:paraId="1FFB9A13" w14:textId="118AB56A" w:rsidR="00A366CD" w:rsidRPr="00E20D62" w:rsidRDefault="00880A6C" w:rsidP="00E20D62">
      <w:pPr>
        <w:spacing w:line="480" w:lineRule="auto"/>
        <w:ind w:firstLine="720"/>
        <w:jc w:val="both"/>
        <w:rPr>
          <w:rFonts w:ascii="Book Antiqua" w:hAnsi="Book Antiqua"/>
          <w:lang w:val="es-PR"/>
        </w:rPr>
      </w:pPr>
      <w:r w:rsidRPr="00E20D62">
        <w:rPr>
          <w:rFonts w:ascii="Book Antiqua" w:hAnsi="Book Antiqua"/>
          <w:lang w:val="es-PR"/>
        </w:rPr>
        <w:t xml:space="preserve">No obstante, el Tribunal podrá asumir jurisdicción inmediata </w:t>
      </w:r>
      <w:r w:rsidRPr="00E20D62">
        <w:rPr>
          <w:rFonts w:ascii="Book Antiqua" w:hAnsi="Book Antiqua"/>
          <w:lang w:val="es-ES"/>
        </w:rPr>
        <w:t>sobre una persona menor de edad</w:t>
      </w:r>
      <w:r w:rsidR="00E20D62">
        <w:rPr>
          <w:rFonts w:ascii="Book Antiqua" w:hAnsi="Book Antiqua"/>
          <w:lang w:val="es-ES"/>
        </w:rPr>
        <w:t xml:space="preserve"> </w:t>
      </w:r>
      <w:r w:rsidR="00A92FA3" w:rsidRPr="00E20D62">
        <w:rPr>
          <w:rFonts w:ascii="Book Antiqua" w:hAnsi="Book Antiqua"/>
          <w:lang w:val="es-PR"/>
        </w:rPr>
        <w:t>-</w:t>
      </w:r>
      <w:r w:rsidRPr="00E20D62">
        <w:rPr>
          <w:rFonts w:ascii="Book Antiqua" w:hAnsi="Book Antiqua"/>
          <w:lang w:val="es-PR"/>
        </w:rPr>
        <w:t>sin requerir el agotamiento previo del procedimiento administrativo</w:t>
      </w:r>
      <w:r w:rsidR="00A92FA3" w:rsidRPr="00E20D62">
        <w:rPr>
          <w:rFonts w:ascii="Book Antiqua" w:hAnsi="Book Antiqua"/>
          <w:lang w:val="es-PR"/>
        </w:rPr>
        <w:t>-</w:t>
      </w:r>
      <w:r w:rsidRPr="00E20D62">
        <w:rPr>
          <w:rFonts w:ascii="Book Antiqua" w:hAnsi="Book Antiqua"/>
          <w:lang w:val="es-PR"/>
        </w:rPr>
        <w:t xml:space="preserve"> cuando los hechos alegados constituyan una falta clase II o clase III,</w:t>
      </w:r>
      <w:r w:rsidR="00B578F6" w:rsidRPr="00E20D62">
        <w:rPr>
          <w:rFonts w:ascii="Book Antiqua" w:hAnsi="Book Antiqua"/>
          <w:lang w:val="es-PR"/>
        </w:rPr>
        <w:t xml:space="preserve"> según definidas en esta ley, </w:t>
      </w:r>
      <w:r w:rsidRPr="00E20D62">
        <w:rPr>
          <w:rFonts w:ascii="Book Antiqua" w:hAnsi="Book Antiqua"/>
          <w:lang w:val="es-PR"/>
        </w:rPr>
        <w:t>que represente una amenaza sustancial a la seguridad o integridad física de los estudiantes, del personal escolar, o de cualquier otra persona dentro del entorno escolar.</w:t>
      </w:r>
      <w:r w:rsidR="00B578F6" w:rsidRPr="00E20D62">
        <w:rPr>
          <w:rFonts w:ascii="Book Antiqua" w:hAnsi="Book Antiqua"/>
          <w:lang w:val="es-PR"/>
        </w:rPr>
        <w:t xml:space="preserve"> </w:t>
      </w:r>
      <w:r w:rsidR="00982B08" w:rsidRPr="00E20D62">
        <w:rPr>
          <w:rFonts w:ascii="Book Antiqua" w:hAnsi="Book Antiqua"/>
          <w:lang w:val="es-PR"/>
        </w:rPr>
        <w:t>E</w:t>
      </w:r>
      <w:r w:rsidR="00B578F6" w:rsidRPr="00E20D62">
        <w:rPr>
          <w:rFonts w:ascii="Book Antiqua" w:hAnsi="Book Antiqua"/>
          <w:lang w:val="es-PR"/>
        </w:rPr>
        <w:t xml:space="preserve">n ningún caso en que el tribunal adquiera jurisdicción sobre un menor al amparo de las disposiciones de esta Artículo, tal hecho </w:t>
      </w:r>
      <w:r w:rsidR="00A366CD" w:rsidRPr="00E20D62">
        <w:rPr>
          <w:rFonts w:ascii="Book Antiqua" w:hAnsi="Book Antiqua"/>
          <w:lang w:val="es-ES"/>
        </w:rPr>
        <w:t xml:space="preserve">se entenderá en menoscabo del derecho del menor a que su caso sea referido a mediación o desvío, si cualifica según lo </w:t>
      </w:r>
      <w:r w:rsidR="00EA4823" w:rsidRPr="00E20D62">
        <w:rPr>
          <w:rFonts w:ascii="Book Antiqua" w:hAnsi="Book Antiqua"/>
          <w:lang w:val="es-ES"/>
        </w:rPr>
        <w:t xml:space="preserve">establecen </w:t>
      </w:r>
      <w:r w:rsidR="00A366CD" w:rsidRPr="00E20D62">
        <w:rPr>
          <w:rFonts w:ascii="Book Antiqua" w:hAnsi="Book Antiqua"/>
          <w:lang w:val="es-ES"/>
        </w:rPr>
        <w:t xml:space="preserve">esta </w:t>
      </w:r>
      <w:r w:rsidR="00EA4823" w:rsidRPr="00E20D62">
        <w:rPr>
          <w:rFonts w:ascii="Book Antiqua" w:hAnsi="Book Antiqua"/>
          <w:lang w:val="es-ES"/>
        </w:rPr>
        <w:t>ley</w:t>
      </w:r>
      <w:r w:rsidR="00A366CD" w:rsidRPr="00E20D62">
        <w:rPr>
          <w:rFonts w:ascii="Book Antiqua" w:hAnsi="Book Antiqua"/>
          <w:lang w:val="es-ES"/>
        </w:rPr>
        <w:t xml:space="preserve"> y las Reglas de Asuntos de Menores.</w:t>
      </w:r>
      <w:r w:rsidR="0060700C" w:rsidRPr="00E20D62">
        <w:rPr>
          <w:rFonts w:ascii="Book Antiqua" w:hAnsi="Book Antiqua"/>
          <w:lang w:val="es-ES"/>
        </w:rPr>
        <w:t>”</w:t>
      </w:r>
    </w:p>
    <w:p w14:paraId="6B18FF2B" w14:textId="5CD6F039" w:rsidR="00457C09" w:rsidRPr="00E20D62" w:rsidRDefault="00457C09" w:rsidP="00DA6964">
      <w:pPr>
        <w:spacing w:line="480" w:lineRule="auto"/>
        <w:ind w:firstLine="360"/>
        <w:jc w:val="both"/>
        <w:rPr>
          <w:rFonts w:ascii="Book Antiqua" w:hAnsi="Book Antiqua"/>
          <w:lang w:val="es-PR"/>
        </w:rPr>
      </w:pPr>
      <w:r w:rsidRPr="00E20D62">
        <w:rPr>
          <w:rFonts w:ascii="Book Antiqua" w:hAnsi="Book Antiqua"/>
          <w:lang w:val="es-PR"/>
        </w:rPr>
        <w:lastRenderedPageBreak/>
        <w:t xml:space="preserve">Sección 2.-El Secretario del Departamento de </w:t>
      </w:r>
      <w:r w:rsidR="00880A6C" w:rsidRPr="00E20D62">
        <w:rPr>
          <w:rFonts w:ascii="Book Antiqua" w:hAnsi="Book Antiqua"/>
          <w:lang w:val="es-PR"/>
        </w:rPr>
        <w:t xml:space="preserve">Educación </w:t>
      </w:r>
      <w:r w:rsidRPr="00E20D62">
        <w:rPr>
          <w:rFonts w:ascii="Book Antiqua" w:hAnsi="Book Antiqua"/>
          <w:lang w:val="es-PR"/>
        </w:rPr>
        <w:t xml:space="preserve">adoptará la reglamentación necesaria y conveniente para cumplir con los propósitos de esta </w:t>
      </w:r>
      <w:r w:rsidR="0039664C" w:rsidRPr="00E20D62">
        <w:rPr>
          <w:rFonts w:ascii="Book Antiqua" w:hAnsi="Book Antiqua"/>
          <w:lang w:val="es-ES"/>
        </w:rPr>
        <w:t>ley</w:t>
      </w:r>
      <w:r w:rsidRPr="00E20D62">
        <w:rPr>
          <w:rFonts w:ascii="Book Antiqua" w:hAnsi="Book Antiqua"/>
          <w:lang w:val="es-PR"/>
        </w:rPr>
        <w:t>, dentro de ciento veinte (120) días contados desde la aprobación de esta</w:t>
      </w:r>
      <w:r w:rsidR="00880A6C" w:rsidRPr="00E20D62">
        <w:rPr>
          <w:rFonts w:ascii="Book Antiqua" w:hAnsi="Book Antiqua"/>
          <w:lang w:val="es-PR"/>
        </w:rPr>
        <w:t>.</w:t>
      </w:r>
    </w:p>
    <w:p w14:paraId="5A9D1655" w14:textId="6D720758" w:rsidR="005430F6" w:rsidRPr="00E20D62" w:rsidRDefault="005430F6" w:rsidP="005430F6">
      <w:pPr>
        <w:spacing w:line="480" w:lineRule="auto"/>
        <w:ind w:firstLine="360"/>
        <w:jc w:val="both"/>
        <w:rPr>
          <w:rFonts w:ascii="Book Antiqua" w:hAnsi="Book Antiqua"/>
          <w:lang w:val="es-PR"/>
        </w:rPr>
      </w:pPr>
      <w:r w:rsidRPr="00E20D62">
        <w:rPr>
          <w:rFonts w:ascii="Book Antiqua" w:hAnsi="Book Antiqua"/>
          <w:lang w:val="es-PR"/>
        </w:rPr>
        <w:t xml:space="preserve">Sección </w:t>
      </w:r>
      <w:r w:rsidR="00164C97" w:rsidRPr="00E20D62">
        <w:rPr>
          <w:rFonts w:ascii="Book Antiqua" w:hAnsi="Book Antiqua"/>
          <w:lang w:val="es-PR"/>
        </w:rPr>
        <w:t>3</w:t>
      </w:r>
      <w:r w:rsidRPr="00E20D62">
        <w:rPr>
          <w:rFonts w:ascii="Book Antiqua" w:hAnsi="Book Antiqua"/>
          <w:lang w:val="es-PR"/>
        </w:rPr>
        <w:t>.-Clausula de Supremacía</w:t>
      </w:r>
    </w:p>
    <w:p w14:paraId="66F125DC" w14:textId="09AB5BBB" w:rsidR="005430F6" w:rsidRPr="00E20D62" w:rsidRDefault="005430F6" w:rsidP="005430F6">
      <w:pPr>
        <w:spacing w:line="480" w:lineRule="auto"/>
        <w:ind w:firstLine="360"/>
        <w:jc w:val="both"/>
        <w:rPr>
          <w:rFonts w:ascii="Book Antiqua" w:hAnsi="Book Antiqua"/>
          <w:lang w:val="es-PR"/>
        </w:rPr>
      </w:pPr>
      <w:r w:rsidRPr="00E20D62">
        <w:rPr>
          <w:rFonts w:ascii="Book Antiqua" w:hAnsi="Book Antiqua"/>
          <w:lang w:val="es-PR"/>
        </w:rPr>
        <w:t xml:space="preserve">Las disposiciones de esta </w:t>
      </w:r>
      <w:r w:rsidR="0039664C" w:rsidRPr="00E20D62">
        <w:rPr>
          <w:rFonts w:ascii="Book Antiqua" w:hAnsi="Book Antiqua"/>
          <w:lang w:val="es-ES"/>
        </w:rPr>
        <w:t>ley</w:t>
      </w:r>
      <w:r w:rsidRPr="00E20D62">
        <w:rPr>
          <w:rFonts w:ascii="Book Antiqua" w:hAnsi="Book Antiqua"/>
          <w:lang w:val="es-PR"/>
        </w:rPr>
        <w:t xml:space="preserve"> prevalecerán sobre cualquier otra disposición general o específica de cualquier otra ley o reglamento del Gobierno de Puerto Rico que sea inconsistente con esta.</w:t>
      </w:r>
    </w:p>
    <w:p w14:paraId="302948F6" w14:textId="77777777" w:rsidR="00164C97" w:rsidRPr="00E20D62" w:rsidRDefault="00164C97" w:rsidP="00164C97">
      <w:pPr>
        <w:spacing w:line="480" w:lineRule="auto"/>
        <w:ind w:firstLine="360"/>
        <w:jc w:val="both"/>
        <w:rPr>
          <w:rFonts w:ascii="Book Antiqua" w:hAnsi="Book Antiqua"/>
          <w:lang w:val="es-ES_tradnl"/>
        </w:rPr>
      </w:pPr>
      <w:r w:rsidRPr="00E20D62">
        <w:rPr>
          <w:rFonts w:ascii="Book Antiqua" w:hAnsi="Book Antiqua"/>
          <w:lang w:val="es-ES_tradnl"/>
        </w:rPr>
        <w:t>Sección 4.-Clausula de Separabilidad</w:t>
      </w:r>
    </w:p>
    <w:p w14:paraId="35B9BB45" w14:textId="24F9E320" w:rsidR="00164C97" w:rsidRPr="00E20D62" w:rsidRDefault="00164C97" w:rsidP="00164C97">
      <w:pPr>
        <w:spacing w:line="480" w:lineRule="auto"/>
        <w:ind w:firstLine="360"/>
        <w:jc w:val="both"/>
        <w:rPr>
          <w:rFonts w:ascii="Book Antiqua" w:hAnsi="Book Antiqua"/>
          <w:lang w:val="es-ES_tradnl"/>
        </w:rPr>
      </w:pPr>
      <w:r w:rsidRPr="00E20D62">
        <w:rPr>
          <w:rFonts w:ascii="Book Antiqua" w:hAnsi="Book Antiqua"/>
          <w:lang w:val="es-ES_tradnl"/>
        </w:rPr>
        <w:t xml:space="preserve">Si cualquier disposición, palabra, oración o inciso de esta </w:t>
      </w:r>
      <w:r w:rsidR="0039664C" w:rsidRPr="00E20D62">
        <w:rPr>
          <w:rFonts w:ascii="Book Antiqua" w:hAnsi="Book Antiqua"/>
          <w:lang w:val="es-ES"/>
        </w:rPr>
        <w:t>ley</w:t>
      </w:r>
      <w:r w:rsidRPr="00E20D62">
        <w:rPr>
          <w:rFonts w:ascii="Book Antiqua" w:hAnsi="Book Antiqua"/>
          <w:lang w:val="es-ES_tradnl"/>
        </w:rPr>
        <w:t xml:space="preserve"> fuera impugnado por cualquier razón ante un tribunal y declarado inconstitucional o nulo, tal sentencia no afectará, menoscabará o invalidará las restantes disposiciones de esta.</w:t>
      </w:r>
    </w:p>
    <w:p w14:paraId="17B87DEC" w14:textId="5E080D07"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Sección </w:t>
      </w:r>
      <w:r w:rsidR="005430F6" w:rsidRPr="00E20D62">
        <w:rPr>
          <w:rFonts w:ascii="Book Antiqua" w:hAnsi="Book Antiqua"/>
          <w:lang w:val="es-PR"/>
        </w:rPr>
        <w:t>5</w:t>
      </w:r>
      <w:r w:rsidRPr="00E20D62">
        <w:rPr>
          <w:rFonts w:ascii="Book Antiqua" w:hAnsi="Book Antiqua"/>
          <w:lang w:val="es-PR"/>
        </w:rPr>
        <w:t>.-Vigencia</w:t>
      </w:r>
    </w:p>
    <w:p w14:paraId="1BC3848E" w14:textId="66751AB7" w:rsidR="00457C09" w:rsidRPr="00E20D62" w:rsidRDefault="00457C09" w:rsidP="00457C09">
      <w:pPr>
        <w:spacing w:line="480" w:lineRule="auto"/>
        <w:ind w:firstLine="360"/>
        <w:jc w:val="both"/>
        <w:rPr>
          <w:rFonts w:ascii="Book Antiqua" w:hAnsi="Book Antiqua"/>
          <w:lang w:val="es-PR"/>
        </w:rPr>
      </w:pPr>
      <w:r w:rsidRPr="00E20D62">
        <w:rPr>
          <w:rFonts w:ascii="Book Antiqua" w:hAnsi="Book Antiqua"/>
          <w:lang w:val="es-PR"/>
        </w:rPr>
        <w:t xml:space="preserve">Esta </w:t>
      </w:r>
      <w:r w:rsidR="0039664C" w:rsidRPr="00E20D62">
        <w:rPr>
          <w:rFonts w:ascii="Book Antiqua" w:hAnsi="Book Antiqua"/>
          <w:lang w:val="es-ES"/>
        </w:rPr>
        <w:t>ley</w:t>
      </w:r>
      <w:r w:rsidRPr="00E20D62">
        <w:rPr>
          <w:rFonts w:ascii="Book Antiqua" w:hAnsi="Book Antiqua"/>
          <w:lang w:val="es-PR"/>
        </w:rPr>
        <w:t xml:space="preserve"> comenzará a regir inmediatamente luego de su aprobación. </w:t>
      </w:r>
    </w:p>
    <w:sectPr w:rsidR="00457C09" w:rsidRPr="00E20D62" w:rsidSect="00874A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5AE8B" w14:textId="77777777" w:rsidR="002A48E1" w:rsidRDefault="002A48E1">
      <w:r>
        <w:separator/>
      </w:r>
    </w:p>
  </w:endnote>
  <w:endnote w:type="continuationSeparator" w:id="0">
    <w:p w14:paraId="2B94CC39" w14:textId="77777777" w:rsidR="002A48E1" w:rsidRDefault="002A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1E64" w14:textId="77777777" w:rsidR="002A48E1" w:rsidRDefault="002A48E1">
      <w:r>
        <w:separator/>
      </w:r>
    </w:p>
  </w:footnote>
  <w:footnote w:type="continuationSeparator" w:id="0">
    <w:p w14:paraId="324D5953" w14:textId="77777777" w:rsidR="002A48E1" w:rsidRDefault="002A4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B48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05A3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AC1"/>
    <w:multiLevelType w:val="hybridMultilevel"/>
    <w:tmpl w:val="F0162B4A"/>
    <w:lvl w:ilvl="0" w:tplc="3E189F1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2056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7C09"/>
    <w:rsid w:val="00020BBB"/>
    <w:rsid w:val="00025D95"/>
    <w:rsid w:val="00056024"/>
    <w:rsid w:val="00070BCE"/>
    <w:rsid w:val="00080F11"/>
    <w:rsid w:val="00090AB6"/>
    <w:rsid w:val="00095AE1"/>
    <w:rsid w:val="000A6B6C"/>
    <w:rsid w:val="000B0DBB"/>
    <w:rsid w:val="000B1B73"/>
    <w:rsid w:val="000D7BC7"/>
    <w:rsid w:val="00105A32"/>
    <w:rsid w:val="00111E71"/>
    <w:rsid w:val="00127C6A"/>
    <w:rsid w:val="001363FE"/>
    <w:rsid w:val="00164C97"/>
    <w:rsid w:val="0017132B"/>
    <w:rsid w:val="00172308"/>
    <w:rsid w:val="001F612A"/>
    <w:rsid w:val="00211396"/>
    <w:rsid w:val="00226AE6"/>
    <w:rsid w:val="00240B15"/>
    <w:rsid w:val="00245B34"/>
    <w:rsid w:val="00263355"/>
    <w:rsid w:val="00273792"/>
    <w:rsid w:val="002819F7"/>
    <w:rsid w:val="002A48E1"/>
    <w:rsid w:val="002D4AC8"/>
    <w:rsid w:val="00320D78"/>
    <w:rsid w:val="003350CF"/>
    <w:rsid w:val="003525DB"/>
    <w:rsid w:val="00380FE5"/>
    <w:rsid w:val="003924DD"/>
    <w:rsid w:val="00394FCB"/>
    <w:rsid w:val="003963F4"/>
    <w:rsid w:val="0039664C"/>
    <w:rsid w:val="003B5254"/>
    <w:rsid w:val="003B75A6"/>
    <w:rsid w:val="003D01B3"/>
    <w:rsid w:val="004061CA"/>
    <w:rsid w:val="00415689"/>
    <w:rsid w:val="00422BE0"/>
    <w:rsid w:val="004440CB"/>
    <w:rsid w:val="00457C09"/>
    <w:rsid w:val="004713D2"/>
    <w:rsid w:val="00476FAF"/>
    <w:rsid w:val="004B5233"/>
    <w:rsid w:val="004D3C7E"/>
    <w:rsid w:val="00510A73"/>
    <w:rsid w:val="00521639"/>
    <w:rsid w:val="0052444C"/>
    <w:rsid w:val="00532BB7"/>
    <w:rsid w:val="005332E4"/>
    <w:rsid w:val="0053550C"/>
    <w:rsid w:val="005430F6"/>
    <w:rsid w:val="00555018"/>
    <w:rsid w:val="005723DC"/>
    <w:rsid w:val="0060700C"/>
    <w:rsid w:val="006210DC"/>
    <w:rsid w:val="006372F5"/>
    <w:rsid w:val="00640AB5"/>
    <w:rsid w:val="0064349D"/>
    <w:rsid w:val="00685549"/>
    <w:rsid w:val="006B7365"/>
    <w:rsid w:val="006C2D81"/>
    <w:rsid w:val="006C7DF8"/>
    <w:rsid w:val="00702897"/>
    <w:rsid w:val="00702A28"/>
    <w:rsid w:val="00707042"/>
    <w:rsid w:val="00735779"/>
    <w:rsid w:val="00750FC8"/>
    <w:rsid w:val="007533D0"/>
    <w:rsid w:val="00755069"/>
    <w:rsid w:val="00794B38"/>
    <w:rsid w:val="00796486"/>
    <w:rsid w:val="007B0660"/>
    <w:rsid w:val="007D662C"/>
    <w:rsid w:val="007E3868"/>
    <w:rsid w:val="00820C41"/>
    <w:rsid w:val="00835646"/>
    <w:rsid w:val="00850256"/>
    <w:rsid w:val="00855C91"/>
    <w:rsid w:val="00880A6C"/>
    <w:rsid w:val="00886405"/>
    <w:rsid w:val="009220C9"/>
    <w:rsid w:val="00940CEE"/>
    <w:rsid w:val="00942FD4"/>
    <w:rsid w:val="00951997"/>
    <w:rsid w:val="00961B92"/>
    <w:rsid w:val="00982B08"/>
    <w:rsid w:val="00990352"/>
    <w:rsid w:val="00A03405"/>
    <w:rsid w:val="00A1528A"/>
    <w:rsid w:val="00A33918"/>
    <w:rsid w:val="00A366CD"/>
    <w:rsid w:val="00A44020"/>
    <w:rsid w:val="00A506BF"/>
    <w:rsid w:val="00A7629F"/>
    <w:rsid w:val="00A92FA3"/>
    <w:rsid w:val="00AC51F2"/>
    <w:rsid w:val="00AD59D6"/>
    <w:rsid w:val="00AF0CEE"/>
    <w:rsid w:val="00B425AD"/>
    <w:rsid w:val="00B53165"/>
    <w:rsid w:val="00B578F6"/>
    <w:rsid w:val="00B667AD"/>
    <w:rsid w:val="00B84C38"/>
    <w:rsid w:val="00B86C00"/>
    <w:rsid w:val="00B947F6"/>
    <w:rsid w:val="00BF16AA"/>
    <w:rsid w:val="00C325AD"/>
    <w:rsid w:val="00C354B8"/>
    <w:rsid w:val="00C52517"/>
    <w:rsid w:val="00C554DB"/>
    <w:rsid w:val="00C60921"/>
    <w:rsid w:val="00C62936"/>
    <w:rsid w:val="00C653F2"/>
    <w:rsid w:val="00C679E6"/>
    <w:rsid w:val="00C908F9"/>
    <w:rsid w:val="00CA0917"/>
    <w:rsid w:val="00CE2D97"/>
    <w:rsid w:val="00D011DD"/>
    <w:rsid w:val="00D417C2"/>
    <w:rsid w:val="00D454B7"/>
    <w:rsid w:val="00D60936"/>
    <w:rsid w:val="00D709EB"/>
    <w:rsid w:val="00D74714"/>
    <w:rsid w:val="00D82F3F"/>
    <w:rsid w:val="00D921C6"/>
    <w:rsid w:val="00D958C2"/>
    <w:rsid w:val="00DA6964"/>
    <w:rsid w:val="00DD6B67"/>
    <w:rsid w:val="00E04AB5"/>
    <w:rsid w:val="00E20D62"/>
    <w:rsid w:val="00E50EEA"/>
    <w:rsid w:val="00E52F58"/>
    <w:rsid w:val="00E72EB0"/>
    <w:rsid w:val="00E81585"/>
    <w:rsid w:val="00E838CE"/>
    <w:rsid w:val="00E93B53"/>
    <w:rsid w:val="00EA4823"/>
    <w:rsid w:val="00EC26AA"/>
    <w:rsid w:val="00ED7A53"/>
    <w:rsid w:val="00EE4273"/>
    <w:rsid w:val="00F0126B"/>
    <w:rsid w:val="00F02004"/>
    <w:rsid w:val="00F042CB"/>
    <w:rsid w:val="00F31C6B"/>
    <w:rsid w:val="00F35175"/>
    <w:rsid w:val="00F45847"/>
    <w:rsid w:val="00F73BA6"/>
    <w:rsid w:val="00F819EB"/>
    <w:rsid w:val="00FC0A95"/>
    <w:rsid w:val="00FC3D9C"/>
    <w:rsid w:val="00FC7C31"/>
    <w:rsid w:val="00FF0153"/>
    <w:rsid w:val="00FF140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9F8A33"/>
  <w15:chartTrackingRefBased/>
  <w15:docId w15:val="{C415FC71-D1E3-4972-A27E-3A2A85E5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311">
      <w:bodyDiv w:val="1"/>
      <w:marLeft w:val="0"/>
      <w:marRight w:val="0"/>
      <w:marTop w:val="0"/>
      <w:marBottom w:val="0"/>
      <w:divBdr>
        <w:top w:val="none" w:sz="0" w:space="0" w:color="auto"/>
        <w:left w:val="none" w:sz="0" w:space="0" w:color="auto"/>
        <w:bottom w:val="none" w:sz="0" w:space="0" w:color="auto"/>
        <w:right w:val="none" w:sz="0" w:space="0" w:color="auto"/>
      </w:divBdr>
    </w:div>
    <w:div w:id="504513996">
      <w:bodyDiv w:val="1"/>
      <w:marLeft w:val="0"/>
      <w:marRight w:val="0"/>
      <w:marTop w:val="0"/>
      <w:marBottom w:val="0"/>
      <w:divBdr>
        <w:top w:val="none" w:sz="0" w:space="0" w:color="auto"/>
        <w:left w:val="none" w:sz="0" w:space="0" w:color="auto"/>
        <w:bottom w:val="none" w:sz="0" w:space="0" w:color="auto"/>
        <w:right w:val="none" w:sz="0" w:space="0" w:color="auto"/>
      </w:divBdr>
    </w:div>
    <w:div w:id="861287682">
      <w:bodyDiv w:val="1"/>
      <w:marLeft w:val="0"/>
      <w:marRight w:val="0"/>
      <w:marTop w:val="0"/>
      <w:marBottom w:val="0"/>
      <w:divBdr>
        <w:top w:val="none" w:sz="0" w:space="0" w:color="auto"/>
        <w:left w:val="none" w:sz="0" w:space="0" w:color="auto"/>
        <w:bottom w:val="none" w:sz="0" w:space="0" w:color="auto"/>
        <w:right w:val="none" w:sz="0" w:space="0" w:color="auto"/>
      </w:divBdr>
    </w:div>
    <w:div w:id="1338652885">
      <w:bodyDiv w:val="1"/>
      <w:marLeft w:val="0"/>
      <w:marRight w:val="0"/>
      <w:marTop w:val="0"/>
      <w:marBottom w:val="0"/>
      <w:divBdr>
        <w:top w:val="none" w:sz="0" w:space="0" w:color="auto"/>
        <w:left w:val="none" w:sz="0" w:space="0" w:color="auto"/>
        <w:bottom w:val="none" w:sz="0" w:space="0" w:color="auto"/>
        <w:right w:val="none" w:sz="0" w:space="0" w:color="auto"/>
      </w:divBdr>
    </w:div>
    <w:div w:id="1377048143">
      <w:bodyDiv w:val="1"/>
      <w:marLeft w:val="0"/>
      <w:marRight w:val="0"/>
      <w:marTop w:val="0"/>
      <w:marBottom w:val="0"/>
      <w:divBdr>
        <w:top w:val="none" w:sz="0" w:space="0" w:color="auto"/>
        <w:left w:val="none" w:sz="0" w:space="0" w:color="auto"/>
        <w:bottom w:val="none" w:sz="0" w:space="0" w:color="auto"/>
        <w:right w:val="none" w:sz="0" w:space="0" w:color="auto"/>
      </w:divBdr>
      <w:divsChild>
        <w:div w:id="91096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478097">
      <w:bodyDiv w:val="1"/>
      <w:marLeft w:val="0"/>
      <w:marRight w:val="0"/>
      <w:marTop w:val="0"/>
      <w:marBottom w:val="0"/>
      <w:divBdr>
        <w:top w:val="none" w:sz="0" w:space="0" w:color="auto"/>
        <w:left w:val="none" w:sz="0" w:space="0" w:color="auto"/>
        <w:bottom w:val="none" w:sz="0" w:space="0" w:color="auto"/>
        <w:right w:val="none" w:sz="0" w:space="0" w:color="auto"/>
      </w:divBdr>
    </w:div>
    <w:div w:id="1543250064">
      <w:bodyDiv w:val="1"/>
      <w:marLeft w:val="0"/>
      <w:marRight w:val="0"/>
      <w:marTop w:val="0"/>
      <w:marBottom w:val="0"/>
      <w:divBdr>
        <w:top w:val="none" w:sz="0" w:space="0" w:color="auto"/>
        <w:left w:val="none" w:sz="0" w:space="0" w:color="auto"/>
        <w:bottom w:val="none" w:sz="0" w:space="0" w:color="auto"/>
        <w:right w:val="none" w:sz="0" w:space="0" w:color="auto"/>
      </w:divBdr>
    </w:div>
    <w:div w:id="1695838212">
      <w:bodyDiv w:val="1"/>
      <w:marLeft w:val="0"/>
      <w:marRight w:val="0"/>
      <w:marTop w:val="0"/>
      <w:marBottom w:val="0"/>
      <w:divBdr>
        <w:top w:val="none" w:sz="0" w:space="0" w:color="auto"/>
        <w:left w:val="none" w:sz="0" w:space="0" w:color="auto"/>
        <w:bottom w:val="none" w:sz="0" w:space="0" w:color="auto"/>
        <w:right w:val="none" w:sz="0" w:space="0" w:color="auto"/>
      </w:divBdr>
      <w:divsChild>
        <w:div w:id="559831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547720">
      <w:bodyDiv w:val="1"/>
      <w:marLeft w:val="0"/>
      <w:marRight w:val="0"/>
      <w:marTop w:val="0"/>
      <w:marBottom w:val="0"/>
      <w:divBdr>
        <w:top w:val="none" w:sz="0" w:space="0" w:color="auto"/>
        <w:left w:val="none" w:sz="0" w:space="0" w:color="auto"/>
        <w:bottom w:val="none" w:sz="0" w:space="0" w:color="auto"/>
        <w:right w:val="none" w:sz="0" w:space="0" w:color="auto"/>
      </w:divBdr>
    </w:div>
    <w:div w:id="2134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314280-FF46-4716-8245-A58ED6903D25}">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C6F02D44-9081-4DA2-9104-1795A133A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652C23-985C-48C8-B870-87BF6BEF13D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4</TotalTime>
  <Pages>4</Pages>
  <Words>1070</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2000-03-03T16:35:00Z</cp:lastPrinted>
  <dcterms:created xsi:type="dcterms:W3CDTF">2025-06-13T17:22:00Z</dcterms:created>
  <dcterms:modified xsi:type="dcterms:W3CDTF">2025-06-16T19:01:00Z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