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2C1447" w:rsidRDefault="00F13533" w:rsidP="00F13533">
      <w:pPr>
        <w:jc w:val="center"/>
        <w:rPr>
          <w:rFonts w:ascii="Book Antiqua" w:hAnsi="Book Antiqua"/>
          <w:szCs w:val="24"/>
          <w:lang w:val="es-ES_tradnl"/>
        </w:rPr>
      </w:pPr>
    </w:p>
    <w:p w14:paraId="6AE3905C" w14:textId="73EA53AE" w:rsidR="00F13533" w:rsidRPr="002C1447" w:rsidRDefault="00F13533" w:rsidP="0097285D">
      <w:pPr>
        <w:pStyle w:val="Title2"/>
        <w:tabs>
          <w:tab w:val="clear" w:pos="648"/>
          <w:tab w:val="clear" w:pos="7776"/>
          <w:tab w:val="clear" w:pos="7848"/>
        </w:tabs>
        <w:rPr>
          <w:rFonts w:ascii="Book Antiqua" w:hAnsi="Book Antiqua"/>
          <w:lang w:val="es-PR"/>
        </w:rPr>
      </w:pPr>
      <w:r w:rsidRPr="002C1447">
        <w:rPr>
          <w:rFonts w:ascii="Book Antiqua" w:hAnsi="Book Antiqua"/>
          <w:lang w:val="es-PR"/>
        </w:rPr>
        <w:t xml:space="preserve"> </w:t>
      </w:r>
      <w:r w:rsidR="0097285D" w:rsidRPr="002C1447">
        <w:rPr>
          <w:rFonts w:ascii="Book Antiqua" w:hAnsi="Book Antiqua"/>
          <w:lang w:val="es-PR"/>
        </w:rPr>
        <w:t xml:space="preserve">20ma. </w:t>
      </w:r>
      <w:r w:rsidRPr="002C1447">
        <w:rPr>
          <w:rFonts w:ascii="Book Antiqua" w:hAnsi="Book Antiqua"/>
          <w:lang w:val="es-PR"/>
        </w:rPr>
        <w:t>Asamblea</w:t>
      </w:r>
      <w:r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t xml:space="preserve">           1ra. </w:t>
      </w:r>
      <w:r w:rsidRPr="002C1447">
        <w:rPr>
          <w:rFonts w:ascii="Book Antiqua" w:hAnsi="Book Antiqua"/>
          <w:lang w:val="es-PR"/>
        </w:rPr>
        <w:t>Sesión</w:t>
      </w:r>
    </w:p>
    <w:p w14:paraId="37260458" w14:textId="18117FF5" w:rsidR="00F13533" w:rsidRPr="002C1447" w:rsidRDefault="00F13533" w:rsidP="0097285D">
      <w:pPr>
        <w:pStyle w:val="Title2"/>
        <w:tabs>
          <w:tab w:val="clear" w:pos="648"/>
          <w:tab w:val="clear" w:pos="7776"/>
          <w:tab w:val="clear" w:pos="7848"/>
        </w:tabs>
        <w:rPr>
          <w:rFonts w:ascii="Book Antiqua" w:hAnsi="Book Antiqua"/>
          <w:lang w:val="es-PR"/>
        </w:rPr>
      </w:pPr>
      <w:r w:rsidRPr="002C1447">
        <w:rPr>
          <w:rFonts w:ascii="Book Antiqua" w:hAnsi="Book Antiqua"/>
          <w:lang w:val="es-PR"/>
        </w:rPr>
        <w:tab/>
      </w:r>
      <w:r w:rsidR="0097285D" w:rsidRPr="002C1447">
        <w:rPr>
          <w:rFonts w:ascii="Book Antiqua" w:hAnsi="Book Antiqua"/>
          <w:lang w:val="es-PR"/>
        </w:rPr>
        <w:t xml:space="preserve"> </w:t>
      </w:r>
      <w:r w:rsidRPr="002C1447">
        <w:rPr>
          <w:rFonts w:ascii="Book Antiqua" w:hAnsi="Book Antiqua"/>
          <w:lang w:val="es-PR"/>
        </w:rPr>
        <w:t>Legislativa</w:t>
      </w:r>
      <w:r w:rsidRPr="002C1447">
        <w:rPr>
          <w:rFonts w:ascii="Book Antiqua" w:hAnsi="Book Antiqua"/>
          <w:lang w:val="es-PR"/>
        </w:rPr>
        <w:tab/>
      </w:r>
      <w:r w:rsidRPr="002C1447">
        <w:rPr>
          <w:rFonts w:ascii="Book Antiqua" w:hAnsi="Book Antiqua"/>
          <w:lang w:val="es-PR"/>
        </w:rPr>
        <w:tab/>
      </w:r>
      <w:r w:rsidR="0097285D" w:rsidRPr="002C1447">
        <w:rPr>
          <w:rFonts w:ascii="Book Antiqua" w:hAnsi="Book Antiqua"/>
          <w:lang w:val="es-PR"/>
        </w:rPr>
        <w:t xml:space="preserve">      </w:t>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r>
      <w:r w:rsidR="0097285D" w:rsidRPr="002C1447">
        <w:rPr>
          <w:rFonts w:ascii="Book Antiqua" w:hAnsi="Book Antiqua"/>
          <w:lang w:val="es-PR"/>
        </w:rPr>
        <w:tab/>
        <w:t xml:space="preserve">      </w:t>
      </w:r>
      <w:r w:rsidRPr="002C1447">
        <w:rPr>
          <w:rFonts w:ascii="Book Antiqua" w:hAnsi="Book Antiqua"/>
          <w:lang w:val="es-PR"/>
        </w:rPr>
        <w:t>Ordinaria</w:t>
      </w:r>
    </w:p>
    <w:p w14:paraId="4881859A" w14:textId="77777777" w:rsidR="00F13533" w:rsidRPr="002C1447" w:rsidRDefault="00F13533" w:rsidP="00F13533">
      <w:pPr>
        <w:rPr>
          <w:rFonts w:ascii="Book Antiqua" w:hAnsi="Book Antiqua"/>
          <w:lang w:val="es-PR"/>
        </w:rPr>
      </w:pPr>
    </w:p>
    <w:p w14:paraId="2BEF326C" w14:textId="77777777" w:rsidR="00F13533" w:rsidRPr="004F6F8E" w:rsidRDefault="00F13533" w:rsidP="0097285D">
      <w:pPr>
        <w:jc w:val="center"/>
        <w:rPr>
          <w:rFonts w:ascii="Book Antiqua" w:hAnsi="Book Antiqua"/>
          <w:b/>
          <w:sz w:val="36"/>
          <w:lang w:val="es-ES_tradnl"/>
        </w:rPr>
      </w:pPr>
      <w:r w:rsidRPr="004F6F8E">
        <w:rPr>
          <w:rFonts w:ascii="Book Antiqua" w:hAnsi="Book Antiqua"/>
          <w:b/>
          <w:sz w:val="36"/>
          <w:lang w:val="es-ES_tradnl"/>
        </w:rPr>
        <w:t>CÁMARA DE REPRESENTANTES</w:t>
      </w:r>
    </w:p>
    <w:p w14:paraId="5FC2D0DE" w14:textId="77777777" w:rsidR="0097285D" w:rsidRPr="0097285D" w:rsidRDefault="0097285D" w:rsidP="0097285D">
      <w:pPr>
        <w:jc w:val="center"/>
        <w:rPr>
          <w:rFonts w:ascii="Book Antiqua" w:hAnsi="Book Antiqua"/>
          <w:b/>
          <w:szCs w:val="24"/>
          <w:lang w:val="es-ES_tradnl"/>
        </w:rPr>
      </w:pPr>
    </w:p>
    <w:p w14:paraId="279BFDBC" w14:textId="6705ACCB" w:rsidR="00F13533" w:rsidRPr="004F6F8E" w:rsidRDefault="00F13533" w:rsidP="0097285D">
      <w:pPr>
        <w:jc w:val="center"/>
        <w:rPr>
          <w:rFonts w:ascii="Book Antiqua" w:hAnsi="Book Antiqua"/>
          <w:b/>
          <w:sz w:val="52"/>
          <w:lang w:val="es-ES_tradnl"/>
        </w:rPr>
      </w:pPr>
      <w:r w:rsidRPr="004F6F8E">
        <w:rPr>
          <w:rFonts w:ascii="Book Antiqua" w:hAnsi="Book Antiqua"/>
          <w:b/>
          <w:sz w:val="52"/>
          <w:lang w:val="es-ES_tradnl"/>
        </w:rPr>
        <w:t xml:space="preserve">P. de la C. </w:t>
      </w:r>
      <w:r w:rsidR="00793735">
        <w:rPr>
          <w:rFonts w:ascii="Book Antiqua" w:hAnsi="Book Antiqua"/>
          <w:b/>
          <w:sz w:val="52"/>
          <w:lang w:val="es-ES_tradnl"/>
        </w:rPr>
        <w:t>552</w:t>
      </w:r>
    </w:p>
    <w:p w14:paraId="0BB0AB59" w14:textId="77777777" w:rsidR="0097285D" w:rsidRDefault="0097285D" w:rsidP="0097285D">
      <w:pPr>
        <w:jc w:val="center"/>
        <w:rPr>
          <w:rFonts w:ascii="Book Antiqua" w:hAnsi="Book Antiqua"/>
          <w:lang w:val="es-ES_tradnl"/>
        </w:rPr>
      </w:pPr>
    </w:p>
    <w:p w14:paraId="2661CC12" w14:textId="4FD3CEC8" w:rsidR="00F13533" w:rsidRPr="004F6F8E" w:rsidRDefault="0045085C" w:rsidP="0097285D">
      <w:pPr>
        <w:jc w:val="center"/>
        <w:rPr>
          <w:rFonts w:ascii="Book Antiqua" w:hAnsi="Book Antiqua"/>
          <w:lang w:val="es-ES_tradnl"/>
        </w:rPr>
      </w:pPr>
      <w:r>
        <w:rPr>
          <w:rFonts w:ascii="Book Antiqua" w:hAnsi="Book Antiqua"/>
          <w:lang w:val="es-ES_tradnl"/>
        </w:rPr>
        <w:t>23</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00235370" w14:textId="77777777" w:rsidR="0097285D" w:rsidRDefault="0097285D" w:rsidP="0097285D">
      <w:pPr>
        <w:jc w:val="center"/>
        <w:rPr>
          <w:rFonts w:ascii="Book Antiqua" w:hAnsi="Book Antiqua"/>
          <w:lang w:val="es-ES_tradnl"/>
        </w:rPr>
      </w:pPr>
    </w:p>
    <w:p w14:paraId="5599A88B" w14:textId="77777777" w:rsidR="0097285D" w:rsidRDefault="00F13533" w:rsidP="0097285D">
      <w:pPr>
        <w:jc w:val="center"/>
        <w:rPr>
          <w:rFonts w:ascii="Book Antiqua" w:hAnsi="Book Antiqua"/>
          <w:i/>
          <w:iCs/>
          <w:lang w:val="es-ES_tradnl"/>
        </w:rPr>
      </w:pPr>
      <w:r w:rsidRPr="004F6F8E">
        <w:rPr>
          <w:rFonts w:ascii="Book Antiqua" w:hAnsi="Book Antiqua"/>
          <w:lang w:val="es-ES_tradnl"/>
        </w:rPr>
        <w:t xml:space="preserve">Presentado por </w:t>
      </w:r>
      <w:r w:rsidR="0097285D">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p>
    <w:p w14:paraId="10DE9FEA" w14:textId="0DC76A89" w:rsidR="00F13533" w:rsidRPr="004F6F8E" w:rsidRDefault="0097285D" w:rsidP="0097285D">
      <w:pPr>
        <w:jc w:val="center"/>
        <w:rPr>
          <w:rFonts w:ascii="Book Antiqua" w:hAnsi="Book Antiqua"/>
          <w:i/>
          <w:iCs/>
          <w:lang w:val="es-ES_tradnl"/>
        </w:rPr>
      </w:pPr>
      <w:r w:rsidRPr="0097285D">
        <w:rPr>
          <w:rFonts w:ascii="Book Antiqua" w:hAnsi="Book Antiqua"/>
          <w:lang w:val="es-ES_tradnl"/>
        </w:rPr>
        <w:t>y las representantes</w:t>
      </w:r>
      <w:r>
        <w:rPr>
          <w:rFonts w:ascii="Book Antiqua" w:hAnsi="Book Antiqua"/>
          <w:i/>
          <w:iCs/>
          <w:lang w:val="es-ES_tradnl"/>
        </w:rPr>
        <w:t xml:space="preserve"> </w:t>
      </w:r>
      <w:r w:rsidR="00034585" w:rsidRPr="004F6F8E">
        <w:rPr>
          <w:rFonts w:ascii="Book Antiqua" w:hAnsi="Book Antiqua"/>
          <w:i/>
          <w:iCs/>
          <w:lang w:val="es-ES_tradnl"/>
        </w:rPr>
        <w:t>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97285D">
        <w:rPr>
          <w:rFonts w:ascii="Book Antiqua" w:hAnsi="Book Antiqua"/>
          <w:lang w:val="es-ES_tradnl"/>
        </w:rPr>
        <w:t>y</w:t>
      </w:r>
      <w:r w:rsidR="00034585" w:rsidRPr="004F6F8E">
        <w:rPr>
          <w:rFonts w:ascii="Book Antiqua" w:hAnsi="Book Antiqua"/>
          <w:i/>
          <w:iCs/>
          <w:lang w:val="es-ES_tradnl"/>
        </w:rPr>
        <w:t xml:space="preserve"> Lebrón Robles</w:t>
      </w:r>
    </w:p>
    <w:p w14:paraId="7298EF67" w14:textId="77777777" w:rsidR="0097285D" w:rsidRDefault="0097285D" w:rsidP="0097285D">
      <w:pPr>
        <w:jc w:val="center"/>
        <w:rPr>
          <w:rFonts w:ascii="Book Antiqua" w:hAnsi="Book Antiqua"/>
          <w:lang w:val="es-ES_tradnl"/>
        </w:rPr>
      </w:pPr>
    </w:p>
    <w:p w14:paraId="47A99186" w14:textId="648959EB" w:rsidR="00F13533" w:rsidRPr="004F6F8E" w:rsidRDefault="00F13533" w:rsidP="0097285D">
      <w:pPr>
        <w:jc w:val="center"/>
        <w:rPr>
          <w:rFonts w:ascii="Book Antiqua" w:hAnsi="Book Antiqua"/>
          <w:lang w:val="es-ES_tradnl"/>
        </w:rPr>
      </w:pPr>
      <w:r w:rsidRPr="004F6F8E">
        <w:rPr>
          <w:rFonts w:ascii="Book Antiqua" w:hAnsi="Book Antiqua"/>
          <w:lang w:val="es-ES_tradnl"/>
        </w:rPr>
        <w:t xml:space="preserve">Referido a </w:t>
      </w:r>
      <w:r w:rsidR="0097285D">
        <w:rPr>
          <w:rFonts w:ascii="Book Antiqua" w:hAnsi="Book Antiqua"/>
          <w:lang w:val="es-ES_tradnl"/>
        </w:rPr>
        <w:t>la Comisión de Recursos Naturales</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97285D" w:rsidRDefault="00F13533" w:rsidP="00F13533">
      <w:pPr>
        <w:jc w:val="center"/>
        <w:rPr>
          <w:rFonts w:ascii="Book Antiqua" w:hAnsi="Book Antiqua"/>
          <w:b/>
          <w:sz w:val="28"/>
          <w:szCs w:val="28"/>
          <w:lang w:val="es-ES_tradnl"/>
        </w:rPr>
      </w:pPr>
      <w:r w:rsidRPr="0097285D">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706D4C99" w:rsidR="00F13533" w:rsidRDefault="1050A5E4" w:rsidP="0097285D">
      <w:pPr>
        <w:ind w:left="720" w:hanging="720"/>
        <w:jc w:val="both"/>
        <w:rPr>
          <w:rFonts w:ascii="Book Antiqua" w:hAnsi="Book Antiqua"/>
          <w:lang w:val="es-ES_tradnl"/>
        </w:rPr>
      </w:pPr>
      <w:r w:rsidRPr="004F6F8E">
        <w:rPr>
          <w:rFonts w:ascii="Book Antiqua" w:hAnsi="Book Antiqua"/>
          <w:lang w:val="es-ES"/>
        </w:rPr>
        <w:t xml:space="preserve">Para </w:t>
      </w:r>
      <w:r w:rsidR="004448D3" w:rsidRPr="004448D3">
        <w:rPr>
          <w:rFonts w:ascii="Book Antiqua" w:hAnsi="Book Antiqua"/>
          <w:lang w:val="es-ES_tradnl"/>
        </w:rPr>
        <w:t xml:space="preserve">enmendar el Artículo 4 </w:t>
      </w:r>
      <w:r w:rsidR="004448D3" w:rsidRPr="004448D3">
        <w:rPr>
          <w:rFonts w:ascii="Book Antiqua" w:hAnsi="Book Antiqua"/>
          <w:lang w:val="es-419"/>
        </w:rPr>
        <w:t>de la Ley 416-2004, según enmendada, denominada “Ley sobre Política Pública Ambiental”;</w:t>
      </w:r>
      <w:r w:rsidR="004448D3" w:rsidRPr="004448D3">
        <w:rPr>
          <w:rFonts w:ascii="Book Antiqua" w:hAnsi="Book Antiqua"/>
          <w:lang w:val="es-ES_tradnl"/>
        </w:rPr>
        <w:t xml:space="preserve"> enmendar el Artículo 1.5 de la </w:t>
      </w:r>
      <w:r w:rsidR="004448D3" w:rsidRPr="004448D3">
        <w:rPr>
          <w:rFonts w:ascii="Book Antiqua" w:hAnsi="Book Antiqua"/>
          <w:lang w:val="es-419"/>
        </w:rPr>
        <w:t xml:space="preserve">Ley 161-2009, según enmendada, denominada “Ley para la Reforma del Proceso de Permisos de Puerto Rico”; y decretar la invalidez </w:t>
      </w:r>
      <w:r w:rsidR="004448D3" w:rsidRPr="004448D3">
        <w:rPr>
          <w:rFonts w:ascii="Book Antiqua" w:hAnsi="Book Antiqua"/>
          <w:lang w:val="es-ES_tradnl"/>
        </w:rPr>
        <w:t>de ciertos documentos ambientales emitidos con más de cinco (5) años de anterioridad; con el fin de establecer un término de vigencia de cinco (5) años para los documentos ambientales identificados en esta Ley; y para decretar otras disposiciones complementarias.</w:t>
      </w:r>
    </w:p>
    <w:p w14:paraId="4D47069C" w14:textId="77777777" w:rsidR="0097285D" w:rsidRPr="004F6F8E" w:rsidRDefault="0097285D" w:rsidP="0097285D">
      <w:pPr>
        <w:ind w:left="720" w:hanging="720"/>
        <w:jc w:val="both"/>
        <w:rPr>
          <w:rFonts w:ascii="Book Antiqua" w:hAnsi="Book Antiqua"/>
          <w:lang w:val="es-ES"/>
        </w:rPr>
      </w:pPr>
    </w:p>
    <w:p w14:paraId="2CA23802" w14:textId="016515A5" w:rsidR="00F13533" w:rsidRDefault="00F13533" w:rsidP="0097285D">
      <w:pPr>
        <w:ind w:firstLine="360"/>
        <w:jc w:val="center"/>
        <w:rPr>
          <w:rFonts w:ascii="Book Antiqua" w:hAnsi="Book Antiqua"/>
          <w:lang w:val="es-ES_tradnl"/>
        </w:rPr>
      </w:pPr>
      <w:r w:rsidRPr="004F6F8E">
        <w:rPr>
          <w:rFonts w:ascii="Book Antiqua" w:hAnsi="Book Antiqua"/>
          <w:lang w:val="es-ES_tradnl"/>
        </w:rPr>
        <w:t>EXPOSICIÓN DE MOTIVOS</w:t>
      </w:r>
    </w:p>
    <w:p w14:paraId="6DC6BEE1" w14:textId="77777777" w:rsidR="0097285D" w:rsidRPr="004F6F8E" w:rsidRDefault="0097285D" w:rsidP="0097285D">
      <w:pPr>
        <w:ind w:firstLine="720"/>
        <w:jc w:val="center"/>
        <w:rPr>
          <w:rFonts w:ascii="Book Antiqua" w:hAnsi="Book Antiqua"/>
          <w:lang w:val="es-ES_tradnl"/>
        </w:rPr>
      </w:pPr>
    </w:p>
    <w:p w14:paraId="07EF8AA8" w14:textId="77777777" w:rsidR="004448D3" w:rsidRDefault="004448D3" w:rsidP="0097285D">
      <w:pPr>
        <w:ind w:firstLine="720"/>
        <w:jc w:val="both"/>
        <w:rPr>
          <w:rFonts w:ascii="Book Antiqua" w:hAnsi="Book Antiqua"/>
          <w:szCs w:val="24"/>
          <w:lang w:val="es-419"/>
        </w:rPr>
      </w:pPr>
      <w:r w:rsidRPr="004448D3">
        <w:rPr>
          <w:rFonts w:ascii="Book Antiqua" w:hAnsi="Book Antiqua"/>
          <w:szCs w:val="24"/>
          <w:lang w:val="es-419"/>
        </w:rPr>
        <w:t>Es la política constitucional del Gobierno de Puerto Rico que el desarrollo económico se sujete a modelos congruentes con la preservación del medioambiente.</w:t>
      </w:r>
      <w:r w:rsidRPr="004448D3">
        <w:rPr>
          <w:rFonts w:ascii="Book Antiqua" w:hAnsi="Book Antiqua"/>
          <w:szCs w:val="24"/>
          <w:vertAlign w:val="superscript"/>
          <w:lang w:val="es-419"/>
        </w:rPr>
        <w:footnoteReference w:id="1"/>
      </w:r>
      <w:r w:rsidRPr="004448D3">
        <w:rPr>
          <w:rFonts w:ascii="Book Antiqua" w:hAnsi="Book Antiqua"/>
          <w:szCs w:val="24"/>
          <w:lang w:val="es-419"/>
        </w:rPr>
        <w:t xml:space="preserve"> Al amparo de este enfoque, se han promulgado estatutos que delinean los principios y mecanismos rectores para la utilización sabia de los recursos finitos a nuestro haber. El Artículo 3 de la “Ley sobre Política Pública Ambiental”, por ejemplo, dispone inequívocamente el deber de “utilizar todos los medios y medidas prácticas, incluyendo ayuda técnica y financiera, con el propósito de alentar y promover el bienestar general y asegurar que los sistemas naturales estén saludables y tengan la capacidad de sostener la vida en todas sus formas, así como la actividad social y económica, en el marco de una cultura de sustentabilidad, para crear y mantener las condiciones bajo las cuales el [ser humano] y la naturaleza puedan existir en armonía productiva y cumplir con las </w:t>
      </w:r>
      <w:r w:rsidRPr="004448D3">
        <w:rPr>
          <w:rFonts w:ascii="Book Antiqua" w:hAnsi="Book Antiqua"/>
          <w:szCs w:val="24"/>
          <w:lang w:val="es-419"/>
        </w:rPr>
        <w:lastRenderedPageBreak/>
        <w:t>necesidades sociales y económicas y cualesquiera otras que puedan surgir con las presentes y futuras generaciones de puertorriqueños”.</w:t>
      </w:r>
      <w:r w:rsidRPr="004448D3">
        <w:rPr>
          <w:rFonts w:ascii="Book Antiqua" w:hAnsi="Book Antiqua"/>
          <w:szCs w:val="24"/>
          <w:vertAlign w:val="superscript"/>
          <w:lang w:val="es-419"/>
        </w:rPr>
        <w:footnoteReference w:id="2"/>
      </w:r>
    </w:p>
    <w:p w14:paraId="08588668" w14:textId="77777777" w:rsidR="0097285D" w:rsidRPr="004448D3" w:rsidRDefault="0097285D" w:rsidP="0097285D">
      <w:pPr>
        <w:ind w:firstLine="720"/>
        <w:jc w:val="both"/>
        <w:rPr>
          <w:rFonts w:ascii="Book Antiqua" w:hAnsi="Book Antiqua"/>
          <w:szCs w:val="24"/>
          <w:lang w:val="es-419"/>
        </w:rPr>
      </w:pPr>
    </w:p>
    <w:p w14:paraId="0BA70343" w14:textId="77777777" w:rsidR="004448D3" w:rsidRDefault="004448D3" w:rsidP="0097285D">
      <w:pPr>
        <w:ind w:firstLine="720"/>
        <w:jc w:val="both"/>
        <w:rPr>
          <w:rFonts w:ascii="Book Antiqua" w:hAnsi="Book Antiqua"/>
          <w:szCs w:val="24"/>
          <w:lang w:val="es-419"/>
        </w:rPr>
      </w:pPr>
      <w:r w:rsidRPr="004448D3">
        <w:rPr>
          <w:rFonts w:ascii="Book Antiqua" w:hAnsi="Book Antiqua"/>
          <w:szCs w:val="24"/>
          <w:lang w:val="es-419"/>
        </w:rPr>
        <w:t>A esos efectos, el ordenamiento incorpora varias figuras cuya función es promover un desarrollo sano y sustentable frente a propuestas con potencial de generar un impacto al medioambiente. Se destacan la “Declaración de Impacto Ambiental (DIA)”, la “Evaluación Ambiental” (EA), la “Determinación de No Impacto Ambiental”, y la “Determinación de Cumplimiento Ambiental”. Sus requisitos específicos se desprenden en primera instancia de la Ley 416-2004, según enmendada, y la Ley 161-2009, según enmendada.</w:t>
      </w:r>
      <w:r w:rsidRPr="004448D3">
        <w:rPr>
          <w:rFonts w:ascii="Book Antiqua" w:hAnsi="Book Antiqua"/>
          <w:szCs w:val="24"/>
          <w:vertAlign w:val="superscript"/>
          <w:lang w:val="es-419"/>
        </w:rPr>
        <w:footnoteReference w:id="3"/>
      </w:r>
      <w:r w:rsidRPr="004448D3">
        <w:rPr>
          <w:rFonts w:ascii="Book Antiqua" w:hAnsi="Book Antiqua"/>
          <w:szCs w:val="24"/>
          <w:lang w:val="es-419"/>
        </w:rPr>
        <w:t xml:space="preserve"> Los pormenores del proceso de evaluación y expedición se atienden a nivel administrativo en el Reglamento Núm. 8858–2016, titulado </w:t>
      </w:r>
      <w:r w:rsidRPr="004448D3">
        <w:rPr>
          <w:rFonts w:ascii="Book Antiqua" w:hAnsi="Book Antiqua"/>
          <w:i/>
          <w:iCs/>
          <w:szCs w:val="24"/>
          <w:lang w:val="es-419"/>
        </w:rPr>
        <w:t>Reglamento para el Proceso de Evaluación Ambiental</w:t>
      </w:r>
      <w:r w:rsidRPr="004448D3">
        <w:rPr>
          <w:rFonts w:ascii="Book Antiqua" w:hAnsi="Book Antiqua"/>
          <w:szCs w:val="24"/>
          <w:lang w:val="es-419"/>
        </w:rPr>
        <w:t>. De las referidas, la figura central es la DIA, toda vez que, como norma general, es al amparo de ella que se justiprecia si la entidad promovente de un proyecto cumple con los requisitos de la política pública ambiental, antes de que se expida una “Determinación de Cumplimiento Ambiental”, un permiso o se alcance una determinación final adversa a la entidad promovente. La DIA detalla:</w:t>
      </w:r>
    </w:p>
    <w:p w14:paraId="325C503B" w14:textId="77777777" w:rsidR="0097285D" w:rsidRPr="004448D3" w:rsidRDefault="0097285D" w:rsidP="0097285D">
      <w:pPr>
        <w:ind w:firstLine="720"/>
        <w:jc w:val="both"/>
        <w:rPr>
          <w:rFonts w:ascii="Book Antiqua" w:hAnsi="Book Antiqua"/>
          <w:szCs w:val="24"/>
          <w:lang w:val="es-419"/>
        </w:rPr>
      </w:pPr>
    </w:p>
    <w:p w14:paraId="2134C59B" w14:textId="77777777" w:rsidR="004448D3" w:rsidRDefault="004448D3" w:rsidP="0097285D">
      <w:pPr>
        <w:numPr>
          <w:ilvl w:val="0"/>
          <w:numId w:val="13"/>
        </w:numPr>
        <w:jc w:val="both"/>
        <w:rPr>
          <w:rFonts w:ascii="Book Antiqua" w:hAnsi="Book Antiqua"/>
          <w:szCs w:val="24"/>
          <w:lang w:val="es-419"/>
        </w:rPr>
      </w:pPr>
      <w:r w:rsidRPr="004448D3">
        <w:rPr>
          <w:rFonts w:ascii="Book Antiqua" w:hAnsi="Book Antiqua"/>
          <w:szCs w:val="24"/>
          <w:lang w:val="es-419"/>
        </w:rPr>
        <w:t>El impacto ambiental de la legislación propuesta, de la acción a efectuarse o de la decisión a promulgarse;</w:t>
      </w:r>
    </w:p>
    <w:p w14:paraId="184652E7" w14:textId="77777777" w:rsidR="0097285D" w:rsidRPr="004448D3" w:rsidRDefault="0097285D" w:rsidP="0097285D">
      <w:pPr>
        <w:ind w:left="1080"/>
        <w:jc w:val="both"/>
        <w:rPr>
          <w:rFonts w:ascii="Book Antiqua" w:hAnsi="Book Antiqua"/>
          <w:szCs w:val="24"/>
          <w:lang w:val="es-419"/>
        </w:rPr>
      </w:pPr>
    </w:p>
    <w:p w14:paraId="008DA1DB" w14:textId="77777777" w:rsidR="004448D3" w:rsidRDefault="004448D3" w:rsidP="0097285D">
      <w:pPr>
        <w:numPr>
          <w:ilvl w:val="0"/>
          <w:numId w:val="13"/>
        </w:numPr>
        <w:jc w:val="both"/>
        <w:rPr>
          <w:rFonts w:ascii="Book Antiqua" w:hAnsi="Book Antiqua"/>
          <w:szCs w:val="24"/>
          <w:lang w:val="es-419"/>
        </w:rPr>
      </w:pPr>
      <w:r w:rsidRPr="004448D3">
        <w:rPr>
          <w:rFonts w:ascii="Book Antiqua" w:hAnsi="Book Antiqua"/>
          <w:szCs w:val="24"/>
          <w:lang w:val="es-419"/>
        </w:rPr>
        <w:t>cualesquiera efectos adversos al medioambiente que no podrán evitarse si se aprobase y aplicase la propuesta legislación, si se efectuase la acción o promulgase la decisión gubernamental de que se trate.</w:t>
      </w:r>
    </w:p>
    <w:p w14:paraId="72F46198" w14:textId="77777777" w:rsidR="0097285D" w:rsidRPr="004448D3" w:rsidRDefault="0097285D" w:rsidP="0097285D">
      <w:pPr>
        <w:jc w:val="both"/>
        <w:rPr>
          <w:rFonts w:ascii="Book Antiqua" w:hAnsi="Book Antiqua"/>
          <w:szCs w:val="24"/>
          <w:lang w:val="es-419"/>
        </w:rPr>
      </w:pPr>
    </w:p>
    <w:p w14:paraId="5486FA2A" w14:textId="77777777" w:rsidR="004448D3" w:rsidRDefault="004448D3" w:rsidP="0097285D">
      <w:pPr>
        <w:numPr>
          <w:ilvl w:val="0"/>
          <w:numId w:val="13"/>
        </w:numPr>
        <w:jc w:val="both"/>
        <w:rPr>
          <w:rFonts w:ascii="Book Antiqua" w:hAnsi="Book Antiqua"/>
          <w:szCs w:val="24"/>
          <w:lang w:val="es-419"/>
        </w:rPr>
      </w:pPr>
      <w:r w:rsidRPr="004448D3">
        <w:rPr>
          <w:rFonts w:ascii="Book Antiqua" w:hAnsi="Book Antiqua"/>
          <w:szCs w:val="24"/>
          <w:lang w:val="es-419"/>
        </w:rPr>
        <w:t xml:space="preserve">alternativas a la legislación propuesta, o a la acción o decisión gubernamental en cuestión; </w:t>
      </w:r>
    </w:p>
    <w:p w14:paraId="4B874615" w14:textId="77777777" w:rsidR="0097285D" w:rsidRPr="004448D3" w:rsidRDefault="0097285D" w:rsidP="0097285D">
      <w:pPr>
        <w:jc w:val="both"/>
        <w:rPr>
          <w:rFonts w:ascii="Book Antiqua" w:hAnsi="Book Antiqua"/>
          <w:szCs w:val="24"/>
          <w:lang w:val="es-419"/>
        </w:rPr>
      </w:pPr>
    </w:p>
    <w:p w14:paraId="59381285" w14:textId="77777777" w:rsidR="004448D3" w:rsidRDefault="004448D3" w:rsidP="0097285D">
      <w:pPr>
        <w:numPr>
          <w:ilvl w:val="0"/>
          <w:numId w:val="13"/>
        </w:numPr>
        <w:jc w:val="both"/>
        <w:rPr>
          <w:rFonts w:ascii="Book Antiqua" w:hAnsi="Book Antiqua"/>
          <w:szCs w:val="24"/>
          <w:lang w:val="es-419"/>
        </w:rPr>
      </w:pPr>
      <w:r w:rsidRPr="004448D3">
        <w:rPr>
          <w:rFonts w:ascii="Book Antiqua" w:hAnsi="Book Antiqua"/>
          <w:szCs w:val="24"/>
          <w:lang w:val="es-419"/>
        </w:rPr>
        <w:t xml:space="preserve">la relación entre usos locales a corto plazo del medioambiente y la conservación y mejoramiento de la productividad a largo plazo; y, </w:t>
      </w:r>
    </w:p>
    <w:p w14:paraId="3FC5DEFB" w14:textId="77777777" w:rsidR="0097285D" w:rsidRPr="004448D3" w:rsidRDefault="0097285D" w:rsidP="0097285D">
      <w:pPr>
        <w:jc w:val="both"/>
        <w:rPr>
          <w:rFonts w:ascii="Book Antiqua" w:hAnsi="Book Antiqua"/>
          <w:szCs w:val="24"/>
          <w:lang w:val="es-419"/>
        </w:rPr>
      </w:pPr>
    </w:p>
    <w:p w14:paraId="4A8BC9EB" w14:textId="318931B1" w:rsidR="0097285D" w:rsidRDefault="004448D3" w:rsidP="007F5C10">
      <w:pPr>
        <w:numPr>
          <w:ilvl w:val="0"/>
          <w:numId w:val="13"/>
        </w:numPr>
        <w:jc w:val="both"/>
        <w:rPr>
          <w:rFonts w:ascii="Book Antiqua" w:hAnsi="Book Antiqua"/>
          <w:szCs w:val="24"/>
          <w:lang w:val="es-419"/>
        </w:rPr>
      </w:pPr>
      <w:r w:rsidRPr="004448D3">
        <w:rPr>
          <w:rFonts w:ascii="Book Antiqua" w:hAnsi="Book Antiqua"/>
          <w:szCs w:val="24"/>
          <w:lang w:val="es-419"/>
        </w:rPr>
        <w:t>cualquier compromiso irrevocable o irreparable de los recursos naturales que estarían envueltos en la legislación propuesta, si la misma se implementase; en la acción gubernamental, si se efectuase; o en la decisión, si se promulgase.</w:t>
      </w:r>
      <w:r w:rsidRPr="004448D3">
        <w:rPr>
          <w:rFonts w:ascii="Book Antiqua" w:hAnsi="Book Antiqua"/>
          <w:szCs w:val="24"/>
          <w:vertAlign w:val="superscript"/>
          <w:lang w:val="es-419"/>
        </w:rPr>
        <w:footnoteReference w:id="4"/>
      </w:r>
    </w:p>
    <w:p w14:paraId="0B5CA896" w14:textId="77777777" w:rsidR="0097285D" w:rsidRPr="0097285D" w:rsidRDefault="0097285D" w:rsidP="007F5C10">
      <w:pPr>
        <w:jc w:val="both"/>
        <w:rPr>
          <w:rFonts w:ascii="Book Antiqua" w:hAnsi="Book Antiqua"/>
          <w:szCs w:val="24"/>
          <w:lang w:val="es-419"/>
        </w:rPr>
      </w:pPr>
    </w:p>
    <w:p w14:paraId="373D34B3" w14:textId="77777777" w:rsidR="004448D3" w:rsidRDefault="004448D3" w:rsidP="007F5C10">
      <w:pPr>
        <w:ind w:firstLine="720"/>
        <w:jc w:val="both"/>
        <w:rPr>
          <w:rFonts w:ascii="Book Antiqua" w:hAnsi="Book Antiqua"/>
          <w:szCs w:val="24"/>
          <w:lang w:val="es-419"/>
        </w:rPr>
      </w:pPr>
      <w:r w:rsidRPr="004448D3">
        <w:rPr>
          <w:rFonts w:ascii="Book Antiqua" w:hAnsi="Book Antiqua"/>
          <w:szCs w:val="24"/>
          <w:lang w:val="es-419"/>
        </w:rPr>
        <w:t xml:space="preserve">De conformidad con el </w:t>
      </w:r>
      <w:r w:rsidRPr="004448D3">
        <w:rPr>
          <w:rFonts w:ascii="Book Antiqua" w:hAnsi="Book Antiqua"/>
          <w:i/>
          <w:iCs/>
          <w:szCs w:val="24"/>
          <w:lang w:val="es-419"/>
        </w:rPr>
        <w:t>Reglamento para el Proceso de Evaluación Ambiental</w:t>
      </w:r>
      <w:r w:rsidRPr="004448D3">
        <w:rPr>
          <w:rFonts w:ascii="Book Antiqua" w:hAnsi="Book Antiqua"/>
          <w:szCs w:val="24"/>
          <w:lang w:val="es-419"/>
        </w:rPr>
        <w:t>, una “Determinación de Cumplimiento Ambiental” realizada por la Oficina de Gerencia de Permisos a base de una DIA certifica que la proponente ha cumplido con los requisitos sustantivos y procesales del Artículo 4(B)(3) de la “Ley sobre Política Pública Ambiental”, y con los reglamentos aplicables; y tiene una vigencia de cinco (5) años.</w:t>
      </w:r>
      <w:r w:rsidRPr="004448D3">
        <w:rPr>
          <w:rFonts w:ascii="Book Antiqua" w:hAnsi="Book Antiqua"/>
          <w:szCs w:val="24"/>
          <w:vertAlign w:val="superscript"/>
          <w:lang w:val="es-419"/>
        </w:rPr>
        <w:footnoteReference w:id="5"/>
      </w:r>
      <w:r w:rsidRPr="004448D3">
        <w:rPr>
          <w:rFonts w:ascii="Book Antiqua" w:hAnsi="Book Antiqua"/>
          <w:szCs w:val="24"/>
          <w:lang w:val="es-419"/>
        </w:rPr>
        <w:t xml:space="preserve"> No obstante, la </w:t>
      </w:r>
      <w:r w:rsidRPr="004448D3">
        <w:rPr>
          <w:rFonts w:ascii="Book Antiqua" w:hAnsi="Book Antiqua"/>
          <w:szCs w:val="24"/>
          <w:lang w:val="es-419"/>
        </w:rPr>
        <w:lastRenderedPageBreak/>
        <w:t>regla ordinaria sobre los cinco (5) años de vigencia es circunvalada con frecuencia con relación a propuestas presentadas antes de la aprobación del reglamento del 2016. El crisol hermenéutico acogido entre las agencias públicas vislumbra el reglamento como uno de aplicación exclusivamente prospectiva, a pesar de que su texto contempla circunstancias excepcionales de aplicación retroactiva y de que ésta no es una interpretación cónsona con la política constitucional o estatuaria reseñada.</w:t>
      </w:r>
      <w:r w:rsidRPr="004448D3">
        <w:rPr>
          <w:rFonts w:ascii="Book Antiqua" w:hAnsi="Book Antiqua"/>
          <w:szCs w:val="24"/>
          <w:vertAlign w:val="superscript"/>
          <w:lang w:val="es-419"/>
        </w:rPr>
        <w:footnoteReference w:id="6"/>
      </w:r>
      <w:r w:rsidRPr="004448D3">
        <w:rPr>
          <w:rFonts w:ascii="Book Antiqua" w:hAnsi="Book Antiqua"/>
          <w:szCs w:val="24"/>
          <w:lang w:val="es-419"/>
        </w:rPr>
        <w:t xml:space="preserve"> Consecuentemente, en el presente se permiten y autorizan propuestas al amparo de </w:t>
      </w:r>
      <w:proofErr w:type="spellStart"/>
      <w:r w:rsidRPr="004448D3">
        <w:rPr>
          <w:rFonts w:ascii="Book Antiqua" w:hAnsi="Book Antiqua"/>
          <w:szCs w:val="24"/>
          <w:lang w:val="es-419"/>
        </w:rPr>
        <w:t>DIAs</w:t>
      </w:r>
      <w:proofErr w:type="spellEnd"/>
      <w:r w:rsidRPr="004448D3">
        <w:rPr>
          <w:rFonts w:ascii="Book Antiqua" w:hAnsi="Book Antiqua"/>
          <w:szCs w:val="24"/>
          <w:lang w:val="es-419"/>
        </w:rPr>
        <w:t xml:space="preserve"> y determinaciones de cumplimiento ambiental emitidas en exceso de los cinco (5) años; en ocasiones, hace décadas. </w:t>
      </w:r>
    </w:p>
    <w:p w14:paraId="0228E9B6" w14:textId="77777777" w:rsidR="007F5C10" w:rsidRPr="004448D3" w:rsidRDefault="007F5C10" w:rsidP="007F5C10">
      <w:pPr>
        <w:ind w:firstLine="720"/>
        <w:jc w:val="both"/>
        <w:rPr>
          <w:rFonts w:ascii="Book Antiqua" w:hAnsi="Book Antiqua"/>
          <w:szCs w:val="24"/>
          <w:lang w:val="es-419"/>
        </w:rPr>
      </w:pPr>
    </w:p>
    <w:p w14:paraId="5945FA32" w14:textId="4CA9DBF5" w:rsidR="0097285D" w:rsidRDefault="004448D3" w:rsidP="0097285D">
      <w:pPr>
        <w:ind w:firstLine="720"/>
        <w:jc w:val="both"/>
        <w:rPr>
          <w:rFonts w:ascii="Book Antiqua" w:hAnsi="Book Antiqua"/>
          <w:szCs w:val="24"/>
          <w:lang w:val="es-ES_tradnl"/>
        </w:rPr>
      </w:pPr>
      <w:r w:rsidRPr="004448D3">
        <w:rPr>
          <w:rFonts w:ascii="Book Antiqua" w:hAnsi="Book Antiqua"/>
          <w:szCs w:val="24"/>
          <w:lang w:val="es-419"/>
        </w:rPr>
        <w:t xml:space="preserve">Éste es el caso, por ejemplo, de un desarrollo adelantado por la </w:t>
      </w:r>
      <w:r w:rsidRPr="004448D3">
        <w:rPr>
          <w:rFonts w:ascii="Book Antiqua" w:hAnsi="Book Antiqua"/>
          <w:szCs w:val="24"/>
          <w:lang w:val="es-ES_tradnl"/>
        </w:rPr>
        <w:t xml:space="preserve">empresa JUF Resort </w:t>
      </w:r>
      <w:proofErr w:type="spellStart"/>
      <w:r w:rsidRPr="004448D3">
        <w:rPr>
          <w:rFonts w:ascii="Book Antiqua" w:hAnsi="Book Antiqua"/>
          <w:szCs w:val="24"/>
          <w:lang w:val="es-ES_tradnl"/>
        </w:rPr>
        <w:t>Owner</w:t>
      </w:r>
      <w:proofErr w:type="spellEnd"/>
      <w:r w:rsidRPr="004448D3">
        <w:rPr>
          <w:rFonts w:ascii="Book Antiqua" w:hAnsi="Book Antiqua"/>
          <w:szCs w:val="24"/>
          <w:lang w:val="es-ES_tradnl"/>
        </w:rPr>
        <w:t xml:space="preserve"> LLC. Se trata de la construcción de un complejo turístico y residencial de lujo, denominado Moncayo Resort, en una parcela de 1,100 acres de costa boscosa ubicada en el Barrio Quebrada Vueltas del municipio de Fajardo. La DIA del proyecto fue aprobada por la Junta de Calidad Ambiental el 30 de julio de 1991, hace más de tres décadas. Posteriormente, en 1994, la Junta de Planificación autorizó la consulta inicial. A pesar de los 30 años transcurridos, la Oficina de Gerencia de Permisos reiteró la vigencia del cumplimiento ambiental el 13 de agosto de 2024, lo que genera dudas sobre la validez y pertinencia de los estudios ambientales realizados.</w:t>
      </w:r>
    </w:p>
    <w:p w14:paraId="0F58AC9A" w14:textId="77777777" w:rsidR="007F5C10" w:rsidRPr="004448D3" w:rsidRDefault="007F5C10" w:rsidP="0097285D">
      <w:pPr>
        <w:ind w:firstLine="720"/>
        <w:jc w:val="both"/>
        <w:rPr>
          <w:rFonts w:ascii="Book Antiqua" w:hAnsi="Book Antiqua"/>
          <w:szCs w:val="24"/>
          <w:lang w:val="es-ES_tradnl"/>
        </w:rPr>
      </w:pPr>
    </w:p>
    <w:p w14:paraId="620F2D72" w14:textId="02288689" w:rsidR="0097285D" w:rsidRDefault="004448D3" w:rsidP="0097285D">
      <w:pPr>
        <w:ind w:firstLine="720"/>
        <w:jc w:val="both"/>
        <w:rPr>
          <w:rFonts w:ascii="Book Antiqua" w:hAnsi="Book Antiqua"/>
          <w:szCs w:val="24"/>
          <w:lang w:val="es-PR"/>
        </w:rPr>
      </w:pPr>
      <w:r w:rsidRPr="004448D3">
        <w:rPr>
          <w:rFonts w:ascii="Book Antiqua" w:hAnsi="Book Antiqua"/>
          <w:szCs w:val="24"/>
          <w:lang w:val="es-419"/>
        </w:rPr>
        <w:t xml:space="preserve">Se genera, entonces, la anomalía jurídica de que las </w:t>
      </w:r>
      <w:proofErr w:type="spellStart"/>
      <w:r w:rsidRPr="004448D3">
        <w:rPr>
          <w:rFonts w:ascii="Book Antiqua" w:hAnsi="Book Antiqua"/>
          <w:szCs w:val="24"/>
          <w:lang w:val="es-419"/>
        </w:rPr>
        <w:t>DIAs</w:t>
      </w:r>
      <w:proofErr w:type="spellEnd"/>
      <w:r w:rsidRPr="004448D3">
        <w:rPr>
          <w:rFonts w:ascii="Book Antiqua" w:hAnsi="Book Antiqua"/>
          <w:szCs w:val="24"/>
          <w:lang w:val="es-419"/>
        </w:rPr>
        <w:t xml:space="preserve"> y determinaciones de cumplimiento ambiental de producción más reciente tienen menor vigencia que las </w:t>
      </w:r>
      <w:proofErr w:type="spellStart"/>
      <w:r w:rsidRPr="004448D3">
        <w:rPr>
          <w:rFonts w:ascii="Book Antiqua" w:hAnsi="Book Antiqua"/>
          <w:szCs w:val="24"/>
          <w:lang w:val="es-419"/>
        </w:rPr>
        <w:t>DIAs</w:t>
      </w:r>
      <w:proofErr w:type="spellEnd"/>
      <w:r w:rsidRPr="004448D3">
        <w:rPr>
          <w:rFonts w:ascii="Book Antiqua" w:hAnsi="Book Antiqua"/>
          <w:szCs w:val="24"/>
          <w:lang w:val="es-419"/>
        </w:rPr>
        <w:t xml:space="preserve"> preparadas hace décadas. Como resultado, las agencias toman decisiones a base de información obsoleta, que no refleja la realidad ecológica presente, y que pretende burlar los evidentes efectos desfavorables de los huracanes recientes, los terremotos, el transcurso natural de la erosión, el desgaste, la sedimentación, otros fenómenos experimentados a nivel regional o local, la evolución de los factores bióticos en cada ecosistema y el impacto creciente de la crisis climática. Esta interpretación del reglamento y su ejecución es contraria a la política pública, ya que no propende a la conservación adecuada de los recursos naturales, a la preservación de la vida ni a la consecución de un desarrollo sostenible. Lo que es peor, por la vía administrativa han quedado </w:t>
      </w:r>
      <w:r w:rsidRPr="004448D3">
        <w:rPr>
          <w:rFonts w:ascii="Book Antiqua" w:hAnsi="Book Antiqua"/>
          <w:szCs w:val="24"/>
          <w:lang w:val="es-PR"/>
        </w:rPr>
        <w:t xml:space="preserve">derrotados los propósitos de la Ley vigente a base de preceptos que se acomodan a intereses ajenos </w:t>
      </w:r>
      <w:r w:rsidRPr="004448D3">
        <w:rPr>
          <w:rFonts w:ascii="Book Antiqua" w:hAnsi="Book Antiqua"/>
          <w:szCs w:val="24"/>
          <w:lang w:val="es-PR"/>
        </w:rPr>
        <w:lastRenderedPageBreak/>
        <w:t>al bienestar público.</w:t>
      </w:r>
      <w:r w:rsidRPr="004448D3">
        <w:rPr>
          <w:rFonts w:ascii="Book Antiqua" w:hAnsi="Book Antiqua"/>
          <w:szCs w:val="24"/>
          <w:lang w:val="es-419"/>
        </w:rPr>
        <w:t xml:space="preserve"> </w:t>
      </w:r>
      <w:r w:rsidRPr="004448D3">
        <w:rPr>
          <w:rFonts w:ascii="Book Antiqua" w:hAnsi="Book Antiqua"/>
          <w:szCs w:val="24"/>
          <w:lang w:val="es-PR"/>
        </w:rPr>
        <w:t xml:space="preserve">La Asamblea Legislativa de Puerto Rico reafirma, a través de esta Ley, su intención de que las </w:t>
      </w:r>
      <w:proofErr w:type="spellStart"/>
      <w:r w:rsidRPr="004448D3">
        <w:rPr>
          <w:rFonts w:ascii="Book Antiqua" w:hAnsi="Book Antiqua"/>
          <w:szCs w:val="24"/>
          <w:lang w:val="es-PR"/>
        </w:rPr>
        <w:t>DIAs</w:t>
      </w:r>
      <w:proofErr w:type="spellEnd"/>
      <w:r w:rsidRPr="004448D3">
        <w:rPr>
          <w:rFonts w:ascii="Book Antiqua" w:hAnsi="Book Antiqua"/>
          <w:szCs w:val="24"/>
          <w:lang w:val="es-PR"/>
        </w:rPr>
        <w:t xml:space="preserve"> y determinaciones de </w:t>
      </w:r>
      <w:r w:rsidRPr="004448D3">
        <w:rPr>
          <w:rFonts w:ascii="Book Antiqua" w:hAnsi="Book Antiqua"/>
          <w:szCs w:val="24"/>
          <w:lang w:val="es-419"/>
        </w:rPr>
        <w:t>cumplimiento ambiental cumplan con su fin estatuido: alcanzar el delicado balance de intereses entre el progreso económico y la conservación del medioambiente, centrado en un desarrollo sostenible, s</w:t>
      </w:r>
      <w:r w:rsidRPr="004448D3">
        <w:rPr>
          <w:rFonts w:ascii="Book Antiqua" w:hAnsi="Book Antiqua"/>
          <w:szCs w:val="24"/>
          <w:lang w:val="es-PR"/>
        </w:rPr>
        <w:t>in espacio para la preservación de determinaciones o permisos de problemática vigencia que, bajo la reglamentación actual, serían ineficaces e inoperantes.</w:t>
      </w:r>
    </w:p>
    <w:p w14:paraId="75FF869F" w14:textId="77777777" w:rsidR="0097285D" w:rsidRPr="0097285D" w:rsidRDefault="0097285D" w:rsidP="0097285D">
      <w:pPr>
        <w:ind w:firstLine="720"/>
        <w:jc w:val="both"/>
        <w:rPr>
          <w:rFonts w:ascii="Book Antiqua" w:hAnsi="Book Antiqua"/>
          <w:szCs w:val="24"/>
          <w:lang w:val="es-PR"/>
        </w:rPr>
      </w:pPr>
    </w:p>
    <w:p w14:paraId="7674B2AD" w14:textId="192CDDF7" w:rsidR="00F13533" w:rsidRPr="004F6F8E" w:rsidRDefault="00F13533" w:rsidP="0097285D">
      <w:pPr>
        <w:rPr>
          <w:rFonts w:ascii="Book Antiqua" w:hAnsi="Book Antiqua"/>
          <w:i/>
          <w:lang w:val="es-ES_tradnl"/>
        </w:rPr>
      </w:pPr>
      <w:r w:rsidRPr="004F6F8E">
        <w:rPr>
          <w:rFonts w:ascii="Book Antiqua" w:hAnsi="Book Antiqua"/>
          <w:i/>
          <w:lang w:val="es-ES_tradnl"/>
        </w:rPr>
        <w:t>DECRÉTASE POR LA ASAMBLEA LEGISLATIVA DE PUERTO RICO:</w:t>
      </w:r>
    </w:p>
    <w:p w14:paraId="1064236B" w14:textId="77777777" w:rsidR="00F13533" w:rsidRDefault="00F13533" w:rsidP="0097285D">
      <w:pPr>
        <w:jc w:val="both"/>
        <w:rPr>
          <w:rFonts w:ascii="Book Antiqua" w:hAnsi="Book Antiqua"/>
          <w:lang w:val="es-ES_tradnl"/>
        </w:rPr>
      </w:pPr>
    </w:p>
    <w:p w14:paraId="75F7910E" w14:textId="77777777" w:rsidR="0097285D" w:rsidRPr="004F6F8E" w:rsidRDefault="0097285D" w:rsidP="0097285D">
      <w:pPr>
        <w:jc w:val="both"/>
        <w:rPr>
          <w:rFonts w:ascii="Book Antiqua" w:hAnsi="Book Antiqua"/>
          <w:lang w:val="es-ES_tradnl"/>
        </w:rPr>
        <w:sectPr w:rsidR="0097285D" w:rsidRPr="004F6F8E">
          <w:headerReference w:type="default" r:id="rId9"/>
          <w:type w:val="continuous"/>
          <w:pgSz w:w="12240" w:h="15840" w:code="1"/>
          <w:pgMar w:top="1440" w:right="1440" w:bottom="1440" w:left="1440" w:header="720" w:footer="720" w:gutter="0"/>
          <w:cols w:space="720"/>
          <w:titlePg/>
        </w:sectPr>
      </w:pPr>
    </w:p>
    <w:p w14:paraId="16D82D0A" w14:textId="77777777" w:rsidR="004448D3" w:rsidRPr="007F5C10" w:rsidRDefault="004448D3" w:rsidP="007F5C10">
      <w:pPr>
        <w:spacing w:line="480" w:lineRule="auto"/>
        <w:ind w:firstLine="720"/>
        <w:jc w:val="both"/>
        <w:rPr>
          <w:rFonts w:ascii="Book Antiqua" w:hAnsi="Book Antiqua"/>
          <w:szCs w:val="24"/>
          <w:lang w:val="es-PR"/>
        </w:rPr>
      </w:pPr>
      <w:r w:rsidRPr="007F5C10">
        <w:rPr>
          <w:rFonts w:ascii="Book Antiqua" w:hAnsi="Book Antiqua"/>
          <w:szCs w:val="24"/>
          <w:lang w:val="es-ES_tradnl"/>
        </w:rPr>
        <w:t xml:space="preserve">Sección 1.- Se enmienda el Artículo 4 </w:t>
      </w:r>
      <w:r w:rsidRPr="007F5C10">
        <w:rPr>
          <w:rFonts w:ascii="Book Antiqua" w:hAnsi="Book Antiqua"/>
          <w:szCs w:val="24"/>
          <w:lang w:val="es-419"/>
        </w:rPr>
        <w:t>de la Ley 416-2004, según enmendada, denominada “Ley sobre Política Pública Ambiental”, para que lea como sigue:</w:t>
      </w:r>
    </w:p>
    <w:p w14:paraId="7E448ECD" w14:textId="77777777" w:rsidR="004448D3" w:rsidRPr="007F5C10" w:rsidRDefault="004448D3" w:rsidP="007F5C10">
      <w:pPr>
        <w:spacing w:line="480" w:lineRule="auto"/>
        <w:ind w:left="720" w:right="403" w:firstLine="720"/>
        <w:jc w:val="both"/>
        <w:rPr>
          <w:rFonts w:ascii="Book Antiqua" w:hAnsi="Book Antiqua"/>
          <w:szCs w:val="24"/>
          <w:lang w:val="es-419"/>
        </w:rPr>
      </w:pPr>
      <w:r w:rsidRPr="007F5C10">
        <w:rPr>
          <w:rFonts w:ascii="Book Antiqua" w:hAnsi="Book Antiqua"/>
          <w:szCs w:val="24"/>
          <w:lang w:val="es-419"/>
        </w:rPr>
        <w:t xml:space="preserve">“Artículo 4.- Deberes y responsabilidades del Gobierno del Estado Libre Asociado de Puerto Rico </w:t>
      </w:r>
    </w:p>
    <w:p w14:paraId="27275B31" w14:textId="77777777" w:rsidR="004448D3" w:rsidRPr="007F5C10" w:rsidRDefault="004448D3" w:rsidP="007F5C10">
      <w:pPr>
        <w:pStyle w:val="Prrafodelista"/>
        <w:numPr>
          <w:ilvl w:val="0"/>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 </w:t>
      </w:r>
    </w:p>
    <w:p w14:paraId="2BE21F13"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1CCEDF31"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755129F"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5B843F7"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9142B48"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p>
    <w:p w14:paraId="05CD26C0"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A545311" w14:textId="77777777" w:rsidR="004448D3" w:rsidRPr="007F5C10" w:rsidRDefault="004448D3" w:rsidP="007F5C10">
      <w:pPr>
        <w:pStyle w:val="Prrafodelista"/>
        <w:numPr>
          <w:ilvl w:val="0"/>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r w:rsidRPr="007F5C10">
        <w:rPr>
          <w:rFonts w:ascii="Book Antiqua" w:hAnsi="Book Antiqua"/>
          <w:i/>
          <w:iCs/>
          <w:szCs w:val="24"/>
          <w:lang w:val="es-419"/>
        </w:rPr>
        <w:t>—</w:t>
      </w:r>
      <w:r w:rsidRPr="007F5C10">
        <w:rPr>
          <w:rFonts w:ascii="Book Antiqua" w:hAnsi="Book Antiqua"/>
          <w:szCs w:val="24"/>
          <w:lang w:val="es-419"/>
        </w:rPr>
        <w:t xml:space="preserve"> Todos los departamentos, agencias, municipios, corporaciones e instrumentalidades públicas del Gobierno de Puerto Rico y sus subdivisiones políticas deberán, al máximo grado posible, interpretar, aplicar y administrar todas las leyes y cuerpos reglamentarios vigentes y los que en el futuro se aprueben en estricta conformidad con la política pública enunciada en el Artículo </w:t>
      </w:r>
      <w:r w:rsidRPr="007F5C10">
        <w:rPr>
          <w:rFonts w:ascii="Book Antiqua" w:hAnsi="Book Antiqua"/>
          <w:szCs w:val="24"/>
          <w:lang w:val="es-419"/>
        </w:rPr>
        <w:lastRenderedPageBreak/>
        <w:t xml:space="preserve">3 de esta Ley. Asimismo, se ordena a los departamentos, agencias, municipios, corporaciones e instrumentalidades públicas del Gobierno de Puerto Rico y sus subdivisiones políticas </w:t>
      </w:r>
      <w:proofErr w:type="gramStart"/>
      <w:r w:rsidRPr="007F5C10">
        <w:rPr>
          <w:rFonts w:ascii="Book Antiqua" w:hAnsi="Book Antiqua"/>
          <w:szCs w:val="24"/>
          <w:lang w:val="es-419"/>
        </w:rPr>
        <w:t>que</w:t>
      </w:r>
      <w:proofErr w:type="gramEnd"/>
      <w:r w:rsidRPr="007F5C10">
        <w:rPr>
          <w:rFonts w:ascii="Book Antiqua" w:hAnsi="Book Antiqua"/>
          <w:szCs w:val="24"/>
          <w:lang w:val="es-419"/>
        </w:rPr>
        <w:t xml:space="preserve"> en la implantación de la política pública de esta Ley, cumplan con las siguientes normas: </w:t>
      </w:r>
    </w:p>
    <w:p w14:paraId="00037950"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051A624"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p>
    <w:p w14:paraId="775F6FC5"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Incluir en toda recomendación o informe sobre una propuesta de legislación y emitir, antes de efectuar cualquier acción o promulgar cualquier decisión gubernamental que afecte significativamente la calidad del medioambiente, una declaración escrita y detallada sobre:</w:t>
      </w:r>
    </w:p>
    <w:p w14:paraId="234FC52D" w14:textId="77777777" w:rsidR="004448D3" w:rsidRPr="007F5C10" w:rsidRDefault="004448D3" w:rsidP="007F5C10">
      <w:pPr>
        <w:pStyle w:val="Prrafodelista"/>
        <w:numPr>
          <w:ilvl w:val="2"/>
          <w:numId w:val="14"/>
        </w:numPr>
        <w:spacing w:line="480" w:lineRule="auto"/>
        <w:ind w:right="403"/>
        <w:jc w:val="both"/>
        <w:rPr>
          <w:rFonts w:ascii="Book Antiqua" w:hAnsi="Book Antiqua"/>
          <w:szCs w:val="24"/>
          <w:lang w:val="es-419"/>
        </w:rPr>
      </w:pPr>
      <w:r w:rsidRPr="007F5C10">
        <w:rPr>
          <w:rFonts w:ascii="Book Antiqua" w:hAnsi="Book Antiqua"/>
          <w:szCs w:val="24"/>
          <w:lang w:val="es-419"/>
        </w:rPr>
        <w:t>El impacto ambiental de la legislación propuesta, de la acción a efectuarse o de la decisión a promulgarse;</w:t>
      </w:r>
    </w:p>
    <w:p w14:paraId="464C2118" w14:textId="77777777" w:rsidR="004448D3" w:rsidRPr="007F5C10" w:rsidRDefault="004448D3" w:rsidP="007F5C10">
      <w:pPr>
        <w:pStyle w:val="Prrafodelista"/>
        <w:numPr>
          <w:ilvl w:val="2"/>
          <w:numId w:val="14"/>
        </w:numPr>
        <w:spacing w:line="480" w:lineRule="auto"/>
        <w:ind w:right="403"/>
        <w:jc w:val="both"/>
        <w:rPr>
          <w:rFonts w:ascii="Book Antiqua" w:hAnsi="Book Antiqua"/>
          <w:szCs w:val="24"/>
          <w:lang w:val="es-419"/>
        </w:rPr>
      </w:pPr>
      <w:r w:rsidRPr="007F5C10">
        <w:rPr>
          <w:rFonts w:ascii="Book Antiqua" w:hAnsi="Book Antiqua"/>
          <w:szCs w:val="24"/>
          <w:lang w:val="es-419"/>
        </w:rPr>
        <w:t>cualesquiera efectos adversos al medioambiente que no podrán evitarse si se aprobase y aplicase la propuesta legislación, si se efectuase la acción o promulgase la decisión gubernamental de que se trate.</w:t>
      </w:r>
    </w:p>
    <w:p w14:paraId="719E7613" w14:textId="77777777" w:rsidR="004448D3" w:rsidRPr="007F5C10" w:rsidRDefault="004448D3" w:rsidP="007F5C10">
      <w:pPr>
        <w:pStyle w:val="Prrafodelista"/>
        <w:numPr>
          <w:ilvl w:val="2"/>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alternativas a la legislación propuesta, o a la acción o decisión gubernamental en cuestión; </w:t>
      </w:r>
    </w:p>
    <w:p w14:paraId="6724A75E" w14:textId="77777777" w:rsidR="004448D3" w:rsidRPr="007F5C10" w:rsidRDefault="004448D3" w:rsidP="007F5C10">
      <w:pPr>
        <w:pStyle w:val="Prrafodelista"/>
        <w:numPr>
          <w:ilvl w:val="2"/>
          <w:numId w:val="14"/>
        </w:numPr>
        <w:spacing w:line="480" w:lineRule="auto"/>
        <w:ind w:right="403"/>
        <w:jc w:val="both"/>
        <w:rPr>
          <w:rFonts w:ascii="Book Antiqua" w:hAnsi="Book Antiqua"/>
          <w:szCs w:val="24"/>
          <w:lang w:val="es-419"/>
        </w:rPr>
      </w:pPr>
      <w:r w:rsidRPr="007F5C10">
        <w:rPr>
          <w:rFonts w:ascii="Book Antiqua" w:hAnsi="Book Antiqua"/>
          <w:szCs w:val="24"/>
          <w:lang w:val="es-419"/>
        </w:rPr>
        <w:lastRenderedPageBreak/>
        <w:t xml:space="preserve">la relación entre usos locales a corto plazo del medioambiente y la conservación y mejoramiento de la productividad a largo plazo; y, </w:t>
      </w:r>
    </w:p>
    <w:p w14:paraId="0435B3B8" w14:textId="77777777" w:rsidR="004448D3" w:rsidRPr="007F5C10" w:rsidRDefault="004448D3" w:rsidP="007F5C10">
      <w:pPr>
        <w:pStyle w:val="Prrafodelista"/>
        <w:numPr>
          <w:ilvl w:val="2"/>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cualquier compromiso irrevocable o irreparable de los recursos naturales que estarían envueltos en la legislación propuesta, si la misma se implementase; en la acción gubernamental, si se efectuase; o en la decisión, si se promulgase. </w:t>
      </w:r>
    </w:p>
    <w:p w14:paraId="1B3C42E8" w14:textId="77777777" w:rsidR="004448D3" w:rsidRPr="007F5C10" w:rsidRDefault="004448D3" w:rsidP="007F5C10">
      <w:pPr>
        <w:pStyle w:val="Prrafodelista"/>
        <w:spacing w:line="480" w:lineRule="auto"/>
        <w:ind w:left="2520" w:right="403" w:firstLine="360"/>
        <w:jc w:val="both"/>
        <w:rPr>
          <w:rFonts w:ascii="Book Antiqua" w:hAnsi="Book Antiqua"/>
          <w:szCs w:val="24"/>
          <w:lang w:val="es-419"/>
        </w:rPr>
      </w:pPr>
      <w:r w:rsidRPr="007F5C10">
        <w:rPr>
          <w:rFonts w:ascii="Book Antiqua" w:hAnsi="Book Antiqua"/>
          <w:szCs w:val="24"/>
          <w:lang w:val="es-419"/>
        </w:rPr>
        <w:t xml:space="preserve">Esta disposición no será aplicable a determinaciones o decisiones emitidas por los tribunales y el Departamento, en casos adjudicativos. Tampoco será aplicable a procedimientos de reglamentación llevados a cabo por el Departamento al amparo de las facultades y responsabilidades delegadas por esta Ley u otras leyes. </w:t>
      </w:r>
    </w:p>
    <w:p w14:paraId="71DF866F" w14:textId="77777777" w:rsidR="004448D3" w:rsidRPr="007F5C10" w:rsidRDefault="004448D3" w:rsidP="007F5C10">
      <w:pPr>
        <w:pStyle w:val="Prrafodelista"/>
        <w:spacing w:line="480" w:lineRule="auto"/>
        <w:ind w:left="2520" w:right="403" w:firstLine="360"/>
        <w:jc w:val="both"/>
        <w:rPr>
          <w:rFonts w:ascii="Book Antiqua" w:hAnsi="Book Antiqua"/>
          <w:szCs w:val="24"/>
          <w:lang w:val="es-419"/>
        </w:rPr>
      </w:pPr>
      <w:r w:rsidRPr="007F5C10">
        <w:rPr>
          <w:rFonts w:ascii="Book Antiqua" w:hAnsi="Book Antiqua"/>
          <w:szCs w:val="24"/>
          <w:lang w:val="es-419"/>
        </w:rPr>
        <w:t xml:space="preserve">Antes de que la Agencia Proponente tome la decisión final sobre la acción propuesta, deberá cumplir con el proceso de planificación ambiental y emitir un documento ambiental, ya sea determinando que la acción de que se trate tendrá un impacto significativo o que no tendrá tal impacto, el funcionario responsable del mismo consultará y obtendrá la opinión que sobre la legislación propuesta, la acción a efectuarse o la decisión gubernamental a promulgarse tenga </w:t>
      </w:r>
      <w:r w:rsidRPr="007F5C10">
        <w:rPr>
          <w:rFonts w:ascii="Book Antiqua" w:hAnsi="Book Antiqua"/>
          <w:szCs w:val="24"/>
          <w:lang w:val="es-419"/>
        </w:rPr>
        <w:lastRenderedPageBreak/>
        <w:t xml:space="preserve">cualquier otro organismo gubernamental con jurisdicción o inherencia sobre el impacto ambiental de dicha legislación, acción o decisión. </w:t>
      </w:r>
    </w:p>
    <w:p w14:paraId="27354D75" w14:textId="77777777" w:rsidR="004448D3" w:rsidRPr="007F5C10" w:rsidRDefault="004448D3" w:rsidP="007F5C10">
      <w:pPr>
        <w:pStyle w:val="Prrafodelista"/>
        <w:spacing w:line="480" w:lineRule="auto"/>
        <w:ind w:left="2520" w:right="403" w:firstLine="360"/>
        <w:jc w:val="both"/>
        <w:rPr>
          <w:rFonts w:ascii="Book Antiqua" w:hAnsi="Book Antiqua"/>
          <w:szCs w:val="24"/>
          <w:lang w:val="es-419"/>
        </w:rPr>
      </w:pPr>
      <w:r w:rsidRPr="007F5C10">
        <w:rPr>
          <w:rFonts w:ascii="Book Antiqua" w:hAnsi="Book Antiqua"/>
          <w:szCs w:val="24"/>
          <w:lang w:val="es-419"/>
        </w:rPr>
        <w:t xml:space="preserve">Copia de dicho documento ambiental será enviado a la División de Evaluación de Cumplimiento Ambiental de la Oficina de Gerencia de Permisos. Dicha División será la encargada de obtener las recomendaciones de las unidades y de emitir sus recomendaciones al </w:t>
      </w:r>
      <w:proofErr w:type="gramStart"/>
      <w:r w:rsidRPr="007F5C10">
        <w:rPr>
          <w:rFonts w:ascii="Book Antiqua" w:hAnsi="Book Antiqua"/>
          <w:szCs w:val="24"/>
          <w:lang w:val="es-419"/>
        </w:rPr>
        <w:t>Director Ejecutivo</w:t>
      </w:r>
      <w:proofErr w:type="gramEnd"/>
      <w:r w:rsidRPr="007F5C10">
        <w:rPr>
          <w:rFonts w:ascii="Book Antiqua" w:hAnsi="Book Antiqua"/>
          <w:szCs w:val="24"/>
          <w:lang w:val="es-419"/>
        </w:rPr>
        <w:t xml:space="preserve"> de la Oficina de Gerencia de Permisos. Además, se tendrán a la disposición del público y se acompañarán a la propuesta de legislación, acción o decisión para los correspondientes procesos de examen y estudio. </w:t>
      </w:r>
    </w:p>
    <w:p w14:paraId="42E9422B" w14:textId="77777777" w:rsidR="004448D3" w:rsidRPr="007F5C10" w:rsidRDefault="004448D3" w:rsidP="007F5C10">
      <w:pPr>
        <w:pStyle w:val="Prrafodelista"/>
        <w:spacing w:line="480" w:lineRule="auto"/>
        <w:ind w:left="2520" w:right="403" w:firstLine="360"/>
        <w:jc w:val="both"/>
        <w:rPr>
          <w:rFonts w:ascii="Book Antiqua" w:hAnsi="Book Antiqua"/>
          <w:szCs w:val="24"/>
          <w:lang w:val="es-419"/>
        </w:rPr>
      </w:pPr>
      <w:r w:rsidRPr="007F5C10">
        <w:rPr>
          <w:rFonts w:ascii="Book Antiqua" w:hAnsi="Book Antiqua"/>
          <w:szCs w:val="24"/>
          <w:lang w:val="es-419"/>
        </w:rPr>
        <w:t xml:space="preserve">El funcionario responsable de emitir la declaración de impacto ambiental entregará una copia de ella en un medio de reproducción electrónica en el formato que el Departamento de Recursos Naturales y Ambientales establezca. La Oficina de Gerencia de Permisos publicará electrónicamente dicha declaración de impacto ambiental a través de un medio de fácil acceso y libre de costo, tal como la Internet. La publicación electrónica de la declaración de impacto ambiental y su disponibilidad al público coincidirá </w:t>
      </w:r>
      <w:r w:rsidRPr="007F5C10">
        <w:rPr>
          <w:rFonts w:ascii="Book Antiqua" w:hAnsi="Book Antiqua"/>
          <w:szCs w:val="24"/>
          <w:lang w:val="es-419"/>
        </w:rPr>
        <w:lastRenderedPageBreak/>
        <w:t>con la fecha de disponibilidad pública de este documento en sus copias en papel.</w:t>
      </w:r>
    </w:p>
    <w:p w14:paraId="099C3C19" w14:textId="77777777" w:rsidR="004448D3" w:rsidRPr="007F5C10" w:rsidRDefault="004448D3" w:rsidP="007F5C10">
      <w:pPr>
        <w:pStyle w:val="Prrafodelista"/>
        <w:spacing w:line="480" w:lineRule="auto"/>
        <w:ind w:left="2520" w:right="403" w:firstLine="360"/>
        <w:jc w:val="both"/>
        <w:rPr>
          <w:rFonts w:ascii="Book Antiqua" w:hAnsi="Book Antiqua"/>
          <w:szCs w:val="24"/>
          <w:lang w:val="es-419"/>
        </w:rPr>
      </w:pPr>
      <w:r w:rsidRPr="007F5C10">
        <w:rPr>
          <w:rFonts w:ascii="Book Antiqua" w:hAnsi="Book Antiqua"/>
          <w:i/>
          <w:iCs/>
          <w:szCs w:val="24"/>
          <w:lang w:val="es-419"/>
        </w:rPr>
        <w:t>La declaración de impacto ambiental estará vigente durante</w:t>
      </w:r>
      <w:r w:rsidRPr="007F5C10">
        <w:rPr>
          <w:rFonts w:ascii="Book Antiqua" w:eastAsiaTheme="minorHAnsi" w:hAnsi="Book Antiqua" w:cstheme="minorBidi"/>
          <w:i/>
          <w:iCs/>
          <w:kern w:val="2"/>
          <w:szCs w:val="24"/>
          <w:lang w:val="es-419"/>
          <w14:ligatures w14:val="standardContextual"/>
        </w:rPr>
        <w:t xml:space="preserve"> cinco (5)</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años o hasta la fecha límite para el comienzo de la acción</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propuesta, lo que ocurra primero.</w:t>
      </w:r>
    </w:p>
    <w:p w14:paraId="49BA41B4"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p>
    <w:p w14:paraId="09778031"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87D9D8F"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p>
    <w:p w14:paraId="161254EA"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p>
    <w:p w14:paraId="58503FF1"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p>
    <w:p w14:paraId="19B1DD77" w14:textId="77777777" w:rsidR="004448D3" w:rsidRPr="007F5C10" w:rsidRDefault="004448D3" w:rsidP="007F5C10">
      <w:pPr>
        <w:pStyle w:val="Prrafodelista"/>
        <w:numPr>
          <w:ilvl w:val="1"/>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 </w:t>
      </w:r>
    </w:p>
    <w:p w14:paraId="5789DAB2" w14:textId="77777777" w:rsidR="004448D3" w:rsidRPr="007F5C10" w:rsidRDefault="004448D3" w:rsidP="007F5C10">
      <w:pPr>
        <w:pStyle w:val="Prrafodelista"/>
        <w:numPr>
          <w:ilvl w:val="0"/>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w:t>
      </w:r>
    </w:p>
    <w:p w14:paraId="5E97CEE8" w14:textId="77777777" w:rsidR="004448D3" w:rsidRPr="007F5C10" w:rsidRDefault="004448D3" w:rsidP="007F5C10">
      <w:pPr>
        <w:pStyle w:val="Prrafodelista"/>
        <w:numPr>
          <w:ilvl w:val="0"/>
          <w:numId w:val="14"/>
        </w:numPr>
        <w:spacing w:line="480" w:lineRule="auto"/>
        <w:ind w:right="403"/>
        <w:jc w:val="both"/>
        <w:rPr>
          <w:rFonts w:ascii="Book Antiqua" w:hAnsi="Book Antiqua"/>
          <w:szCs w:val="24"/>
          <w:lang w:val="es-419"/>
        </w:rPr>
      </w:pPr>
      <w:r w:rsidRPr="007F5C10">
        <w:rPr>
          <w:rFonts w:ascii="Book Antiqua" w:hAnsi="Book Antiqua"/>
          <w:szCs w:val="24"/>
          <w:lang w:val="es-419"/>
        </w:rPr>
        <w:t>— …”</w:t>
      </w:r>
    </w:p>
    <w:p w14:paraId="00E977DF" w14:textId="77777777" w:rsidR="004448D3" w:rsidRPr="007F5C10" w:rsidRDefault="004448D3" w:rsidP="007F5C10">
      <w:pPr>
        <w:spacing w:line="480" w:lineRule="auto"/>
        <w:ind w:firstLine="720"/>
        <w:jc w:val="both"/>
        <w:rPr>
          <w:rFonts w:ascii="Book Antiqua" w:hAnsi="Book Antiqua"/>
          <w:szCs w:val="24"/>
          <w:lang w:val="es-419"/>
        </w:rPr>
      </w:pPr>
      <w:r w:rsidRPr="007F5C10">
        <w:rPr>
          <w:rFonts w:ascii="Book Antiqua" w:hAnsi="Book Antiqua"/>
          <w:szCs w:val="24"/>
          <w:lang w:val="es-ES_tradnl"/>
        </w:rPr>
        <w:t xml:space="preserve">Sección 2.- Se enmienda el Artículo 1.5 de la </w:t>
      </w:r>
      <w:r w:rsidRPr="007F5C10">
        <w:rPr>
          <w:rFonts w:ascii="Book Antiqua" w:hAnsi="Book Antiqua"/>
          <w:szCs w:val="24"/>
          <w:lang w:val="es-419"/>
        </w:rPr>
        <w:t>Ley 161-2009, según enmendada, denominada “Ley para la Reforma del Proceso de Permisos de Puerto Rico”, para que lea como sigue:</w:t>
      </w:r>
    </w:p>
    <w:p w14:paraId="17A85478" w14:textId="77777777" w:rsidR="004448D3" w:rsidRPr="007F5C10" w:rsidRDefault="004448D3" w:rsidP="007F5C10">
      <w:pPr>
        <w:spacing w:line="480" w:lineRule="auto"/>
        <w:ind w:left="720" w:right="403" w:firstLine="720"/>
        <w:jc w:val="both"/>
        <w:rPr>
          <w:rFonts w:ascii="Book Antiqua" w:hAnsi="Book Antiqua"/>
          <w:szCs w:val="24"/>
          <w:lang w:val="es-419"/>
        </w:rPr>
      </w:pPr>
      <w:r w:rsidRPr="007F5C10">
        <w:rPr>
          <w:rFonts w:ascii="Book Antiqua" w:hAnsi="Book Antiqua"/>
          <w:szCs w:val="24"/>
          <w:lang w:val="es-419"/>
        </w:rPr>
        <w:t xml:space="preserve">“Artículo 1.5.- Definiciones. </w:t>
      </w:r>
    </w:p>
    <w:p w14:paraId="2FBD4AC0" w14:textId="77777777" w:rsidR="004448D3" w:rsidRPr="007F5C10" w:rsidRDefault="004448D3" w:rsidP="007F5C10">
      <w:pPr>
        <w:spacing w:line="480" w:lineRule="auto"/>
        <w:ind w:left="720" w:right="403" w:firstLine="720"/>
        <w:jc w:val="both"/>
        <w:rPr>
          <w:rFonts w:ascii="Book Antiqua" w:hAnsi="Book Antiqua"/>
          <w:szCs w:val="24"/>
          <w:lang w:val="es-419"/>
        </w:rPr>
      </w:pPr>
      <w:r w:rsidRPr="007F5C10">
        <w:rPr>
          <w:rFonts w:ascii="Book Antiqua" w:hAnsi="Book Antiqua"/>
          <w:szCs w:val="24"/>
          <w:lang w:val="es-419"/>
        </w:rPr>
        <w:t xml:space="preserve">Para los propósitos de esta Ley, los siguientes términos tendrán el significado que se dispone a continuación, salvo que del propio texto de </w:t>
      </w:r>
      <w:proofErr w:type="gramStart"/>
      <w:r w:rsidRPr="007F5C10">
        <w:rPr>
          <w:rFonts w:ascii="Book Antiqua" w:hAnsi="Book Antiqua"/>
          <w:szCs w:val="24"/>
          <w:lang w:val="es-419"/>
        </w:rPr>
        <w:t>la misma</w:t>
      </w:r>
      <w:proofErr w:type="gramEnd"/>
      <w:r w:rsidRPr="007F5C10">
        <w:rPr>
          <w:rFonts w:ascii="Book Antiqua" w:hAnsi="Book Antiqua"/>
          <w:szCs w:val="24"/>
          <w:lang w:val="es-419"/>
        </w:rPr>
        <w:t xml:space="preserve"> se desprenda lo contrario:</w:t>
      </w:r>
    </w:p>
    <w:p w14:paraId="0BE96DD9"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1527E19C"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3606C93E"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lastRenderedPageBreak/>
        <w:t>…</w:t>
      </w:r>
    </w:p>
    <w:p w14:paraId="3D632E1F"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0ED2E49"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61563E3"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3DA5CC3D"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1C9912A9"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376D9059"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01476D98"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C4409BB"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936168A"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3B0B75AD"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1AE3F38"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54BC2B39"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51D3086A"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7F6BB20"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3F7594B0"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1CD60A84"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“Declaración de Impacto Ambiental (DIA)” — documento ambiental presentado ante la Oficina de Gerencia de Permisos, quien referirá dicho documento a la División de Cumplimiento Ambiental de la Oficina de Gerencia para cumplir con los requisitos del Artículo 4(B)(3) de la Ley Núm. 416 de 22 de septiembre de 2004, según enmendada, cuando se ha determinado que la acción </w:t>
      </w:r>
      <w:r w:rsidRPr="007F5C10">
        <w:rPr>
          <w:rFonts w:ascii="Book Antiqua" w:hAnsi="Book Antiqua"/>
          <w:szCs w:val="24"/>
          <w:lang w:val="es-419"/>
        </w:rPr>
        <w:lastRenderedPageBreak/>
        <w:t>propuesta conllevará un impacto significativo sobre el ambiente, según definido en el reglamento a ser promulgado a tenor con las disposiciones del Artículo 8.5 de esta Ley</w:t>
      </w:r>
      <w:r w:rsidRPr="007F5C10">
        <w:rPr>
          <w:rFonts w:ascii="Book Antiqua" w:hAnsi="Book Antiqua"/>
          <w:i/>
          <w:iCs/>
          <w:szCs w:val="24"/>
          <w:lang w:val="es-419"/>
        </w:rPr>
        <w:t>. Este documento estará vigente durante</w:t>
      </w:r>
      <w:r w:rsidRPr="007F5C10">
        <w:rPr>
          <w:rFonts w:ascii="Book Antiqua" w:eastAsiaTheme="minorHAnsi" w:hAnsi="Book Antiqua" w:cstheme="minorBidi"/>
          <w:i/>
          <w:iCs/>
          <w:kern w:val="2"/>
          <w:szCs w:val="24"/>
          <w:lang w:val="es-419"/>
          <w14:ligatures w14:val="standardContextual"/>
        </w:rPr>
        <w:t xml:space="preserve"> cinco (5)</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años o hasta la fecha límite para el comienzo de la acción</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propuesta, lo que ocurra primero</w:t>
      </w:r>
      <w:r w:rsidRPr="007F5C10">
        <w:rPr>
          <w:rFonts w:ascii="Book Antiqua" w:hAnsi="Book Antiqua"/>
          <w:szCs w:val="24"/>
          <w:lang w:val="es-419"/>
        </w:rPr>
        <w:t>;</w:t>
      </w:r>
    </w:p>
    <w:p w14:paraId="5A5E36FA"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“Determinación de No Impacto Ambiental” — determinación de la Agencia Proponente, basada y sostenida por la información contenida en una Evaluación Ambiental (EA), en el sentido de que una acción propuesta no conllevará impacto ambiental significativo. </w:t>
      </w:r>
      <w:r w:rsidRPr="007F5C10">
        <w:rPr>
          <w:rFonts w:ascii="Book Antiqua" w:hAnsi="Book Antiqua"/>
          <w:i/>
          <w:iCs/>
          <w:szCs w:val="24"/>
          <w:lang w:val="es-419"/>
        </w:rPr>
        <w:t>Este documento estará vigente durante</w:t>
      </w:r>
      <w:r w:rsidRPr="007F5C10">
        <w:rPr>
          <w:rFonts w:ascii="Book Antiqua" w:eastAsiaTheme="minorHAnsi" w:hAnsi="Book Antiqua" w:cstheme="minorBidi"/>
          <w:i/>
          <w:iCs/>
          <w:kern w:val="2"/>
          <w:szCs w:val="24"/>
          <w:lang w:val="es-419"/>
          <w14:ligatures w14:val="standardContextual"/>
        </w:rPr>
        <w:t xml:space="preserve"> cinco (5)</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años o hasta la fecha límite para el comienzo de la acción</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propuesta, lo que ocurra primero</w:t>
      </w:r>
      <w:r w:rsidRPr="007F5C10">
        <w:rPr>
          <w:rFonts w:ascii="Book Antiqua" w:hAnsi="Book Antiqua"/>
          <w:szCs w:val="24"/>
          <w:lang w:val="es-419"/>
        </w:rPr>
        <w:t>;</w:t>
      </w:r>
    </w:p>
    <w:p w14:paraId="6B700A88"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450EAF5"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 xml:space="preserve">“Determinación de Cumplimiento Ambiental” — Para propósitos de esta Ley, es toda determinación que realiza el </w:t>
      </w:r>
      <w:proofErr w:type="gramStart"/>
      <w:r w:rsidRPr="007F5C10">
        <w:rPr>
          <w:rFonts w:ascii="Book Antiqua" w:hAnsi="Book Antiqua"/>
          <w:szCs w:val="24"/>
          <w:lang w:val="es-419"/>
        </w:rPr>
        <w:t>Director Ejecutivo</w:t>
      </w:r>
      <w:proofErr w:type="gramEnd"/>
      <w:r w:rsidRPr="007F5C10">
        <w:rPr>
          <w:rFonts w:ascii="Book Antiqua" w:hAnsi="Book Antiqua"/>
          <w:szCs w:val="24"/>
          <w:lang w:val="es-419"/>
        </w:rPr>
        <w:t xml:space="preserve"> de la Oficina de Gerencia de Permisos o la Junta Adjudicativa, como parte de una determinación final, en donde certifica que la agencia proponente ha cumplido con los requisitos sustantivos y procesales del Artículo 4(B)(3) de la Ley 416-2004, según enmendada, conocida como la “Ley sobre Política Pública Ambiental”, y con los reglamentos aplicables.</w:t>
      </w:r>
      <w:r w:rsidRPr="007F5C10">
        <w:rPr>
          <w:rFonts w:ascii="Book Antiqua" w:hAnsi="Book Antiqua"/>
          <w:i/>
          <w:iCs/>
          <w:szCs w:val="24"/>
          <w:lang w:val="es-419"/>
        </w:rPr>
        <w:t xml:space="preserve"> Esta determinación estará vigente durante</w:t>
      </w:r>
      <w:r w:rsidRPr="007F5C10">
        <w:rPr>
          <w:rFonts w:ascii="Book Antiqua" w:eastAsiaTheme="minorHAnsi" w:hAnsi="Book Antiqua" w:cstheme="minorBidi"/>
          <w:i/>
          <w:iCs/>
          <w:kern w:val="2"/>
          <w:szCs w:val="24"/>
          <w:lang w:val="es-419"/>
          <w14:ligatures w14:val="standardContextual"/>
        </w:rPr>
        <w:t xml:space="preserve"> cinco (5)</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años o hasta la fecha límite para el comienzo de la acción</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propuesta, lo que ocurra primero</w:t>
      </w:r>
      <w:r w:rsidRPr="007F5C10">
        <w:rPr>
          <w:rFonts w:ascii="Book Antiqua" w:hAnsi="Book Antiqua"/>
          <w:szCs w:val="24"/>
          <w:lang w:val="es-419"/>
        </w:rPr>
        <w:t>.</w:t>
      </w:r>
    </w:p>
    <w:p w14:paraId="6F52940A"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lastRenderedPageBreak/>
        <w:t xml:space="preserve">“Determinación de Cumplimiento Ambiental por Exclusión Categórica” — Para propósitos de esta Ley, determinación que realiza el Profesional Autorizado, o el </w:t>
      </w:r>
      <w:proofErr w:type="gramStart"/>
      <w:r w:rsidRPr="007F5C10">
        <w:rPr>
          <w:rFonts w:ascii="Book Antiqua" w:hAnsi="Book Antiqua"/>
          <w:szCs w:val="24"/>
          <w:lang w:val="es-419"/>
        </w:rPr>
        <w:t>Director</w:t>
      </w:r>
      <w:proofErr w:type="gramEnd"/>
      <w:r w:rsidRPr="007F5C10">
        <w:rPr>
          <w:rFonts w:ascii="Book Antiqua" w:hAnsi="Book Antiqua"/>
          <w:szCs w:val="24"/>
          <w:lang w:val="es-419"/>
        </w:rPr>
        <w:t xml:space="preserve"> de la Oficina de Gerencia de Permisos, como parte de una determinación final, en donde certifica que la acción, actividad o proyecto propuesto no requiere acción ulterior de planificación ambiental por estar clasificado como una Exclusión Categórica. Se considerarán Exclusiones Categóricas todas aquellas acciones que así determine la Junta de Calidad Ambiental mediante reglamento, orden o resolución promulgada a esos efectos. Como parte de la solicitud de Determinación de Cumplimiento Ambiental bajo Exclusión Categórica, el solicitante del permiso certifica por escrito, bajo juramento, y sujeto a las penalidades impuestas por esta Ley y cualesquiera otras leyes estatales o federales, que la información contenida en la solicitud es veraz, correcta y completa y que la acción propuesta cualifica como una Exclusión Categórica.</w:t>
      </w:r>
      <w:r w:rsidRPr="007F5C10">
        <w:rPr>
          <w:rFonts w:ascii="Book Antiqua" w:hAnsi="Book Antiqua"/>
          <w:i/>
          <w:iCs/>
          <w:szCs w:val="24"/>
          <w:lang w:val="es-419"/>
        </w:rPr>
        <w:t xml:space="preserve"> Esta determinación estará vigente durante</w:t>
      </w:r>
      <w:r w:rsidRPr="007F5C10">
        <w:rPr>
          <w:rFonts w:ascii="Book Antiqua" w:eastAsiaTheme="minorHAnsi" w:hAnsi="Book Antiqua" w:cstheme="minorBidi"/>
          <w:i/>
          <w:iCs/>
          <w:kern w:val="2"/>
          <w:szCs w:val="24"/>
          <w:lang w:val="es-419"/>
          <w14:ligatures w14:val="standardContextual"/>
        </w:rPr>
        <w:t xml:space="preserve"> cinco (5)</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años o hasta la fecha límite para el comienzo de la acción</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propuesta, lo que ocurra primero</w:t>
      </w:r>
      <w:r w:rsidRPr="007F5C10">
        <w:rPr>
          <w:rFonts w:ascii="Book Antiqua" w:hAnsi="Book Antiqua"/>
          <w:szCs w:val="24"/>
          <w:lang w:val="es-419"/>
        </w:rPr>
        <w:t>.</w:t>
      </w:r>
    </w:p>
    <w:p w14:paraId="4E063812"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5FA1EEDE"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62559CCD"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096D62BB"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47155E2"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lastRenderedPageBreak/>
        <w:t>…</w:t>
      </w:r>
    </w:p>
    <w:p w14:paraId="4AF8908C"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3CCE35B5"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DEF3B57" w14:textId="77777777" w:rsidR="004448D3" w:rsidRPr="007F5C10" w:rsidRDefault="004448D3" w:rsidP="007F5C10">
      <w:pPr>
        <w:pStyle w:val="Prrafodelista"/>
        <w:spacing w:line="480" w:lineRule="auto"/>
        <w:ind w:left="1440" w:right="403"/>
        <w:jc w:val="both"/>
        <w:rPr>
          <w:rFonts w:ascii="Book Antiqua" w:hAnsi="Book Antiqua"/>
          <w:szCs w:val="24"/>
          <w:lang w:val="es-419"/>
        </w:rPr>
      </w:pPr>
      <w:r w:rsidRPr="007F5C10">
        <w:rPr>
          <w:rFonts w:ascii="Book Antiqua" w:hAnsi="Book Antiqua"/>
          <w:szCs w:val="24"/>
          <w:lang w:val="es-419"/>
        </w:rPr>
        <w:t>30A) …</w:t>
      </w:r>
    </w:p>
    <w:p w14:paraId="6DC46998"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313E920"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4DE342AC"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281965B"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6071DAAD"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“Evaluación ambiental” — documento ambiental utilizado por la Agencia Proponente para determinar si la acción propuesta tendrá o no un posible impacto ambiental significativo cuando dicha Agencia no haya decidido presentar una DIA de antemano</w:t>
      </w:r>
      <w:r w:rsidRPr="007F5C10">
        <w:rPr>
          <w:rFonts w:ascii="Book Antiqua" w:hAnsi="Book Antiqua"/>
          <w:i/>
          <w:iCs/>
          <w:szCs w:val="24"/>
          <w:lang w:val="es-419"/>
        </w:rPr>
        <w:t>. Este documento estará vigente durante</w:t>
      </w:r>
      <w:r w:rsidRPr="007F5C10">
        <w:rPr>
          <w:rFonts w:ascii="Book Antiqua" w:eastAsiaTheme="minorHAnsi" w:hAnsi="Book Antiqua" w:cstheme="minorBidi"/>
          <w:i/>
          <w:iCs/>
          <w:kern w:val="2"/>
          <w:szCs w:val="24"/>
          <w:lang w:val="es-419"/>
          <w14:ligatures w14:val="standardContextual"/>
        </w:rPr>
        <w:t xml:space="preserve"> cinco (5)</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años o hasta la fecha límite para el comienzo de la acción</w:t>
      </w:r>
      <w:r w:rsidRPr="007F5C10">
        <w:rPr>
          <w:rFonts w:ascii="Book Antiqua" w:hAnsi="Book Antiqua"/>
          <w:i/>
          <w:iCs/>
          <w:szCs w:val="24"/>
          <w:lang w:val="es-419"/>
        </w:rPr>
        <w:t xml:space="preserve"> </w:t>
      </w:r>
      <w:r w:rsidRPr="007F5C10">
        <w:rPr>
          <w:rFonts w:ascii="Book Antiqua" w:eastAsiaTheme="minorHAnsi" w:hAnsi="Book Antiqua"/>
          <w:i/>
          <w:iCs/>
          <w:szCs w:val="24"/>
          <w:lang w:val="es-419"/>
        </w:rPr>
        <w:t>propuesta, lo que ocurra primero</w:t>
      </w:r>
      <w:r w:rsidRPr="007F5C10">
        <w:rPr>
          <w:rFonts w:ascii="Book Antiqua" w:hAnsi="Book Antiqua"/>
          <w:szCs w:val="24"/>
          <w:lang w:val="es-419"/>
        </w:rPr>
        <w:t>;</w:t>
      </w:r>
    </w:p>
    <w:p w14:paraId="0ADF12D7" w14:textId="77777777" w:rsidR="004448D3" w:rsidRPr="007F5C10" w:rsidRDefault="004448D3" w:rsidP="007F5C10">
      <w:pPr>
        <w:pStyle w:val="Prrafodelista"/>
        <w:numPr>
          <w:ilvl w:val="0"/>
          <w:numId w:val="15"/>
        </w:numPr>
        <w:spacing w:line="480" w:lineRule="auto"/>
        <w:ind w:right="403"/>
        <w:jc w:val="both"/>
        <w:rPr>
          <w:rFonts w:ascii="Book Antiqua" w:hAnsi="Book Antiqua"/>
          <w:szCs w:val="24"/>
          <w:lang w:val="es-419"/>
        </w:rPr>
      </w:pPr>
      <w:r w:rsidRPr="007F5C10">
        <w:rPr>
          <w:rFonts w:ascii="Book Antiqua" w:hAnsi="Book Antiqua"/>
          <w:szCs w:val="24"/>
          <w:lang w:val="es-419"/>
        </w:rPr>
        <w:t>…</w:t>
      </w:r>
    </w:p>
    <w:p w14:paraId="2AE27C7A" w14:textId="77777777" w:rsidR="004448D3" w:rsidRPr="007F5C10" w:rsidRDefault="004448D3" w:rsidP="007F5C10">
      <w:pPr>
        <w:pStyle w:val="Prrafodelista"/>
        <w:spacing w:line="480" w:lineRule="auto"/>
        <w:ind w:left="1800" w:right="403"/>
        <w:jc w:val="both"/>
        <w:rPr>
          <w:rFonts w:ascii="Book Antiqua" w:hAnsi="Book Antiqua"/>
          <w:szCs w:val="24"/>
          <w:lang w:val="es-419"/>
        </w:rPr>
      </w:pPr>
      <w:r w:rsidRPr="007F5C10">
        <w:rPr>
          <w:rFonts w:ascii="Book Antiqua" w:hAnsi="Book Antiqua"/>
          <w:szCs w:val="24"/>
          <w:lang w:val="es-419"/>
        </w:rPr>
        <w:t>…</w:t>
      </w:r>
    </w:p>
    <w:p w14:paraId="4DCE1AE7" w14:textId="77777777" w:rsidR="004448D3" w:rsidRPr="007F5C10" w:rsidRDefault="004448D3" w:rsidP="007F5C10">
      <w:pPr>
        <w:pStyle w:val="Prrafodelista"/>
        <w:spacing w:line="480" w:lineRule="auto"/>
        <w:ind w:left="1440" w:right="403"/>
        <w:jc w:val="both"/>
        <w:rPr>
          <w:rFonts w:ascii="Book Antiqua" w:hAnsi="Book Antiqua"/>
          <w:szCs w:val="24"/>
          <w:lang w:val="es-419"/>
        </w:rPr>
      </w:pPr>
      <w:r w:rsidRPr="007F5C10">
        <w:rPr>
          <w:rFonts w:ascii="Book Antiqua" w:hAnsi="Book Antiqua"/>
          <w:szCs w:val="24"/>
          <w:lang w:val="es-419"/>
        </w:rPr>
        <w:t>95) …”</w:t>
      </w:r>
    </w:p>
    <w:p w14:paraId="76EAEDCD" w14:textId="77777777" w:rsidR="004448D3" w:rsidRPr="007F5C10" w:rsidRDefault="004448D3" w:rsidP="007F5C10">
      <w:pPr>
        <w:spacing w:line="480" w:lineRule="auto"/>
        <w:ind w:firstLine="720"/>
        <w:jc w:val="both"/>
        <w:rPr>
          <w:rFonts w:ascii="Book Antiqua" w:hAnsi="Book Antiqua"/>
          <w:szCs w:val="24"/>
          <w:lang w:val="es-ES_tradnl"/>
        </w:rPr>
      </w:pPr>
      <w:r w:rsidRPr="007F5C10">
        <w:rPr>
          <w:rFonts w:ascii="Book Antiqua" w:hAnsi="Book Antiqua"/>
          <w:szCs w:val="24"/>
          <w:lang w:val="es-ES_tradnl"/>
        </w:rPr>
        <w:t>Sección 3.- Validez de documentos ambientales previos.</w:t>
      </w:r>
    </w:p>
    <w:p w14:paraId="2DB1C22B" w14:textId="77777777" w:rsidR="004448D3" w:rsidRPr="007F5C10" w:rsidRDefault="004448D3" w:rsidP="007F5C10">
      <w:pPr>
        <w:spacing w:line="480" w:lineRule="auto"/>
        <w:ind w:firstLine="720"/>
        <w:jc w:val="both"/>
        <w:rPr>
          <w:rFonts w:ascii="Book Antiqua" w:hAnsi="Book Antiqua"/>
          <w:szCs w:val="24"/>
          <w:lang w:val="es-ES_tradnl"/>
        </w:rPr>
      </w:pPr>
      <w:r w:rsidRPr="007F5C10">
        <w:rPr>
          <w:rFonts w:ascii="Book Antiqua" w:hAnsi="Book Antiqua"/>
          <w:szCs w:val="24"/>
          <w:lang w:val="es-ES_tradnl"/>
        </w:rPr>
        <w:t xml:space="preserve">Toda “Declaración de Impacto Ambiental”, </w:t>
      </w:r>
      <w:r w:rsidRPr="007F5C10">
        <w:rPr>
          <w:rFonts w:ascii="Book Antiqua" w:hAnsi="Book Antiqua"/>
          <w:szCs w:val="24"/>
          <w:lang w:val="es-419"/>
        </w:rPr>
        <w:t>“Determinación de No Impacto Ambiental”, “Determinación de Cumplimiento Ambiental”,</w:t>
      </w:r>
      <w:r w:rsidRPr="007F5C10">
        <w:rPr>
          <w:rFonts w:ascii="Book Antiqua" w:hAnsi="Book Antiqua"/>
          <w:szCs w:val="24"/>
          <w:lang w:val="es-ES_tradnl"/>
        </w:rPr>
        <w:t xml:space="preserve"> </w:t>
      </w:r>
      <w:r w:rsidRPr="007F5C10">
        <w:rPr>
          <w:rFonts w:ascii="Book Antiqua" w:hAnsi="Book Antiqua"/>
          <w:szCs w:val="24"/>
          <w:lang w:val="es-419"/>
        </w:rPr>
        <w:t xml:space="preserve">“Determinación de Cumplimiento Ambiental por Exclusión Categórica” o “Evaluación ambiental” </w:t>
      </w:r>
      <w:r w:rsidRPr="007F5C10">
        <w:rPr>
          <w:rFonts w:ascii="Book Antiqua" w:hAnsi="Book Antiqua"/>
          <w:szCs w:val="24"/>
          <w:lang w:val="es-ES_tradnl"/>
        </w:rPr>
        <w:t xml:space="preserve">que hubiere sido emitida, expedida, autorizada, aprobada o adoptada con más de cinco (5) </w:t>
      </w:r>
      <w:r w:rsidRPr="007F5C10">
        <w:rPr>
          <w:rFonts w:ascii="Book Antiqua" w:hAnsi="Book Antiqua"/>
          <w:szCs w:val="24"/>
          <w:lang w:val="es-ES_tradnl"/>
        </w:rPr>
        <w:lastRenderedPageBreak/>
        <w:t>años previo a la aprobación de esta Ley se declara nula, ineficaz, inoperante e inválida, independientemente del reglamento al amparo del cual se haya creado.</w:t>
      </w:r>
    </w:p>
    <w:p w14:paraId="1772A64B" w14:textId="77777777" w:rsidR="004448D3" w:rsidRPr="007F5C10" w:rsidRDefault="004448D3" w:rsidP="007F5C10">
      <w:pPr>
        <w:spacing w:line="480" w:lineRule="auto"/>
        <w:ind w:firstLine="720"/>
        <w:jc w:val="both"/>
        <w:rPr>
          <w:rFonts w:ascii="Book Antiqua" w:hAnsi="Book Antiqua"/>
          <w:szCs w:val="24"/>
          <w:lang w:val="es-ES_tradnl"/>
        </w:rPr>
      </w:pPr>
      <w:r w:rsidRPr="007F5C10">
        <w:rPr>
          <w:rFonts w:ascii="Book Antiqua" w:hAnsi="Book Antiqua"/>
          <w:szCs w:val="24"/>
          <w:lang w:val="es-ES_tradnl"/>
        </w:rPr>
        <w:t>Sección 4.- Reglamentación.</w:t>
      </w:r>
    </w:p>
    <w:p w14:paraId="24624757" w14:textId="77777777" w:rsidR="004448D3" w:rsidRPr="007F5C10" w:rsidRDefault="004448D3" w:rsidP="007F5C10">
      <w:pPr>
        <w:spacing w:line="480" w:lineRule="auto"/>
        <w:ind w:firstLine="720"/>
        <w:jc w:val="both"/>
        <w:rPr>
          <w:rFonts w:ascii="Book Antiqua" w:hAnsi="Book Antiqua"/>
          <w:szCs w:val="24"/>
          <w:lang w:val="es-ES_tradnl"/>
        </w:rPr>
      </w:pPr>
      <w:r w:rsidRPr="007F5C10">
        <w:rPr>
          <w:rFonts w:ascii="Book Antiqua" w:hAnsi="Book Antiqua"/>
          <w:szCs w:val="24"/>
          <w:lang w:val="es-ES_tradnl"/>
        </w:rPr>
        <w:t xml:space="preserve">Dentro de un término de ciento veinte (120) días a partir de la aprobación de esta Ley, el Departamento de Recursos Naturales y Ambientales atemperará su reglamentación interna a lo dispuesto en este estatuto, incluyendo, pero sin limitarse al Reglamento Núm. 8858 de </w:t>
      </w:r>
      <w:r w:rsidRPr="007F5C10">
        <w:rPr>
          <w:rFonts w:ascii="Book Antiqua" w:hAnsi="Book Antiqua"/>
          <w:szCs w:val="24"/>
          <w:lang w:val="es-419"/>
        </w:rPr>
        <w:t>23 de noviembre de 2016, titulado “Reglamento para el Proceso de Evaluación Ambiental”.</w:t>
      </w:r>
    </w:p>
    <w:p w14:paraId="6957A201" w14:textId="77777777" w:rsidR="004448D3" w:rsidRPr="007F5C10" w:rsidRDefault="004448D3" w:rsidP="007F5C10">
      <w:pPr>
        <w:spacing w:line="480" w:lineRule="auto"/>
        <w:ind w:firstLine="720"/>
        <w:jc w:val="both"/>
        <w:rPr>
          <w:rFonts w:ascii="Book Antiqua" w:hAnsi="Book Antiqua"/>
          <w:szCs w:val="24"/>
          <w:lang w:val="es-ES_tradnl"/>
        </w:rPr>
      </w:pPr>
      <w:r w:rsidRPr="007F5C10">
        <w:rPr>
          <w:rFonts w:ascii="Book Antiqua" w:hAnsi="Book Antiqua"/>
          <w:szCs w:val="24"/>
          <w:lang w:val="es-ES_tradnl"/>
        </w:rPr>
        <w:t xml:space="preserve">Sección 5.- </w:t>
      </w:r>
      <w:r w:rsidRPr="007F5C10">
        <w:rPr>
          <w:rFonts w:ascii="Book Antiqua" w:hAnsi="Book Antiqua"/>
          <w:szCs w:val="24"/>
          <w:lang w:val="es-PR"/>
        </w:rPr>
        <w:t xml:space="preserve">Cláusula de </w:t>
      </w:r>
      <w:r w:rsidRPr="007F5C10">
        <w:rPr>
          <w:rFonts w:ascii="Book Antiqua" w:hAnsi="Book Antiqua"/>
          <w:szCs w:val="24"/>
          <w:lang w:val="es-ES_tradnl"/>
        </w:rPr>
        <w:t>supremacía.</w:t>
      </w:r>
    </w:p>
    <w:p w14:paraId="61EEF28D" w14:textId="77777777" w:rsidR="004448D3" w:rsidRPr="007F5C10" w:rsidRDefault="004448D3" w:rsidP="007F5C10">
      <w:pPr>
        <w:pStyle w:val="sectext"/>
        <w:spacing w:line="480" w:lineRule="auto"/>
        <w:ind w:firstLine="720"/>
        <w:jc w:val="both"/>
        <w:rPr>
          <w:rFonts w:ascii="Book Antiqua" w:hAnsi="Book Antiqua"/>
          <w:lang w:val="es-ES_tradnl"/>
        </w:rPr>
      </w:pPr>
      <w:r w:rsidRPr="007F5C10">
        <w:rPr>
          <w:rFonts w:ascii="Book Antiqua" w:hAnsi="Book Antiqua"/>
          <w:lang w:val="es-ES_tradnl"/>
        </w:rPr>
        <w:t>Las disposiciones de esta Ley prevalecerán sobre cualquier otra disposición de ley, reglamento o norma que no estuviere en armonía con ellas.</w:t>
      </w:r>
    </w:p>
    <w:p w14:paraId="26DC0489" w14:textId="77777777" w:rsidR="004448D3" w:rsidRPr="007F5C10" w:rsidRDefault="004448D3" w:rsidP="007F5C10">
      <w:pPr>
        <w:pStyle w:val="sectext"/>
        <w:spacing w:line="480" w:lineRule="auto"/>
        <w:ind w:firstLine="720"/>
        <w:jc w:val="both"/>
        <w:rPr>
          <w:rFonts w:ascii="Book Antiqua" w:hAnsi="Book Antiqua"/>
          <w:lang w:val="es-PR"/>
        </w:rPr>
      </w:pPr>
      <w:r w:rsidRPr="007F5C10">
        <w:rPr>
          <w:rFonts w:ascii="Book Antiqua" w:hAnsi="Book Antiqua"/>
          <w:lang w:val="es-ES_tradnl"/>
        </w:rPr>
        <w:t>Sección 6</w:t>
      </w:r>
      <w:r w:rsidRPr="007F5C10">
        <w:rPr>
          <w:rFonts w:ascii="Book Antiqua" w:hAnsi="Book Antiqua"/>
          <w:lang w:val="es-PR"/>
        </w:rPr>
        <w:t>.- Cláusula de separabilidad.</w:t>
      </w:r>
    </w:p>
    <w:p w14:paraId="61A6B22A" w14:textId="77777777" w:rsidR="004448D3" w:rsidRPr="007F5C10" w:rsidRDefault="004448D3" w:rsidP="007F5C10">
      <w:pPr>
        <w:pStyle w:val="sectext"/>
        <w:spacing w:line="480" w:lineRule="auto"/>
        <w:ind w:firstLine="720"/>
        <w:jc w:val="both"/>
        <w:rPr>
          <w:rFonts w:ascii="Book Antiqua" w:hAnsi="Book Antiqua"/>
          <w:lang w:val="es-PR"/>
        </w:rPr>
      </w:pPr>
      <w:r w:rsidRPr="007F5C10">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7F5C10">
        <w:rPr>
          <w:rFonts w:ascii="Book Antiqua" w:hAnsi="Book Antiqua"/>
          <w:lang w:val="es-PR"/>
        </w:rPr>
        <w:t>ejecutabilidad</w:t>
      </w:r>
      <w:proofErr w:type="spellEnd"/>
      <w:r w:rsidRPr="007F5C10">
        <w:rPr>
          <w:rFonts w:ascii="Book Antiqua" w:hAnsi="Book Antiqua"/>
          <w:lang w:val="es-PR"/>
        </w:rPr>
        <w:t xml:space="preserve"> y vigor de las restantes disposiciones que no hayan sido objeto de dictamen adverso.</w:t>
      </w:r>
    </w:p>
    <w:p w14:paraId="530DF084" w14:textId="77777777" w:rsidR="004448D3" w:rsidRPr="007F5C10" w:rsidRDefault="004448D3" w:rsidP="007F5C10">
      <w:pPr>
        <w:spacing w:line="480" w:lineRule="auto"/>
        <w:ind w:left="360" w:firstLine="360"/>
        <w:jc w:val="both"/>
        <w:rPr>
          <w:rFonts w:ascii="Book Antiqua" w:hAnsi="Book Antiqua"/>
          <w:szCs w:val="24"/>
          <w:lang w:val="es-PR"/>
        </w:rPr>
      </w:pPr>
      <w:r w:rsidRPr="007F5C10">
        <w:rPr>
          <w:rFonts w:ascii="Book Antiqua" w:hAnsi="Book Antiqua"/>
          <w:szCs w:val="24"/>
          <w:lang w:val="es-ES_tradnl"/>
        </w:rPr>
        <w:t>Sección 7</w:t>
      </w:r>
      <w:r w:rsidRPr="007F5C10">
        <w:rPr>
          <w:rFonts w:ascii="Book Antiqua" w:hAnsi="Book Antiqua"/>
          <w:szCs w:val="24"/>
          <w:lang w:val="es-PR"/>
        </w:rPr>
        <w:t>.- Cláusula de vigencia.</w:t>
      </w:r>
    </w:p>
    <w:p w14:paraId="35A2525C" w14:textId="58D0CA13" w:rsidR="00F13533" w:rsidRPr="007F5C10" w:rsidRDefault="004448D3" w:rsidP="007F5C10">
      <w:pPr>
        <w:spacing w:line="480" w:lineRule="auto"/>
        <w:ind w:firstLine="720"/>
        <w:jc w:val="both"/>
        <w:rPr>
          <w:rFonts w:ascii="Book Antiqua" w:hAnsi="Book Antiqua"/>
          <w:szCs w:val="24"/>
          <w:lang w:val="es-ES"/>
        </w:rPr>
      </w:pPr>
      <w:r w:rsidRPr="007F5C10">
        <w:rPr>
          <w:rFonts w:ascii="Book Antiqua" w:hAnsi="Book Antiqua"/>
          <w:szCs w:val="24"/>
          <w:lang w:val="es-PR"/>
        </w:rPr>
        <w:t>Esta Ley comenzará a regir inmediatamente después de su aprobación.</w:t>
      </w:r>
    </w:p>
    <w:sectPr w:rsidR="00F13533" w:rsidRPr="007F5C10"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 w:id="1">
    <w:p w14:paraId="53F4725D" w14:textId="77777777" w:rsidR="004448D3" w:rsidRPr="003B28AC" w:rsidRDefault="004448D3" w:rsidP="004448D3">
      <w:pPr>
        <w:pStyle w:val="Textonotapie"/>
        <w:jc w:val="both"/>
        <w:rPr>
          <w:rFonts w:ascii="Book Antiqua" w:hAnsi="Book Antiqua"/>
          <w:sz w:val="18"/>
          <w:szCs w:val="18"/>
          <w:lang w:val="es-419"/>
        </w:rPr>
      </w:pPr>
      <w:r w:rsidRPr="003B28AC">
        <w:rPr>
          <w:rFonts w:ascii="Book Antiqua" w:hAnsi="Book Antiqua"/>
          <w:sz w:val="18"/>
          <w:szCs w:val="18"/>
          <w:lang w:val="es-419"/>
        </w:rPr>
        <w:t xml:space="preserve"> </w:t>
      </w:r>
      <w:r w:rsidRPr="003B28AC">
        <w:rPr>
          <w:rStyle w:val="Refdenotaalpie"/>
          <w:rFonts w:ascii="Book Antiqua" w:hAnsi="Book Antiqua"/>
          <w:sz w:val="18"/>
          <w:szCs w:val="18"/>
        </w:rPr>
        <w:footnoteRef/>
      </w:r>
      <w:r w:rsidRPr="003B28AC">
        <w:rPr>
          <w:rFonts w:ascii="Book Antiqua" w:hAnsi="Book Antiqua"/>
          <w:sz w:val="18"/>
          <w:szCs w:val="18"/>
          <w:lang w:val="es-419"/>
        </w:rPr>
        <w:t xml:space="preserve"> Constitución de Puerto Rico, Artículo VI, § 19.</w:t>
      </w:r>
    </w:p>
  </w:footnote>
  <w:footnote w:id="2">
    <w:p w14:paraId="63D42EE7" w14:textId="77777777" w:rsidR="004448D3" w:rsidRPr="003B28AC" w:rsidRDefault="004448D3" w:rsidP="004448D3">
      <w:pPr>
        <w:pStyle w:val="Textonotapie"/>
        <w:jc w:val="both"/>
        <w:rPr>
          <w:rFonts w:ascii="Book Antiqua" w:hAnsi="Book Antiqua"/>
          <w:sz w:val="18"/>
          <w:szCs w:val="18"/>
          <w:lang w:val="es-419"/>
        </w:rPr>
      </w:pPr>
      <w:r w:rsidRPr="003B28AC">
        <w:rPr>
          <w:rFonts w:ascii="Book Antiqua" w:hAnsi="Book Antiqua"/>
          <w:sz w:val="18"/>
          <w:szCs w:val="18"/>
          <w:lang w:val="es-419"/>
        </w:rPr>
        <w:t xml:space="preserve">  </w:t>
      </w:r>
      <w:r w:rsidRPr="003B28AC">
        <w:rPr>
          <w:rStyle w:val="Refdenotaalpie"/>
          <w:rFonts w:ascii="Book Antiqua" w:hAnsi="Book Antiqua"/>
          <w:sz w:val="18"/>
          <w:szCs w:val="18"/>
        </w:rPr>
        <w:footnoteRef/>
      </w:r>
      <w:r w:rsidRPr="003B28AC">
        <w:rPr>
          <w:rFonts w:ascii="Book Antiqua" w:hAnsi="Book Antiqua"/>
          <w:sz w:val="18"/>
          <w:szCs w:val="18"/>
          <w:lang w:val="es-419"/>
        </w:rPr>
        <w:t xml:space="preserve"> Ley 416-2004, según enmendada, Artículo 3(A).</w:t>
      </w:r>
    </w:p>
  </w:footnote>
  <w:footnote w:id="3">
    <w:p w14:paraId="5E183AF1" w14:textId="77777777" w:rsidR="004448D3" w:rsidRPr="003B28AC" w:rsidRDefault="004448D3" w:rsidP="004448D3">
      <w:pPr>
        <w:pStyle w:val="Textonotapie"/>
        <w:jc w:val="both"/>
        <w:rPr>
          <w:rFonts w:ascii="Book Antiqua" w:hAnsi="Book Antiqua"/>
          <w:sz w:val="18"/>
          <w:szCs w:val="18"/>
          <w:lang w:val="es-419"/>
        </w:rPr>
      </w:pPr>
      <w:r w:rsidRPr="003B28AC">
        <w:rPr>
          <w:rFonts w:ascii="Book Antiqua" w:hAnsi="Book Antiqua"/>
          <w:sz w:val="18"/>
          <w:szCs w:val="18"/>
          <w:lang w:val="es-419"/>
        </w:rPr>
        <w:t xml:space="preserve">  </w:t>
      </w:r>
      <w:r w:rsidRPr="003B28AC">
        <w:rPr>
          <w:rStyle w:val="Refdenotaalpie"/>
          <w:rFonts w:ascii="Book Antiqua" w:hAnsi="Book Antiqua"/>
          <w:sz w:val="18"/>
          <w:szCs w:val="18"/>
        </w:rPr>
        <w:footnoteRef/>
      </w:r>
      <w:r w:rsidRPr="003B28AC">
        <w:rPr>
          <w:rFonts w:ascii="Book Antiqua" w:hAnsi="Book Antiqua"/>
          <w:sz w:val="18"/>
          <w:szCs w:val="18"/>
          <w:lang w:val="es-419"/>
        </w:rPr>
        <w:t xml:space="preserve"> Esta ley se denomina “Ley para la Reforma del Proceso de Permisos de Puerto Rico”.</w:t>
      </w:r>
    </w:p>
  </w:footnote>
  <w:footnote w:id="4">
    <w:p w14:paraId="629A2663" w14:textId="77777777" w:rsidR="004448D3" w:rsidRPr="003B28AC" w:rsidRDefault="004448D3" w:rsidP="004448D3">
      <w:pPr>
        <w:pStyle w:val="Textonotapie"/>
        <w:jc w:val="both"/>
        <w:rPr>
          <w:rFonts w:ascii="Book Antiqua" w:hAnsi="Book Antiqua"/>
          <w:sz w:val="18"/>
          <w:szCs w:val="18"/>
          <w:lang w:val="es-419"/>
        </w:rPr>
      </w:pPr>
      <w:r w:rsidRPr="003B28AC">
        <w:rPr>
          <w:rFonts w:ascii="Book Antiqua" w:hAnsi="Book Antiqua"/>
          <w:sz w:val="18"/>
          <w:szCs w:val="18"/>
          <w:lang w:val="es-419"/>
        </w:rPr>
        <w:t xml:space="preserve">  </w:t>
      </w:r>
      <w:r w:rsidRPr="003B28AC">
        <w:rPr>
          <w:rStyle w:val="Refdenotaalpie"/>
          <w:rFonts w:ascii="Book Antiqua" w:hAnsi="Book Antiqua"/>
          <w:sz w:val="18"/>
          <w:szCs w:val="18"/>
        </w:rPr>
        <w:footnoteRef/>
      </w:r>
      <w:r w:rsidRPr="003B28AC">
        <w:rPr>
          <w:rFonts w:ascii="Book Antiqua" w:hAnsi="Book Antiqua"/>
          <w:sz w:val="18"/>
          <w:szCs w:val="18"/>
          <w:lang w:val="es-419"/>
        </w:rPr>
        <w:t xml:space="preserve"> Ley 416-2004, según enmendada, Artículo 4(B)(3).</w:t>
      </w:r>
    </w:p>
  </w:footnote>
  <w:footnote w:id="5">
    <w:p w14:paraId="4EBF80F3" w14:textId="77777777" w:rsidR="004448D3" w:rsidRPr="003B28AC" w:rsidRDefault="004448D3" w:rsidP="004448D3">
      <w:pPr>
        <w:pStyle w:val="Textonotapie"/>
        <w:jc w:val="both"/>
        <w:rPr>
          <w:rFonts w:ascii="Book Antiqua" w:hAnsi="Book Antiqua"/>
          <w:sz w:val="18"/>
          <w:szCs w:val="18"/>
          <w:lang w:val="es-419"/>
        </w:rPr>
      </w:pPr>
      <w:r w:rsidRPr="003B28AC">
        <w:rPr>
          <w:rFonts w:ascii="Book Antiqua" w:hAnsi="Book Antiqua"/>
          <w:sz w:val="18"/>
          <w:szCs w:val="18"/>
          <w:lang w:val="es-419"/>
        </w:rPr>
        <w:t xml:space="preserve">  </w:t>
      </w:r>
      <w:r w:rsidRPr="003B28AC">
        <w:rPr>
          <w:rStyle w:val="Refdenotaalpie"/>
          <w:rFonts w:ascii="Book Antiqua" w:hAnsi="Book Antiqua"/>
          <w:sz w:val="18"/>
          <w:szCs w:val="18"/>
        </w:rPr>
        <w:footnoteRef/>
      </w:r>
      <w:r w:rsidRPr="003B28AC">
        <w:rPr>
          <w:rFonts w:ascii="Book Antiqua" w:hAnsi="Book Antiqua"/>
          <w:sz w:val="18"/>
          <w:szCs w:val="18"/>
          <w:lang w:val="es-419"/>
        </w:rPr>
        <w:t xml:space="preserve"> Regla 138 del Reglamento Núm. 8858–2016: </w:t>
      </w:r>
      <w:r w:rsidRPr="003B28AC">
        <w:rPr>
          <w:rFonts w:ascii="Book Antiqua" w:hAnsi="Book Antiqua"/>
          <w:i/>
          <w:iCs/>
          <w:sz w:val="18"/>
          <w:szCs w:val="18"/>
          <w:lang w:val="es-419"/>
        </w:rPr>
        <w:t>Reglamento para el Proceso de Evaluación Ambiental</w:t>
      </w:r>
      <w:r w:rsidRPr="003B28AC">
        <w:rPr>
          <w:rFonts w:ascii="Book Antiqua" w:hAnsi="Book Antiqua"/>
          <w:sz w:val="18"/>
          <w:szCs w:val="18"/>
          <w:lang w:val="es-419"/>
        </w:rPr>
        <w:t>.</w:t>
      </w:r>
    </w:p>
  </w:footnote>
  <w:footnote w:id="6">
    <w:p w14:paraId="23C2D414" w14:textId="77777777" w:rsidR="004448D3" w:rsidRDefault="004448D3" w:rsidP="004448D3">
      <w:pPr>
        <w:pStyle w:val="Textonotapie"/>
        <w:ind w:left="540" w:hanging="540"/>
        <w:jc w:val="both"/>
        <w:rPr>
          <w:rFonts w:ascii="Book Antiqua" w:hAnsi="Book Antiqua"/>
          <w:sz w:val="18"/>
          <w:szCs w:val="18"/>
          <w:lang w:val="es-419"/>
        </w:rPr>
      </w:pPr>
      <w:r w:rsidRPr="003B28AC">
        <w:rPr>
          <w:rFonts w:ascii="Book Antiqua" w:hAnsi="Book Antiqua"/>
          <w:sz w:val="18"/>
          <w:szCs w:val="18"/>
          <w:lang w:val="es-419"/>
        </w:rPr>
        <w:t xml:space="preserve">  </w:t>
      </w:r>
      <w:r w:rsidRPr="003B28AC">
        <w:rPr>
          <w:rStyle w:val="Refdenotaalpie"/>
          <w:rFonts w:ascii="Book Antiqua" w:hAnsi="Book Antiqua"/>
          <w:sz w:val="18"/>
          <w:szCs w:val="18"/>
        </w:rPr>
        <w:footnoteRef/>
      </w:r>
      <w:r w:rsidRPr="003B28AC">
        <w:rPr>
          <w:rFonts w:ascii="Book Antiqua" w:hAnsi="Book Antiqua"/>
          <w:sz w:val="18"/>
          <w:szCs w:val="18"/>
          <w:lang w:val="es-419"/>
        </w:rPr>
        <w:t xml:space="preserve"> “</w:t>
      </w:r>
      <w:r>
        <w:rPr>
          <w:rFonts w:ascii="Book Antiqua" w:hAnsi="Book Antiqua"/>
          <w:sz w:val="18"/>
          <w:szCs w:val="18"/>
          <w:lang w:val="es-419"/>
        </w:rPr>
        <w:t xml:space="preserve">E. </w:t>
      </w:r>
      <w:r w:rsidRPr="00CC3655">
        <w:rPr>
          <w:rFonts w:ascii="Book Antiqua" w:hAnsi="Book Antiqua"/>
          <w:sz w:val="18"/>
          <w:szCs w:val="18"/>
          <w:lang w:val="es-419"/>
        </w:rPr>
        <w:t>Una vez expirada la vigencia de la determinación de cumplimiento ambiental o sean incorporadas</w:t>
      </w:r>
      <w:r>
        <w:rPr>
          <w:rFonts w:ascii="Book Antiqua" w:hAnsi="Book Antiqua"/>
          <w:sz w:val="18"/>
          <w:szCs w:val="18"/>
          <w:lang w:val="es-419"/>
        </w:rPr>
        <w:t xml:space="preserve"> </w:t>
      </w:r>
      <w:r w:rsidRPr="00CC3655">
        <w:rPr>
          <w:rFonts w:ascii="Book Antiqua" w:hAnsi="Book Antiqua"/>
          <w:sz w:val="18"/>
          <w:szCs w:val="18"/>
          <w:lang w:val="es-419"/>
        </w:rPr>
        <w:t>variaciones sustanciales al proyecto, la determinación de cumplimiento con el Artículo 4(B) de la Ley</w:t>
      </w:r>
      <w:r>
        <w:rPr>
          <w:rFonts w:ascii="Book Antiqua" w:hAnsi="Book Antiqua"/>
          <w:sz w:val="18"/>
          <w:szCs w:val="18"/>
          <w:lang w:val="es-419"/>
        </w:rPr>
        <w:t xml:space="preserve"> </w:t>
      </w:r>
      <w:r w:rsidRPr="00CC3655">
        <w:rPr>
          <w:rFonts w:ascii="Book Antiqua" w:hAnsi="Book Antiqua"/>
          <w:sz w:val="18"/>
          <w:szCs w:val="18"/>
          <w:lang w:val="es-419"/>
        </w:rPr>
        <w:t xml:space="preserve">Núm. 416-2004, </w:t>
      </w:r>
      <w:r w:rsidRPr="00CC3655">
        <w:rPr>
          <w:rFonts w:ascii="Book Antiqua" w:hAnsi="Book Antiqua"/>
          <w:i/>
          <w:iCs/>
          <w:sz w:val="18"/>
          <w:szCs w:val="18"/>
          <w:lang w:val="es-419"/>
        </w:rPr>
        <w:t>s</w:t>
      </w:r>
      <w:r>
        <w:rPr>
          <w:rFonts w:ascii="Book Antiqua" w:hAnsi="Book Antiqua"/>
          <w:i/>
          <w:iCs/>
          <w:sz w:val="18"/>
          <w:szCs w:val="18"/>
          <w:lang w:val="es-419"/>
        </w:rPr>
        <w:t>u</w:t>
      </w:r>
      <w:r w:rsidRPr="00CC3655">
        <w:rPr>
          <w:rFonts w:ascii="Book Antiqua" w:hAnsi="Book Antiqua"/>
          <w:i/>
          <w:iCs/>
          <w:sz w:val="18"/>
          <w:szCs w:val="18"/>
          <w:lang w:val="es-419"/>
        </w:rPr>
        <w:t xml:space="preserve">pra, </w:t>
      </w:r>
      <w:r w:rsidRPr="00CC3655">
        <w:rPr>
          <w:rFonts w:ascii="Book Antiqua" w:hAnsi="Book Antiqua"/>
          <w:sz w:val="18"/>
          <w:szCs w:val="18"/>
          <w:lang w:val="es-419"/>
        </w:rPr>
        <w:t>que</w:t>
      </w:r>
      <w:r>
        <w:rPr>
          <w:rFonts w:ascii="Book Antiqua" w:hAnsi="Book Antiqua"/>
          <w:sz w:val="18"/>
          <w:szCs w:val="18"/>
          <w:lang w:val="es-419"/>
        </w:rPr>
        <w:t xml:space="preserve"> </w:t>
      </w:r>
      <w:r w:rsidRPr="00CC3655">
        <w:rPr>
          <w:rFonts w:ascii="Book Antiqua" w:hAnsi="Book Antiqua"/>
          <w:sz w:val="18"/>
          <w:szCs w:val="18"/>
          <w:lang w:val="es-419"/>
        </w:rPr>
        <w:t xml:space="preserve">emitiera la </w:t>
      </w:r>
      <w:proofErr w:type="spellStart"/>
      <w:r w:rsidRPr="00CC3655">
        <w:rPr>
          <w:rFonts w:ascii="Book Antiqua" w:hAnsi="Book Antiqua"/>
          <w:sz w:val="18"/>
          <w:szCs w:val="18"/>
          <w:lang w:val="es-419"/>
        </w:rPr>
        <w:t>OGPe</w:t>
      </w:r>
      <w:proofErr w:type="spellEnd"/>
      <w:r w:rsidRPr="00CC3655">
        <w:rPr>
          <w:rFonts w:ascii="Book Antiqua" w:hAnsi="Book Antiqua"/>
          <w:sz w:val="18"/>
          <w:szCs w:val="18"/>
          <w:lang w:val="es-419"/>
        </w:rPr>
        <w:t>, quedará nula. La agencia proponente, o el proponente de</w:t>
      </w:r>
      <w:r>
        <w:rPr>
          <w:rFonts w:ascii="Book Antiqua" w:hAnsi="Book Antiqua"/>
          <w:sz w:val="18"/>
          <w:szCs w:val="18"/>
          <w:lang w:val="es-419"/>
        </w:rPr>
        <w:t xml:space="preserve"> </w:t>
      </w:r>
      <w:r w:rsidRPr="00CC3655">
        <w:rPr>
          <w:rFonts w:ascii="Book Antiqua" w:hAnsi="Book Antiqua"/>
          <w:sz w:val="18"/>
          <w:szCs w:val="18"/>
          <w:lang w:val="es-419"/>
        </w:rPr>
        <w:t>la acción, no podrá llevar a cabo la acción propuesta hasta tanto se obtenga una nueva determinación</w:t>
      </w:r>
      <w:r>
        <w:rPr>
          <w:rFonts w:ascii="Book Antiqua" w:hAnsi="Book Antiqua"/>
          <w:sz w:val="18"/>
          <w:szCs w:val="18"/>
          <w:lang w:val="es-419"/>
        </w:rPr>
        <w:t xml:space="preserve"> </w:t>
      </w:r>
      <w:r w:rsidRPr="00CC3655">
        <w:rPr>
          <w:rFonts w:ascii="Book Antiqua" w:hAnsi="Book Antiqua"/>
          <w:sz w:val="18"/>
          <w:szCs w:val="18"/>
          <w:lang w:val="es-419"/>
        </w:rPr>
        <w:t xml:space="preserve">de cumplimiento </w:t>
      </w:r>
      <w:proofErr w:type="gramStart"/>
      <w:r w:rsidRPr="00CC3655">
        <w:rPr>
          <w:rFonts w:ascii="Book Antiqua" w:hAnsi="Book Antiqua"/>
          <w:sz w:val="18"/>
          <w:szCs w:val="18"/>
          <w:lang w:val="es-419"/>
        </w:rPr>
        <w:t>de acuerdo a</w:t>
      </w:r>
      <w:proofErr w:type="gramEnd"/>
      <w:r w:rsidRPr="00CC3655">
        <w:rPr>
          <w:rFonts w:ascii="Book Antiqua" w:hAnsi="Book Antiqua"/>
          <w:sz w:val="18"/>
          <w:szCs w:val="18"/>
          <w:lang w:val="es-419"/>
        </w:rPr>
        <w:t xml:space="preserve"> las disposiciones del Artículo 4(B) de la Ley Núm. 416-2004, </w:t>
      </w:r>
      <w:r w:rsidRPr="00CC3655">
        <w:rPr>
          <w:rFonts w:ascii="Book Antiqua" w:hAnsi="Book Antiqua"/>
          <w:i/>
          <w:iCs/>
          <w:sz w:val="18"/>
          <w:szCs w:val="18"/>
          <w:lang w:val="es-419"/>
        </w:rPr>
        <w:t xml:space="preserve">s11pra, </w:t>
      </w:r>
      <w:r w:rsidRPr="00CC3655">
        <w:rPr>
          <w:rFonts w:ascii="Book Antiqua" w:hAnsi="Book Antiqua"/>
          <w:sz w:val="18"/>
          <w:szCs w:val="18"/>
          <w:lang w:val="es-419"/>
        </w:rPr>
        <w:t>y este</w:t>
      </w:r>
      <w:r>
        <w:rPr>
          <w:rFonts w:ascii="Book Antiqua" w:hAnsi="Book Antiqua"/>
          <w:sz w:val="18"/>
          <w:szCs w:val="18"/>
          <w:lang w:val="es-419"/>
        </w:rPr>
        <w:t xml:space="preserve"> </w:t>
      </w:r>
      <w:r w:rsidRPr="00CC3655">
        <w:rPr>
          <w:rFonts w:ascii="Book Antiqua" w:hAnsi="Book Antiqua"/>
          <w:sz w:val="18"/>
          <w:szCs w:val="18"/>
          <w:lang w:val="es-419"/>
        </w:rPr>
        <w:t>Reglamento.</w:t>
      </w:r>
    </w:p>
    <w:p w14:paraId="044EC907" w14:textId="77777777" w:rsidR="004448D3" w:rsidRDefault="004448D3" w:rsidP="004448D3">
      <w:pPr>
        <w:pStyle w:val="Textonotapie"/>
        <w:ind w:left="450" w:hanging="450"/>
        <w:jc w:val="both"/>
        <w:rPr>
          <w:rFonts w:ascii="Book Antiqua" w:hAnsi="Book Antiqua"/>
          <w:sz w:val="18"/>
          <w:szCs w:val="18"/>
          <w:lang w:val="es-419"/>
        </w:rPr>
      </w:pPr>
      <w:r>
        <w:rPr>
          <w:rFonts w:ascii="Book Antiqua" w:hAnsi="Book Antiqua"/>
          <w:sz w:val="18"/>
          <w:szCs w:val="18"/>
          <w:lang w:val="es-419"/>
        </w:rPr>
        <w:t xml:space="preserve">      F. </w:t>
      </w:r>
      <w:r w:rsidRPr="003B28AC">
        <w:rPr>
          <w:rFonts w:ascii="Book Antiqua" w:hAnsi="Book Antiqua"/>
          <w:sz w:val="18"/>
          <w:szCs w:val="18"/>
          <w:lang w:val="es-419"/>
        </w:rPr>
        <w:t>Las acciones o instalaciones existentes previo a la vigencia de la Ley Núm. 9 de 18 de junio de 1970,</w:t>
      </w:r>
      <w:r>
        <w:rPr>
          <w:rFonts w:ascii="Book Antiqua" w:hAnsi="Book Antiqua"/>
          <w:sz w:val="18"/>
          <w:szCs w:val="18"/>
          <w:lang w:val="es-419"/>
        </w:rPr>
        <w:t xml:space="preserve"> </w:t>
      </w:r>
      <w:r w:rsidRPr="003B28AC">
        <w:rPr>
          <w:rFonts w:ascii="Book Antiqua" w:hAnsi="Book Antiqua"/>
          <w:sz w:val="18"/>
          <w:szCs w:val="18"/>
          <w:lang w:val="es-419"/>
        </w:rPr>
        <w:t xml:space="preserve">derogada por la Ley Núm. 416-2004, </w:t>
      </w:r>
      <w:r w:rsidRPr="003B28AC">
        <w:rPr>
          <w:rFonts w:ascii="Book Antiqua" w:hAnsi="Book Antiqua"/>
          <w:i/>
          <w:iCs/>
          <w:sz w:val="18"/>
          <w:szCs w:val="18"/>
          <w:lang w:val="es-419"/>
        </w:rPr>
        <w:t>s</w:t>
      </w:r>
      <w:r>
        <w:rPr>
          <w:rFonts w:ascii="Book Antiqua" w:hAnsi="Book Antiqua"/>
          <w:i/>
          <w:iCs/>
          <w:sz w:val="18"/>
          <w:szCs w:val="18"/>
          <w:lang w:val="es-419"/>
        </w:rPr>
        <w:t>upra</w:t>
      </w:r>
      <w:r w:rsidRPr="003B28AC">
        <w:rPr>
          <w:rFonts w:ascii="Book Antiqua" w:hAnsi="Book Antiqua"/>
          <w:i/>
          <w:iCs/>
          <w:sz w:val="18"/>
          <w:szCs w:val="18"/>
          <w:lang w:val="es-419"/>
        </w:rPr>
        <w:t xml:space="preserve">, </w:t>
      </w:r>
      <w:r w:rsidRPr="003B28AC">
        <w:rPr>
          <w:rFonts w:ascii="Book Antiqua" w:hAnsi="Book Antiqua"/>
          <w:sz w:val="18"/>
          <w:szCs w:val="18"/>
          <w:lang w:val="es-419"/>
        </w:rPr>
        <w:t>o aquellas acciones o instalaciones que demostraron</w:t>
      </w:r>
      <w:r>
        <w:rPr>
          <w:rFonts w:ascii="Book Antiqua" w:hAnsi="Book Antiqua"/>
          <w:sz w:val="18"/>
          <w:szCs w:val="18"/>
          <w:lang w:val="es-419"/>
        </w:rPr>
        <w:t xml:space="preserve"> </w:t>
      </w:r>
      <w:r w:rsidRPr="003B28AC">
        <w:rPr>
          <w:rFonts w:ascii="Book Antiqua" w:hAnsi="Book Antiqua"/>
          <w:sz w:val="18"/>
          <w:szCs w:val="18"/>
          <w:lang w:val="es-419"/>
        </w:rPr>
        <w:t>cumplimiento ambiental bajo las disposiciones reglamentarias anteriores a este Reglamento, que pretenden</w:t>
      </w:r>
      <w:r>
        <w:rPr>
          <w:rFonts w:ascii="Book Antiqua" w:hAnsi="Book Antiqua"/>
          <w:sz w:val="18"/>
          <w:szCs w:val="18"/>
          <w:lang w:val="es-419"/>
        </w:rPr>
        <w:t xml:space="preserve"> </w:t>
      </w:r>
      <w:r w:rsidRPr="003B28AC">
        <w:rPr>
          <w:rFonts w:ascii="Book Antiqua" w:hAnsi="Book Antiqua"/>
          <w:sz w:val="18"/>
          <w:szCs w:val="18"/>
          <w:lang w:val="es-419"/>
        </w:rPr>
        <w:t>renovar o extender alguna concesión o permiso otorgado para dicha acción o instalación, no tendrán que</w:t>
      </w:r>
      <w:r>
        <w:rPr>
          <w:rFonts w:ascii="Book Antiqua" w:hAnsi="Book Antiqua"/>
          <w:sz w:val="18"/>
          <w:szCs w:val="18"/>
          <w:lang w:val="es-419"/>
        </w:rPr>
        <w:t xml:space="preserve"> </w:t>
      </w:r>
      <w:r w:rsidRPr="003B28AC">
        <w:rPr>
          <w:rFonts w:ascii="Book Antiqua" w:hAnsi="Book Antiqua"/>
          <w:sz w:val="18"/>
          <w:szCs w:val="18"/>
          <w:lang w:val="es-419"/>
        </w:rPr>
        <w:t>evaluar el impacto ambiental que dicha acción o instalación tiene sobre el ambiente, siempre y cuando no</w:t>
      </w:r>
      <w:r>
        <w:rPr>
          <w:rFonts w:ascii="Book Antiqua" w:hAnsi="Book Antiqua"/>
          <w:sz w:val="18"/>
          <w:szCs w:val="18"/>
          <w:lang w:val="es-419"/>
        </w:rPr>
        <w:t xml:space="preserve"> </w:t>
      </w:r>
      <w:r w:rsidRPr="003B28AC">
        <w:rPr>
          <w:rFonts w:ascii="Book Antiqua" w:hAnsi="Book Antiqua"/>
          <w:sz w:val="18"/>
          <w:szCs w:val="18"/>
          <w:lang w:val="es-419"/>
        </w:rPr>
        <w:t>se incorporen cambios en las mismas. Disponiéndose que, cualquier modif</w:t>
      </w:r>
      <w:r>
        <w:rPr>
          <w:rFonts w:ascii="Book Antiqua" w:hAnsi="Book Antiqua"/>
          <w:sz w:val="18"/>
          <w:szCs w:val="18"/>
          <w:lang w:val="es-419"/>
        </w:rPr>
        <w:t>i</w:t>
      </w:r>
      <w:r w:rsidRPr="003B28AC">
        <w:rPr>
          <w:rFonts w:ascii="Book Antiqua" w:hAnsi="Book Antiqua"/>
          <w:sz w:val="18"/>
          <w:szCs w:val="18"/>
          <w:lang w:val="es-419"/>
        </w:rPr>
        <w:t>cación o ampliación a la acción</w:t>
      </w:r>
      <w:r>
        <w:rPr>
          <w:rFonts w:ascii="Book Antiqua" w:hAnsi="Book Antiqua"/>
          <w:sz w:val="18"/>
          <w:szCs w:val="18"/>
          <w:lang w:val="es-419"/>
        </w:rPr>
        <w:t xml:space="preserve"> </w:t>
      </w:r>
      <w:r w:rsidRPr="003B28AC">
        <w:rPr>
          <w:rFonts w:ascii="Book Antiqua" w:hAnsi="Book Antiqua"/>
          <w:sz w:val="18"/>
          <w:szCs w:val="18"/>
          <w:lang w:val="es-419"/>
        </w:rPr>
        <w:t>o instalación existente, requerirá la evaluación de los impactos que dicha modificación o ampliación tendrá</w:t>
      </w:r>
      <w:r>
        <w:rPr>
          <w:rFonts w:ascii="Book Antiqua" w:hAnsi="Book Antiqua"/>
          <w:sz w:val="18"/>
          <w:szCs w:val="18"/>
          <w:lang w:val="es-419"/>
        </w:rPr>
        <w:t xml:space="preserve"> </w:t>
      </w:r>
      <w:r w:rsidRPr="003B28AC">
        <w:rPr>
          <w:rFonts w:ascii="Book Antiqua" w:hAnsi="Book Antiqua"/>
          <w:sz w:val="18"/>
          <w:szCs w:val="18"/>
          <w:lang w:val="es-419"/>
        </w:rPr>
        <w:t xml:space="preserve">sobre el ambiente”. </w:t>
      </w:r>
    </w:p>
    <w:p w14:paraId="5D82C923" w14:textId="77777777" w:rsidR="004448D3" w:rsidRPr="003B28AC" w:rsidRDefault="004448D3" w:rsidP="004448D3">
      <w:pPr>
        <w:pStyle w:val="Textonotapie"/>
        <w:jc w:val="both"/>
        <w:rPr>
          <w:rFonts w:ascii="Book Antiqua" w:hAnsi="Book Antiqua"/>
          <w:sz w:val="18"/>
          <w:szCs w:val="18"/>
          <w:lang w:val="es-419"/>
        </w:rPr>
      </w:pPr>
      <w:r>
        <w:rPr>
          <w:rFonts w:ascii="Book Antiqua" w:hAnsi="Book Antiqua"/>
          <w:sz w:val="18"/>
          <w:szCs w:val="18"/>
          <w:lang w:val="es-419"/>
        </w:rPr>
        <w:t xml:space="preserve">      </w:t>
      </w:r>
      <w:r w:rsidRPr="003B28AC">
        <w:rPr>
          <w:rFonts w:ascii="Book Antiqua" w:hAnsi="Book Antiqua"/>
          <w:i/>
          <w:iCs/>
          <w:sz w:val="18"/>
          <w:szCs w:val="18"/>
          <w:lang w:val="es-419"/>
        </w:rPr>
        <w:t xml:space="preserve">Id., </w:t>
      </w:r>
      <w:r w:rsidRPr="003B28AC">
        <w:rPr>
          <w:rFonts w:ascii="Book Antiqua" w:hAnsi="Book Antiqua"/>
          <w:sz w:val="18"/>
          <w:szCs w:val="18"/>
          <w:lang w:val="es-419"/>
        </w:rPr>
        <w:t>inciso</w:t>
      </w:r>
      <w:r>
        <w:rPr>
          <w:rFonts w:ascii="Book Antiqua" w:hAnsi="Book Antiqua"/>
          <w:sz w:val="18"/>
          <w:szCs w:val="18"/>
          <w:lang w:val="es-419"/>
        </w:rPr>
        <w:t>s (E)</w:t>
      </w:r>
      <w:r w:rsidRPr="003B28AC">
        <w:rPr>
          <w:rFonts w:ascii="Book Antiqua" w:hAnsi="Book Antiqua"/>
          <w:sz w:val="18"/>
          <w:szCs w:val="18"/>
          <w:lang w:val="es-419"/>
        </w:rPr>
        <w:t xml:space="preserve"> </w:t>
      </w:r>
      <w:r>
        <w:rPr>
          <w:rFonts w:ascii="Book Antiqua" w:hAnsi="Book Antiqua"/>
          <w:sz w:val="18"/>
          <w:szCs w:val="18"/>
          <w:lang w:val="es-419"/>
        </w:rPr>
        <w:t xml:space="preserve">y </w:t>
      </w:r>
      <w:r w:rsidRPr="003B28AC">
        <w:rPr>
          <w:rFonts w:ascii="Book Antiqua" w:hAnsi="Book Antiqua"/>
          <w:sz w:val="18"/>
          <w:szCs w:val="18"/>
          <w:lang w:val="es-419"/>
        </w:rPr>
        <w:t>(F).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26C34535"/>
    <w:multiLevelType w:val="hybridMultilevel"/>
    <w:tmpl w:val="E8ACB5B6"/>
    <w:lvl w:ilvl="0" w:tplc="DED2CD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E6A44B1"/>
    <w:multiLevelType w:val="hybridMultilevel"/>
    <w:tmpl w:val="BC7A25B0"/>
    <w:lvl w:ilvl="0" w:tplc="BC0CC2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EF16C7"/>
    <w:multiLevelType w:val="hybridMultilevel"/>
    <w:tmpl w:val="BF0833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D451416"/>
    <w:multiLevelType w:val="hybridMultilevel"/>
    <w:tmpl w:val="CF44F320"/>
    <w:lvl w:ilvl="0" w:tplc="2EBA24C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3FC2C5E"/>
    <w:multiLevelType w:val="hybridMultilevel"/>
    <w:tmpl w:val="D300649E"/>
    <w:lvl w:ilvl="0" w:tplc="DD20AE04">
      <w:start w:val="1"/>
      <w:numFmt w:val="upperLetter"/>
      <w:lvlText w:val="%1."/>
      <w:lvlJc w:val="left"/>
      <w:pPr>
        <w:ind w:left="1800" w:hanging="360"/>
      </w:pPr>
      <w:rPr>
        <w:rFonts w:hint="default"/>
      </w:rPr>
    </w:lvl>
    <w:lvl w:ilvl="1" w:tplc="0409000F">
      <w:start w:val="1"/>
      <w:numFmt w:val="decimal"/>
      <w:lvlText w:val="%2."/>
      <w:lvlJc w:val="left"/>
      <w:pPr>
        <w:ind w:left="2520" w:hanging="360"/>
      </w:pPr>
    </w:lvl>
    <w:lvl w:ilvl="2" w:tplc="04090017">
      <w:start w:val="1"/>
      <w:numFmt w:val="lowerLetter"/>
      <w:lvlText w:val="%3)"/>
      <w:lvlJc w:val="left"/>
      <w:pPr>
        <w:ind w:left="3420" w:hanging="36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1E356F4"/>
    <w:multiLevelType w:val="hybridMultilevel"/>
    <w:tmpl w:val="E294CCE8"/>
    <w:lvl w:ilvl="0" w:tplc="2B42ED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3"/>
  </w:num>
  <w:num w:numId="3" w16cid:durableId="1132467">
    <w:abstractNumId w:val="7"/>
  </w:num>
  <w:num w:numId="4" w16cid:durableId="702096654">
    <w:abstractNumId w:val="8"/>
  </w:num>
  <w:num w:numId="5" w16cid:durableId="496698076">
    <w:abstractNumId w:val="11"/>
  </w:num>
  <w:num w:numId="6" w16cid:durableId="1469207924">
    <w:abstractNumId w:val="2"/>
  </w:num>
  <w:num w:numId="7" w16cid:durableId="355935514">
    <w:abstractNumId w:val="3"/>
  </w:num>
  <w:num w:numId="8" w16cid:durableId="259021808">
    <w:abstractNumId w:val="1"/>
  </w:num>
  <w:num w:numId="9" w16cid:durableId="957763560">
    <w:abstractNumId w:val="14"/>
  </w:num>
  <w:num w:numId="10" w16cid:durableId="948394552">
    <w:abstractNumId w:val="5"/>
  </w:num>
  <w:num w:numId="11" w16cid:durableId="1546678114">
    <w:abstractNumId w:val="9"/>
  </w:num>
  <w:num w:numId="12" w16cid:durableId="422918466">
    <w:abstractNumId w:val="6"/>
  </w:num>
  <w:num w:numId="13" w16cid:durableId="872184830">
    <w:abstractNumId w:val="12"/>
  </w:num>
  <w:num w:numId="14" w16cid:durableId="1056509494">
    <w:abstractNumId w:val="10"/>
  </w:num>
  <w:num w:numId="15" w16cid:durableId="2005426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0799"/>
    <w:rsid w:val="00020BBB"/>
    <w:rsid w:val="00032A23"/>
    <w:rsid w:val="00034585"/>
    <w:rsid w:val="0004593F"/>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11396"/>
    <w:rsid w:val="002205E2"/>
    <w:rsid w:val="00226AE6"/>
    <w:rsid w:val="00245B34"/>
    <w:rsid w:val="00251962"/>
    <w:rsid w:val="00263355"/>
    <w:rsid w:val="00273792"/>
    <w:rsid w:val="002C1447"/>
    <w:rsid w:val="002D4AC8"/>
    <w:rsid w:val="002F0A85"/>
    <w:rsid w:val="002F1493"/>
    <w:rsid w:val="003069A5"/>
    <w:rsid w:val="00312328"/>
    <w:rsid w:val="00320D78"/>
    <w:rsid w:val="003262FE"/>
    <w:rsid w:val="0034244A"/>
    <w:rsid w:val="00380FE5"/>
    <w:rsid w:val="003924DD"/>
    <w:rsid w:val="00394FCB"/>
    <w:rsid w:val="003963F4"/>
    <w:rsid w:val="003B5254"/>
    <w:rsid w:val="003B75A6"/>
    <w:rsid w:val="003E1DFE"/>
    <w:rsid w:val="004061CA"/>
    <w:rsid w:val="00415689"/>
    <w:rsid w:val="004440CB"/>
    <w:rsid w:val="004448D3"/>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6104EC"/>
    <w:rsid w:val="006210DC"/>
    <w:rsid w:val="0064349D"/>
    <w:rsid w:val="00651FF1"/>
    <w:rsid w:val="00653EED"/>
    <w:rsid w:val="00663AE7"/>
    <w:rsid w:val="00685549"/>
    <w:rsid w:val="006A23E8"/>
    <w:rsid w:val="006B640E"/>
    <w:rsid w:val="006B7365"/>
    <w:rsid w:val="006C214B"/>
    <w:rsid w:val="006C2D81"/>
    <w:rsid w:val="006C7DF8"/>
    <w:rsid w:val="00750FC8"/>
    <w:rsid w:val="007533D0"/>
    <w:rsid w:val="00755069"/>
    <w:rsid w:val="00772304"/>
    <w:rsid w:val="00793735"/>
    <w:rsid w:val="007B0660"/>
    <w:rsid w:val="007B1CF4"/>
    <w:rsid w:val="007D6C27"/>
    <w:rsid w:val="007E3868"/>
    <w:rsid w:val="007F1746"/>
    <w:rsid w:val="007F5C10"/>
    <w:rsid w:val="00820C41"/>
    <w:rsid w:val="00844617"/>
    <w:rsid w:val="00850256"/>
    <w:rsid w:val="00854B10"/>
    <w:rsid w:val="00860ADC"/>
    <w:rsid w:val="0088408D"/>
    <w:rsid w:val="008A0ACC"/>
    <w:rsid w:val="008D2C7D"/>
    <w:rsid w:val="008D44C5"/>
    <w:rsid w:val="008E173A"/>
    <w:rsid w:val="009035B9"/>
    <w:rsid w:val="00924DCC"/>
    <w:rsid w:val="0093686F"/>
    <w:rsid w:val="00942FD4"/>
    <w:rsid w:val="00951997"/>
    <w:rsid w:val="0097285D"/>
    <w:rsid w:val="00990352"/>
    <w:rsid w:val="009B4897"/>
    <w:rsid w:val="009F35CF"/>
    <w:rsid w:val="00A03405"/>
    <w:rsid w:val="00A10B1E"/>
    <w:rsid w:val="00A12BB9"/>
    <w:rsid w:val="00A1528A"/>
    <w:rsid w:val="00A33918"/>
    <w:rsid w:val="00A7629F"/>
    <w:rsid w:val="00A842B4"/>
    <w:rsid w:val="00A87FD3"/>
    <w:rsid w:val="00AA43B5"/>
    <w:rsid w:val="00AB248D"/>
    <w:rsid w:val="00AD2305"/>
    <w:rsid w:val="00AE36A9"/>
    <w:rsid w:val="00AF0CEE"/>
    <w:rsid w:val="00B2475B"/>
    <w:rsid w:val="00B335B4"/>
    <w:rsid w:val="00B601B1"/>
    <w:rsid w:val="00B667AD"/>
    <w:rsid w:val="00B833A0"/>
    <w:rsid w:val="00B834FC"/>
    <w:rsid w:val="00B84C38"/>
    <w:rsid w:val="00B86C00"/>
    <w:rsid w:val="00B93B64"/>
    <w:rsid w:val="00B947F6"/>
    <w:rsid w:val="00BC6728"/>
    <w:rsid w:val="00BF10EF"/>
    <w:rsid w:val="00BF16AA"/>
    <w:rsid w:val="00C354B8"/>
    <w:rsid w:val="00C37B5E"/>
    <w:rsid w:val="00C43CCA"/>
    <w:rsid w:val="00C52517"/>
    <w:rsid w:val="00C60921"/>
    <w:rsid w:val="00C6282C"/>
    <w:rsid w:val="00C62936"/>
    <w:rsid w:val="00C653F2"/>
    <w:rsid w:val="00C679E6"/>
    <w:rsid w:val="00C768A8"/>
    <w:rsid w:val="00C908F9"/>
    <w:rsid w:val="00CA0917"/>
    <w:rsid w:val="00CA1099"/>
    <w:rsid w:val="00CC0F45"/>
    <w:rsid w:val="00CC1C08"/>
    <w:rsid w:val="00CC49B0"/>
    <w:rsid w:val="00CC5A3D"/>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E2C63"/>
    <w:rsid w:val="00DE56DE"/>
    <w:rsid w:val="00DE7377"/>
    <w:rsid w:val="00E04AB5"/>
    <w:rsid w:val="00E16745"/>
    <w:rsid w:val="00E4432E"/>
    <w:rsid w:val="00E50EEA"/>
    <w:rsid w:val="00E52F58"/>
    <w:rsid w:val="00EC26AA"/>
    <w:rsid w:val="00EC5DD6"/>
    <w:rsid w:val="00ED7A53"/>
    <w:rsid w:val="00EE0647"/>
    <w:rsid w:val="00EE4273"/>
    <w:rsid w:val="00EF6CE9"/>
    <w:rsid w:val="00F02004"/>
    <w:rsid w:val="00F042CB"/>
    <w:rsid w:val="00F04FD0"/>
    <w:rsid w:val="00F06507"/>
    <w:rsid w:val="00F13533"/>
    <w:rsid w:val="00F24D4C"/>
    <w:rsid w:val="00F52A34"/>
    <w:rsid w:val="00F60A20"/>
    <w:rsid w:val="00F90D72"/>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010799"/>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2617</Words>
  <Characters>13990</Characters>
  <Application>Microsoft Office Word</Application>
  <DocSecurity>0</DocSecurity>
  <Lines>116</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2025-04-24T16:08:00Z</cp:lastPrinted>
  <dcterms:created xsi:type="dcterms:W3CDTF">2025-04-23T19:39:00Z</dcterms:created>
  <dcterms:modified xsi:type="dcterms:W3CDTF">2025-04-24T16:09:00Z</dcterms:modified>
</cp:coreProperties>
</file>