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84F51" w14:textId="77777777" w:rsidR="00FF6BD2" w:rsidRDefault="00721626" w:rsidP="003F46D8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46584F52" w14:textId="77777777" w:rsidR="00721626" w:rsidRPr="003F46D8" w:rsidRDefault="00721626" w:rsidP="003F46D8">
      <w:pPr>
        <w:jc w:val="center"/>
        <w:rPr>
          <w:rFonts w:ascii="Book Antiqua" w:hAnsi="Book Antiqua"/>
          <w:szCs w:val="18"/>
          <w:lang w:val="es-ES_tradnl"/>
        </w:rPr>
      </w:pPr>
    </w:p>
    <w:p w14:paraId="46584F53" w14:textId="01D165DF" w:rsidR="00721626" w:rsidRDefault="00FF6424" w:rsidP="003F46D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721626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721626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721626">
        <w:rPr>
          <w:rFonts w:ascii="Book Antiqua" w:hAnsi="Book Antiqua"/>
          <w:lang w:val="es-ES_tradnl"/>
        </w:rPr>
        <w:tab/>
        <w:t>Asamblea</w:t>
      </w:r>
      <w:r w:rsidR="00721626">
        <w:rPr>
          <w:rFonts w:ascii="Book Antiqua" w:hAnsi="Book Antiqua"/>
          <w:lang w:val="es-ES_tradnl"/>
        </w:rPr>
        <w:tab/>
        <w:t xml:space="preserve">1 </w:t>
      </w:r>
      <w:proofErr w:type="spellStart"/>
      <w:r w:rsidR="00721626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721626">
        <w:rPr>
          <w:rFonts w:ascii="Book Antiqua" w:hAnsi="Book Antiqua"/>
          <w:lang w:val="es-ES_tradnl"/>
        </w:rPr>
        <w:tab/>
        <w:t>Sesión</w:t>
      </w:r>
    </w:p>
    <w:p w14:paraId="46584F54" w14:textId="77777777" w:rsidR="00721626" w:rsidRDefault="00721626" w:rsidP="003F46D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6584F55" w14:textId="77777777" w:rsidR="00721626" w:rsidRDefault="00721626" w:rsidP="003F46D8">
      <w:pPr>
        <w:rPr>
          <w:lang w:val="es-ES_tradnl"/>
        </w:rPr>
      </w:pPr>
    </w:p>
    <w:p w14:paraId="46584F56" w14:textId="77777777" w:rsidR="00721626" w:rsidRDefault="00721626" w:rsidP="003F46D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584F57" w14:textId="77777777" w:rsidR="00721626" w:rsidRPr="003F46D8" w:rsidRDefault="00721626" w:rsidP="003F46D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584F58" w14:textId="0827E0D5" w:rsidR="00721626" w:rsidRDefault="00721626" w:rsidP="003F46D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C. de la C. </w:t>
      </w:r>
      <w:r w:rsidR="00487E53">
        <w:rPr>
          <w:rFonts w:ascii="Book Antiqua" w:hAnsi="Book Antiqua"/>
          <w:b/>
          <w:sz w:val="52"/>
          <w:lang w:val="es-ES_tradnl"/>
        </w:rPr>
        <w:t>10</w:t>
      </w:r>
      <w:r w:rsidR="003F46D8">
        <w:rPr>
          <w:rFonts w:ascii="Book Antiqua" w:hAnsi="Book Antiqua"/>
          <w:b/>
          <w:sz w:val="52"/>
          <w:lang w:val="es-ES_tradnl"/>
        </w:rPr>
        <w:t>4</w:t>
      </w:r>
    </w:p>
    <w:p w14:paraId="4AFB4FD5" w14:textId="77777777" w:rsidR="003F46D8" w:rsidRPr="003F46D8" w:rsidRDefault="003F46D8" w:rsidP="003F46D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584F59" w14:textId="78A2FC46" w:rsidR="00721626" w:rsidRDefault="00154A2C" w:rsidP="003F46D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FF6424">
        <w:rPr>
          <w:rFonts w:ascii="Book Antiqua" w:hAnsi="Book Antiqua"/>
          <w:lang w:val="es-ES_tradnl"/>
        </w:rPr>
        <w:t>3</w:t>
      </w:r>
      <w:r w:rsidR="00721626">
        <w:rPr>
          <w:rFonts w:ascii="Book Antiqua" w:hAnsi="Book Antiqua"/>
          <w:lang w:val="es-ES_tradnl"/>
        </w:rPr>
        <w:t xml:space="preserve"> DE </w:t>
      </w:r>
      <w:r>
        <w:rPr>
          <w:rFonts w:ascii="Book Antiqua" w:hAnsi="Book Antiqua"/>
          <w:lang w:val="es-ES_tradnl"/>
        </w:rPr>
        <w:t>ABRIL</w:t>
      </w:r>
      <w:r w:rsidR="00721626">
        <w:rPr>
          <w:rFonts w:ascii="Book Antiqua" w:hAnsi="Book Antiqua"/>
          <w:lang w:val="es-ES_tradnl"/>
        </w:rPr>
        <w:t xml:space="preserve"> DE 202</w:t>
      </w:r>
      <w:r w:rsidR="00487E53">
        <w:rPr>
          <w:rFonts w:ascii="Book Antiqua" w:hAnsi="Book Antiqua"/>
          <w:lang w:val="es-ES_tradnl"/>
        </w:rPr>
        <w:t>5</w:t>
      </w:r>
    </w:p>
    <w:p w14:paraId="26947BC0" w14:textId="77777777" w:rsidR="003F46D8" w:rsidRDefault="003F46D8" w:rsidP="003F46D8">
      <w:pPr>
        <w:jc w:val="center"/>
        <w:rPr>
          <w:rFonts w:ascii="Book Antiqua" w:hAnsi="Book Antiqua"/>
          <w:lang w:val="es-ES_tradnl"/>
        </w:rPr>
      </w:pPr>
    </w:p>
    <w:p w14:paraId="48ADF040" w14:textId="77777777" w:rsidR="003F46D8" w:rsidRDefault="00721626" w:rsidP="003F46D8">
      <w:pPr>
        <w:jc w:val="center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3F46D8">
        <w:rPr>
          <w:rFonts w:ascii="Book Antiqua" w:hAnsi="Book Antiqua"/>
          <w:lang w:val="es-ES_tradnl"/>
        </w:rPr>
        <w:t>e</w:t>
      </w:r>
      <w:r w:rsidR="00871965" w:rsidRPr="00A66E54">
        <w:rPr>
          <w:rFonts w:ascii="Book Antiqua" w:hAnsi="Book Antiqua"/>
          <w:lang w:val="es-ES"/>
        </w:rPr>
        <w:t>l representante</w:t>
      </w:r>
      <w:r w:rsidR="00871965">
        <w:rPr>
          <w:rFonts w:ascii="Book Antiqua" w:hAnsi="Book Antiqua"/>
          <w:i/>
          <w:lang w:val="es-ES"/>
        </w:rPr>
        <w:t xml:space="preserve"> Márquez Lebrón</w:t>
      </w:r>
      <w:r w:rsidR="003F46D8">
        <w:rPr>
          <w:rFonts w:ascii="Book Antiqua" w:hAnsi="Book Antiqua"/>
          <w:i/>
          <w:lang w:val="es-ES"/>
        </w:rPr>
        <w:t xml:space="preserve"> </w:t>
      </w:r>
    </w:p>
    <w:p w14:paraId="46584F5A" w14:textId="7B8216B4" w:rsidR="00721626" w:rsidRDefault="003F46D8" w:rsidP="003F46D8">
      <w:pPr>
        <w:jc w:val="center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Cs/>
          <w:lang w:val="es-ES"/>
        </w:rPr>
        <w:t>y las representantes</w:t>
      </w:r>
      <w:r w:rsidR="00871965">
        <w:rPr>
          <w:rFonts w:ascii="Book Antiqua" w:hAnsi="Book Antiqua"/>
          <w:i/>
          <w:lang w:val="es-ES"/>
        </w:rPr>
        <w:t xml:space="preserve"> </w:t>
      </w:r>
      <w:r w:rsidR="00871965" w:rsidRPr="00A66E54">
        <w:rPr>
          <w:rFonts w:ascii="Book Antiqua" w:hAnsi="Book Antiqua"/>
          <w:i/>
          <w:lang w:val="es-ES"/>
        </w:rPr>
        <w:t>Gutiérrez Colón</w:t>
      </w:r>
      <w:r w:rsidR="00871965">
        <w:rPr>
          <w:rFonts w:ascii="Book Antiqua" w:hAnsi="Book Antiqua"/>
          <w:i/>
          <w:lang w:val="es-ES"/>
        </w:rPr>
        <w:t xml:space="preserve"> </w:t>
      </w:r>
      <w:r w:rsidR="00871965" w:rsidRPr="00494590">
        <w:rPr>
          <w:rFonts w:ascii="Book Antiqua" w:hAnsi="Book Antiqua"/>
          <w:iCs/>
          <w:lang w:val="es-ES"/>
        </w:rPr>
        <w:t>y</w:t>
      </w:r>
      <w:r w:rsidR="00871965">
        <w:rPr>
          <w:rFonts w:ascii="Book Antiqua" w:hAnsi="Book Antiqua"/>
          <w:i/>
          <w:lang w:val="es-ES"/>
        </w:rPr>
        <w:t xml:space="preserve"> Lebrón Robles</w:t>
      </w:r>
    </w:p>
    <w:p w14:paraId="54A1AFA4" w14:textId="77777777" w:rsidR="003F46D8" w:rsidRDefault="003F46D8" w:rsidP="003F46D8">
      <w:pPr>
        <w:jc w:val="center"/>
        <w:rPr>
          <w:rFonts w:ascii="Book Antiqua" w:hAnsi="Book Antiqua"/>
          <w:lang w:val="es-ES_tradnl"/>
        </w:rPr>
      </w:pPr>
    </w:p>
    <w:p w14:paraId="367D08D4" w14:textId="77777777" w:rsidR="00494590" w:rsidRPr="00494590" w:rsidRDefault="00494590" w:rsidP="00494590">
      <w:pPr>
        <w:jc w:val="center"/>
        <w:rPr>
          <w:rFonts w:ascii="Book Antiqua" w:eastAsia="Book Antiqua" w:hAnsi="Book Antiqua" w:cs="Book Antiqua"/>
          <w:szCs w:val="24"/>
          <w:lang w:val="es-ES_tradnl" w:eastAsia="es-PR"/>
        </w:rPr>
      </w:pPr>
      <w:r w:rsidRPr="00494590">
        <w:rPr>
          <w:rFonts w:ascii="Book Antiqua" w:eastAsia="Book Antiqua" w:hAnsi="Book Antiqua" w:cs="Book Antiqua"/>
          <w:szCs w:val="24"/>
          <w:lang w:val="es-ES_tradnl" w:eastAsia="es-PR"/>
        </w:rPr>
        <w:t>Referida a la Comisión de Transportación e Infraestructura</w:t>
      </w:r>
    </w:p>
    <w:p w14:paraId="46584F5C" w14:textId="77777777" w:rsidR="00721626" w:rsidRDefault="00721626" w:rsidP="003F46D8">
      <w:pPr>
        <w:jc w:val="both"/>
        <w:rPr>
          <w:rFonts w:ascii="Book Antiqua" w:hAnsi="Book Antiqua"/>
          <w:lang w:val="es-ES_tradnl"/>
        </w:rPr>
      </w:pPr>
    </w:p>
    <w:p w14:paraId="46584F5D" w14:textId="77777777" w:rsidR="00721626" w:rsidRDefault="00721626" w:rsidP="003F46D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46584F5E" w14:textId="77777777" w:rsidR="00721626" w:rsidRDefault="00721626" w:rsidP="003F46D8">
      <w:pPr>
        <w:jc w:val="both"/>
        <w:rPr>
          <w:rFonts w:ascii="Book Antiqua" w:hAnsi="Book Antiqua"/>
          <w:lang w:val="es-ES_tradnl"/>
        </w:rPr>
      </w:pPr>
    </w:p>
    <w:p w14:paraId="46584F5F" w14:textId="3FCFBC4E" w:rsidR="00721626" w:rsidRDefault="00721626" w:rsidP="00582E01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725872" w:rsidRPr="00725872">
        <w:rPr>
          <w:rFonts w:ascii="Book Antiqua" w:hAnsi="Book Antiqua"/>
          <w:lang w:val="es-ES_tradnl"/>
        </w:rPr>
        <w:t>ordenar al Departamento de Transportación y Obras Públicas, en colaboración con los municipios de Puerto Rico, identificar las carreteras y puentes localizados cerca de la línea de agua o dentro del alcance de la inundación por aumento del nivel del mar y desarrollar un plan de acción con el fin de que estas estructuras queden fuera del alcance de los efectos de inundación y erosión costera; y para establecer otras disposiciones complementarias.</w:t>
      </w:r>
    </w:p>
    <w:p w14:paraId="352C696E" w14:textId="77777777" w:rsidR="00FF6424" w:rsidRDefault="00FF6424" w:rsidP="003F46D8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46584F60" w14:textId="77777777" w:rsidR="00721626" w:rsidRDefault="00721626" w:rsidP="003F46D8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3682DE3" w14:textId="77777777" w:rsidR="003F46D8" w:rsidRDefault="003F46D8" w:rsidP="003F46D8">
      <w:pPr>
        <w:ind w:firstLine="360"/>
        <w:jc w:val="center"/>
        <w:rPr>
          <w:rFonts w:ascii="Book Antiqua" w:hAnsi="Book Antiqua"/>
          <w:lang w:val="es-ES_tradnl"/>
        </w:rPr>
      </w:pPr>
    </w:p>
    <w:p w14:paraId="1BB158FF" w14:textId="77777777" w:rsidR="00725872" w:rsidRDefault="00725872" w:rsidP="00582E01">
      <w:pPr>
        <w:ind w:firstLine="720"/>
        <w:jc w:val="both"/>
        <w:rPr>
          <w:rFonts w:ascii="Book Antiqua" w:hAnsi="Book Antiqua"/>
          <w:lang w:val="es-ES_tradnl"/>
        </w:rPr>
      </w:pPr>
      <w:r w:rsidRPr="00725872">
        <w:rPr>
          <w:rFonts w:ascii="Book Antiqua" w:hAnsi="Book Antiqua"/>
          <w:lang w:val="es-ES_tradnl"/>
        </w:rPr>
        <w:t>La Ley 33-2019, conocida como la “Ley de Mitigación, Adaptación y Resiliencia al Cambio Climático de Puerto Rico”, creó el Comité de Expertos y Asesores sobre Cambio Climático (Comité), adscrito al Departamento de Recursos Naturales y Ambientales (DRNA), con el fin de alcanzar la política general del Gobierno establecida en dicha ley, y la dirección estratégica en torno al cambio climático en Puerto Rico. Además, el Comité cuenta con “total autonomía e independencia para atender los asuntos sustantivos” y, entre otros deberes, tiene la responsabilidad de “asesorar y preparar el Plan de Mitigación, Adaptación y Resiliencia al Cambio Climático a evaluarse por la Comisión Conjunta sobre Mitigación, Adaptación y Resiliencia al Cambio Climático de la Asamblea Legislativa. El referido plan fue sometido a la Asamblea Legislativa en abril de 2024.</w:t>
      </w:r>
    </w:p>
    <w:p w14:paraId="1EB1FC0D" w14:textId="77777777" w:rsidR="003F46D8" w:rsidRPr="00725872" w:rsidRDefault="003F46D8" w:rsidP="00582E01">
      <w:pPr>
        <w:ind w:firstLine="720"/>
        <w:jc w:val="both"/>
        <w:rPr>
          <w:rFonts w:ascii="Book Antiqua" w:hAnsi="Book Antiqua"/>
          <w:lang w:val="es-ES_tradnl"/>
        </w:rPr>
      </w:pPr>
    </w:p>
    <w:p w14:paraId="7DB00028" w14:textId="77777777" w:rsidR="00725872" w:rsidRDefault="00725872" w:rsidP="00582E01">
      <w:pPr>
        <w:ind w:firstLine="720"/>
        <w:jc w:val="both"/>
        <w:rPr>
          <w:rFonts w:ascii="Book Antiqua" w:hAnsi="Book Antiqua"/>
          <w:lang w:val="es-ES_tradnl"/>
        </w:rPr>
      </w:pPr>
      <w:r w:rsidRPr="00725872">
        <w:rPr>
          <w:rFonts w:ascii="Book Antiqua" w:hAnsi="Book Antiqua"/>
          <w:lang w:val="es-ES_tradnl"/>
        </w:rPr>
        <w:t xml:space="preserve">El Curso de Acción (COA) G.4 establecido en el plan propone proteger, adaptar y reubicar, según aplique, la infraestructura vial ubicada en zonas costeras afectadas por la erosión costera. Parte de la estrategia para cumplir este objetivo es identificar la </w:t>
      </w:r>
      <w:r w:rsidRPr="00725872">
        <w:rPr>
          <w:rFonts w:ascii="Book Antiqua" w:hAnsi="Book Antiqua"/>
          <w:lang w:val="es-ES_tradnl"/>
        </w:rPr>
        <w:lastRenderedPageBreak/>
        <w:t xml:space="preserve">infraestructura vial, como carreteras y puentes, afectada por la erosión y las inundaciones costeras. Luego, tomar acciones para proteger y adaptar dichas carreteras y puentes colocando, por ejemplo, infraestructura natural, como dunas y vegetación, entre otras, o incluso levantar secciones de carreteras ubicadas en las zonas de amenazas. </w:t>
      </w:r>
    </w:p>
    <w:p w14:paraId="623BEB15" w14:textId="77777777" w:rsidR="003F46D8" w:rsidRPr="00725872" w:rsidRDefault="003F46D8" w:rsidP="00582E01">
      <w:pPr>
        <w:ind w:firstLine="720"/>
        <w:jc w:val="both"/>
        <w:rPr>
          <w:rFonts w:ascii="Book Antiqua" w:hAnsi="Book Antiqua"/>
          <w:lang w:val="es-ES_tradnl"/>
        </w:rPr>
      </w:pPr>
    </w:p>
    <w:p w14:paraId="46584F66" w14:textId="6402F058" w:rsidR="00721626" w:rsidRDefault="00725872" w:rsidP="00582E01">
      <w:pPr>
        <w:ind w:firstLine="720"/>
        <w:jc w:val="both"/>
        <w:rPr>
          <w:rFonts w:ascii="Book Antiqua" w:hAnsi="Book Antiqua"/>
          <w:lang w:val="es-ES_tradnl"/>
        </w:rPr>
      </w:pPr>
      <w:r w:rsidRPr="00725872">
        <w:rPr>
          <w:rFonts w:ascii="Book Antiqua" w:hAnsi="Book Antiqua"/>
          <w:lang w:val="es-ES_tradnl"/>
        </w:rPr>
        <w:t>Esta Asamblea Legislativa acoge las recomendaciones del Comité de Expertos y Asesores sobre Cambio Climático para fortalecer las acciones del gobierno y sus agencias, en busca de corregir, mitigar y prevenir el impacto de la crisis climática en las comunidades y áreas costeras, incluyendo poder identificar las carreteras y puentes localizados cerca de la línea de agua o dentro del alcance de la inundación por aumento del nivel del mar y desarrollar un plan de acción con el fin de que estas estructuras queden fuera del alcance de los efectos de inundación y erosión costera.</w:t>
      </w:r>
    </w:p>
    <w:p w14:paraId="4261FB27" w14:textId="77777777" w:rsidR="003F46D8" w:rsidRDefault="003F46D8" w:rsidP="00582E01">
      <w:pPr>
        <w:ind w:firstLine="720"/>
        <w:jc w:val="both"/>
        <w:rPr>
          <w:rFonts w:ascii="Book Antiqua" w:hAnsi="Book Antiqua"/>
          <w:lang w:val="es-ES_tradnl"/>
        </w:rPr>
      </w:pPr>
    </w:p>
    <w:p w14:paraId="46584F67" w14:textId="77777777" w:rsidR="00721626" w:rsidRDefault="00721626" w:rsidP="003F46D8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46584F68" w14:textId="77777777" w:rsidR="00721626" w:rsidRDefault="00721626" w:rsidP="00721626">
      <w:pPr>
        <w:spacing w:line="480" w:lineRule="auto"/>
        <w:jc w:val="both"/>
        <w:rPr>
          <w:rFonts w:ascii="Book Antiqua" w:hAnsi="Book Antiqua"/>
          <w:lang w:val="es-ES_tradnl"/>
        </w:rPr>
        <w:sectPr w:rsidR="0072162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1C27F12" w14:textId="77777777" w:rsidR="00725872" w:rsidRDefault="00725872" w:rsidP="007258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05FEE">
        <w:rPr>
          <w:rFonts w:ascii="Book Antiqua" w:hAnsi="Book Antiqua"/>
          <w:lang w:val="es-ES_tradnl"/>
        </w:rPr>
        <w:t xml:space="preserve">Sección 1. – Se ordena al Departamento de Transportación y Obras Públicas, en </w:t>
      </w:r>
      <w:r>
        <w:rPr>
          <w:rFonts w:ascii="Book Antiqua" w:hAnsi="Book Antiqua"/>
          <w:lang w:val="es-ES_tradnl"/>
        </w:rPr>
        <w:t>colaboración</w:t>
      </w:r>
      <w:r w:rsidRPr="00305FEE">
        <w:rPr>
          <w:rFonts w:ascii="Book Antiqua" w:hAnsi="Book Antiqua"/>
          <w:lang w:val="es-ES_tradnl"/>
        </w:rPr>
        <w:t xml:space="preserve"> con los municipios de Puerto Rico, </w:t>
      </w:r>
      <w:r>
        <w:rPr>
          <w:rFonts w:ascii="Book Antiqua" w:hAnsi="Book Antiqua"/>
          <w:lang w:val="es-ES_tradnl"/>
        </w:rPr>
        <w:t>en un término de ciento ochenta (180) días a partir de la aprobación de esta Resolución Conjunta:</w:t>
      </w:r>
    </w:p>
    <w:p w14:paraId="0D919A40" w14:textId="77777777" w:rsidR="00725872" w:rsidRDefault="00725872" w:rsidP="00725872">
      <w:pPr>
        <w:numPr>
          <w:ilvl w:val="0"/>
          <w:numId w:val="2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305FEE">
        <w:rPr>
          <w:rFonts w:ascii="Book Antiqua" w:hAnsi="Book Antiqua"/>
          <w:lang w:val="es-ES_tradnl"/>
        </w:rPr>
        <w:t>identificar las carreteras y puentes localizados cerca de la línea de agua o dentro del alcance de la inundación por aumento del nivel del mar</w:t>
      </w:r>
      <w:r>
        <w:rPr>
          <w:rFonts w:ascii="Book Antiqua" w:hAnsi="Book Antiqua"/>
          <w:lang w:val="es-ES_tradnl"/>
        </w:rPr>
        <w:t xml:space="preserve">; y </w:t>
      </w:r>
    </w:p>
    <w:p w14:paraId="25D75262" w14:textId="77777777" w:rsidR="00725872" w:rsidRDefault="00725872" w:rsidP="00725872">
      <w:pPr>
        <w:numPr>
          <w:ilvl w:val="0"/>
          <w:numId w:val="2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305FEE">
        <w:rPr>
          <w:rFonts w:ascii="Book Antiqua" w:hAnsi="Book Antiqua"/>
          <w:lang w:val="es-ES_tradnl"/>
        </w:rPr>
        <w:t>desarrollar un plan de acción con el fin de que las carreteras y puentes localizados cerca de la línea de agua o dentro del alcance de la inundación por aumento del nivel del mar queden fuera del alcance de los efectos de inundación y erosión costera.</w:t>
      </w:r>
    </w:p>
    <w:p w14:paraId="508037DE" w14:textId="77777777" w:rsidR="00725872" w:rsidRPr="00305FEE" w:rsidRDefault="00725872" w:rsidP="007258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2. – La ejecución del plan </w:t>
      </w:r>
      <w:r w:rsidRPr="00305FEE">
        <w:rPr>
          <w:rFonts w:ascii="Book Antiqua" w:hAnsi="Book Antiqua"/>
          <w:lang w:val="es-ES_tradnl"/>
        </w:rPr>
        <w:t xml:space="preserve">de acción </w:t>
      </w:r>
      <w:r>
        <w:rPr>
          <w:rFonts w:ascii="Book Antiqua" w:hAnsi="Book Antiqua"/>
          <w:lang w:val="es-ES_tradnl"/>
        </w:rPr>
        <w:t xml:space="preserve">descrito en la Sección 1 de esta Resolución Conjunta deberá culminarse en o antes del 31 de diciembre de 2028; disponiéndose que el 31 de diciembre de cada año, hasta la fecha de culminación del plan de acción, inclusive, el </w:t>
      </w:r>
      <w:r w:rsidRPr="00305FEE">
        <w:rPr>
          <w:rFonts w:ascii="Book Antiqua" w:hAnsi="Book Antiqua"/>
          <w:lang w:val="es-ES_tradnl"/>
        </w:rPr>
        <w:t>Departamento de Transportación y Obras Públicas</w:t>
      </w:r>
      <w:r>
        <w:rPr>
          <w:rFonts w:ascii="Book Antiqua" w:hAnsi="Book Antiqua"/>
          <w:lang w:val="es-ES_tradnl"/>
        </w:rPr>
        <w:t xml:space="preserve"> </w:t>
      </w:r>
      <w:r w:rsidRPr="006D28E0">
        <w:rPr>
          <w:rFonts w:ascii="Book Antiqua" w:hAnsi="Book Antiqua"/>
          <w:szCs w:val="24"/>
          <w:lang w:val="es-ES_tradnl"/>
        </w:rPr>
        <w:t>presentará un informe</w:t>
      </w:r>
      <w:r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lastRenderedPageBreak/>
        <w:t>escrito ante la Secretaría de los Cuerpos Legislativos sobre el progreso y ejecución de esta iniciativa y de los resultados que se vayan generando.</w:t>
      </w:r>
    </w:p>
    <w:p w14:paraId="61EC1750" w14:textId="77777777" w:rsidR="00725872" w:rsidRPr="00305FEE" w:rsidRDefault="00725872" w:rsidP="007258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05FEE">
        <w:rPr>
          <w:rFonts w:ascii="Book Antiqua" w:hAnsi="Book Antiqua"/>
          <w:lang w:val="es-ES_tradnl"/>
        </w:rPr>
        <w:t>Sección 3. – El Departamento de Transportación y Obras Públicas deberá incluir en su solicitud de presupuesto para el año fiscal 202</w:t>
      </w:r>
      <w:r>
        <w:rPr>
          <w:rFonts w:ascii="Book Antiqua" w:hAnsi="Book Antiqua"/>
          <w:lang w:val="es-ES_tradnl"/>
        </w:rPr>
        <w:t>5</w:t>
      </w:r>
      <w:r w:rsidRPr="00305FEE">
        <w:rPr>
          <w:rFonts w:ascii="Book Antiqua" w:hAnsi="Book Antiqua"/>
          <w:lang w:val="es-ES_tradnl"/>
        </w:rPr>
        <w:t>-202</w:t>
      </w:r>
      <w:r>
        <w:rPr>
          <w:rFonts w:ascii="Book Antiqua" w:hAnsi="Book Antiqua"/>
          <w:lang w:val="es-ES_tradnl"/>
        </w:rPr>
        <w:t>6</w:t>
      </w:r>
      <w:r w:rsidRPr="00305FEE">
        <w:rPr>
          <w:rFonts w:ascii="Book Antiqua" w:hAnsi="Book Antiqua"/>
          <w:lang w:val="es-ES_tradnl"/>
        </w:rPr>
        <w:t xml:space="preserve"> la cantidad necesaria para identificar las carreteras y puentes localizados cerca de la línea de agua o dentro del alcance de la inundación por aumento del nivel del mar</w:t>
      </w:r>
      <w:r>
        <w:rPr>
          <w:rFonts w:ascii="Book Antiqua" w:hAnsi="Book Antiqua"/>
          <w:lang w:val="es-ES_tradnl"/>
        </w:rPr>
        <w:t>;</w:t>
      </w:r>
      <w:r w:rsidRPr="00305FEE">
        <w:rPr>
          <w:rFonts w:ascii="Book Antiqua" w:hAnsi="Book Antiqua"/>
          <w:lang w:val="es-ES_tradnl"/>
        </w:rPr>
        <w:t xml:space="preserve"> y </w:t>
      </w:r>
      <w:r>
        <w:rPr>
          <w:rFonts w:ascii="Book Antiqua" w:hAnsi="Book Antiqua"/>
          <w:lang w:val="es-ES_tradnl"/>
        </w:rPr>
        <w:t xml:space="preserve">para </w:t>
      </w:r>
      <w:r w:rsidRPr="00305FEE">
        <w:rPr>
          <w:rFonts w:ascii="Book Antiqua" w:hAnsi="Book Antiqua"/>
          <w:lang w:val="es-ES_tradnl"/>
        </w:rPr>
        <w:t xml:space="preserve">desarrollar </w:t>
      </w:r>
      <w:r>
        <w:rPr>
          <w:rFonts w:ascii="Book Antiqua" w:hAnsi="Book Antiqua"/>
          <w:lang w:val="es-ES_tradnl"/>
        </w:rPr>
        <w:t>y ejecutar el</w:t>
      </w:r>
      <w:r w:rsidRPr="00305FEE">
        <w:rPr>
          <w:rFonts w:ascii="Book Antiqua" w:hAnsi="Book Antiqua"/>
          <w:lang w:val="es-ES_tradnl"/>
        </w:rPr>
        <w:t xml:space="preserve"> plan de acción</w:t>
      </w:r>
      <w:r w:rsidRPr="00305FEE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aquí ordenado</w:t>
      </w:r>
      <w:r w:rsidRPr="00305FEE">
        <w:rPr>
          <w:rFonts w:ascii="Book Antiqua" w:hAnsi="Book Antiqua"/>
          <w:lang w:val="es-ES_tradnl"/>
        </w:rPr>
        <w:t>.</w:t>
      </w:r>
    </w:p>
    <w:p w14:paraId="46584F6C" w14:textId="394745D5" w:rsidR="00721626" w:rsidRPr="00721626" w:rsidRDefault="00725872" w:rsidP="007258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05FEE">
        <w:rPr>
          <w:rFonts w:ascii="Book Antiqua" w:hAnsi="Book Antiqua"/>
          <w:lang w:val="es-ES_tradnl"/>
        </w:rPr>
        <w:t>Sección 4. – Esta Resolución Conjunta comenzará a regir inmediatamente después de su aprobación.</w:t>
      </w:r>
    </w:p>
    <w:sectPr w:rsidR="00721626" w:rsidRPr="00721626" w:rsidSect="0072162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B16B8" w14:textId="77777777" w:rsidR="003800CB" w:rsidRDefault="003800CB">
      <w:r>
        <w:separator/>
      </w:r>
    </w:p>
  </w:endnote>
  <w:endnote w:type="continuationSeparator" w:id="0">
    <w:p w14:paraId="7247C846" w14:textId="77777777" w:rsidR="003800CB" w:rsidRDefault="00380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0F821" w14:textId="77777777" w:rsidR="003800CB" w:rsidRDefault="003800CB">
      <w:r>
        <w:separator/>
      </w:r>
    </w:p>
  </w:footnote>
  <w:footnote w:type="continuationSeparator" w:id="0">
    <w:p w14:paraId="7E9A7026" w14:textId="77777777" w:rsidR="003800CB" w:rsidRDefault="00380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84F71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D66F5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D1287"/>
    <w:multiLevelType w:val="hybridMultilevel"/>
    <w:tmpl w:val="C02A8C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591E14"/>
    <w:multiLevelType w:val="hybridMultilevel"/>
    <w:tmpl w:val="0BD08270"/>
    <w:lvl w:ilvl="0" w:tplc="6414CA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3048945">
    <w:abstractNumId w:val="1"/>
  </w:num>
  <w:num w:numId="2" w16cid:durableId="1248224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1626"/>
    <w:rsid w:val="00020BBB"/>
    <w:rsid w:val="00056024"/>
    <w:rsid w:val="00095AE1"/>
    <w:rsid w:val="000A6B6C"/>
    <w:rsid w:val="000B0DBB"/>
    <w:rsid w:val="000C570A"/>
    <w:rsid w:val="00111E71"/>
    <w:rsid w:val="00127C6A"/>
    <w:rsid w:val="001363FE"/>
    <w:rsid w:val="00154A2C"/>
    <w:rsid w:val="00157C82"/>
    <w:rsid w:val="0017132B"/>
    <w:rsid w:val="001F4CA3"/>
    <w:rsid w:val="001F612A"/>
    <w:rsid w:val="00211396"/>
    <w:rsid w:val="00226AE6"/>
    <w:rsid w:val="00245B34"/>
    <w:rsid w:val="00263355"/>
    <w:rsid w:val="00273792"/>
    <w:rsid w:val="002D4AC8"/>
    <w:rsid w:val="00320D78"/>
    <w:rsid w:val="003800CB"/>
    <w:rsid w:val="00380FE5"/>
    <w:rsid w:val="003924DD"/>
    <w:rsid w:val="00394FCB"/>
    <w:rsid w:val="003963F4"/>
    <w:rsid w:val="003B5254"/>
    <w:rsid w:val="003B75A6"/>
    <w:rsid w:val="003F46D8"/>
    <w:rsid w:val="004061CA"/>
    <w:rsid w:val="00415689"/>
    <w:rsid w:val="004440CB"/>
    <w:rsid w:val="004713D2"/>
    <w:rsid w:val="00487E53"/>
    <w:rsid w:val="00494590"/>
    <w:rsid w:val="00521639"/>
    <w:rsid w:val="005219EE"/>
    <w:rsid w:val="00532BB7"/>
    <w:rsid w:val="005332E4"/>
    <w:rsid w:val="0053550C"/>
    <w:rsid w:val="00555018"/>
    <w:rsid w:val="005723DC"/>
    <w:rsid w:val="00582E01"/>
    <w:rsid w:val="00597003"/>
    <w:rsid w:val="006210DC"/>
    <w:rsid w:val="0064349D"/>
    <w:rsid w:val="00685549"/>
    <w:rsid w:val="006B7365"/>
    <w:rsid w:val="006C2D81"/>
    <w:rsid w:val="006C7DF8"/>
    <w:rsid w:val="00703136"/>
    <w:rsid w:val="00721626"/>
    <w:rsid w:val="00725872"/>
    <w:rsid w:val="00750FC8"/>
    <w:rsid w:val="007533D0"/>
    <w:rsid w:val="00755069"/>
    <w:rsid w:val="00775DF5"/>
    <w:rsid w:val="007B0660"/>
    <w:rsid w:val="007E3868"/>
    <w:rsid w:val="00820C41"/>
    <w:rsid w:val="00850256"/>
    <w:rsid w:val="00862C38"/>
    <w:rsid w:val="00871965"/>
    <w:rsid w:val="0093686F"/>
    <w:rsid w:val="00942FD4"/>
    <w:rsid w:val="00951997"/>
    <w:rsid w:val="00990352"/>
    <w:rsid w:val="00A03405"/>
    <w:rsid w:val="00A1528A"/>
    <w:rsid w:val="00A32D0F"/>
    <w:rsid w:val="00A33918"/>
    <w:rsid w:val="00A7629F"/>
    <w:rsid w:val="00AD66F5"/>
    <w:rsid w:val="00AF0CEE"/>
    <w:rsid w:val="00B34D7B"/>
    <w:rsid w:val="00B667AD"/>
    <w:rsid w:val="00B84C38"/>
    <w:rsid w:val="00B86C00"/>
    <w:rsid w:val="00B947F6"/>
    <w:rsid w:val="00BD700D"/>
    <w:rsid w:val="00BF16AA"/>
    <w:rsid w:val="00BF3496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B3FE9"/>
    <w:rsid w:val="00D417C2"/>
    <w:rsid w:val="00D60936"/>
    <w:rsid w:val="00D709EB"/>
    <w:rsid w:val="00D74714"/>
    <w:rsid w:val="00D77115"/>
    <w:rsid w:val="00D82F3F"/>
    <w:rsid w:val="00D921C6"/>
    <w:rsid w:val="00D958C2"/>
    <w:rsid w:val="00E04AB5"/>
    <w:rsid w:val="00E50EEA"/>
    <w:rsid w:val="00E52F58"/>
    <w:rsid w:val="00E81959"/>
    <w:rsid w:val="00EC26AA"/>
    <w:rsid w:val="00EC5D3B"/>
    <w:rsid w:val="00ED7A53"/>
    <w:rsid w:val="00EE4273"/>
    <w:rsid w:val="00F02004"/>
    <w:rsid w:val="00F042CB"/>
    <w:rsid w:val="00F60A20"/>
    <w:rsid w:val="00FC0A95"/>
    <w:rsid w:val="00FC3D9C"/>
    <w:rsid w:val="00FF0153"/>
    <w:rsid w:val="00FF4DD7"/>
    <w:rsid w:val="00FF6424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6584F51"/>
  <w15:chartTrackingRefBased/>
  <w15:docId w15:val="{D2261BAF-1988-4F3E-B15A-6655CE53C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712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Rocío Alayón Morell</cp:lastModifiedBy>
  <cp:revision>5</cp:revision>
  <cp:lastPrinted>2025-04-24T16:24:00Z</cp:lastPrinted>
  <dcterms:created xsi:type="dcterms:W3CDTF">2025-04-23T19:49:00Z</dcterms:created>
  <dcterms:modified xsi:type="dcterms:W3CDTF">2025-04-24T16:27:00Z</dcterms:modified>
</cp:coreProperties>
</file>