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84F51" w14:textId="77777777" w:rsidR="00FF6BD2" w:rsidRDefault="00721626" w:rsidP="006D4423">
      <w:pPr>
        <w:jc w:val="center"/>
        <w:rPr>
          <w:rFonts w:ascii="Book Antiqua" w:hAnsi="Book Antiqua"/>
          <w:sz w:val="28"/>
          <w:lang w:val="es-ES_tradnl"/>
        </w:rPr>
      </w:pPr>
      <w:r>
        <w:rPr>
          <w:rFonts w:ascii="Book Antiqua" w:hAnsi="Book Antiqua"/>
          <w:sz w:val="28"/>
          <w:lang w:val="es-ES_tradnl"/>
        </w:rPr>
        <w:t>GOBIERNO DE PUERTO RICO</w:t>
      </w:r>
    </w:p>
    <w:p w14:paraId="46584F52" w14:textId="77777777" w:rsidR="00721626" w:rsidRPr="006D4423" w:rsidRDefault="00721626" w:rsidP="006D4423">
      <w:pPr>
        <w:jc w:val="center"/>
        <w:rPr>
          <w:rFonts w:ascii="Book Antiqua" w:hAnsi="Book Antiqua"/>
          <w:szCs w:val="18"/>
          <w:lang w:val="es-ES_tradnl"/>
        </w:rPr>
      </w:pPr>
    </w:p>
    <w:p w14:paraId="46584F53" w14:textId="01D165DF" w:rsidR="00721626" w:rsidRDefault="00FF6424" w:rsidP="006D4423">
      <w:pPr>
        <w:pStyle w:val="Title2"/>
        <w:rPr>
          <w:rFonts w:ascii="Book Antiqua" w:hAnsi="Book Antiqua"/>
          <w:lang w:val="es-ES_tradnl"/>
        </w:rPr>
      </w:pPr>
      <w:r>
        <w:rPr>
          <w:rFonts w:ascii="Book Antiqua" w:hAnsi="Book Antiqua"/>
          <w:lang w:val="es-ES_tradnl"/>
        </w:rPr>
        <w:t>20</w:t>
      </w:r>
      <w:r w:rsidR="00721626">
        <w:rPr>
          <w:rFonts w:ascii="Book Antiqua" w:hAnsi="Book Antiqua"/>
          <w:lang w:val="es-ES_tradnl"/>
        </w:rPr>
        <w:t xml:space="preserve"> </w:t>
      </w:r>
      <w:proofErr w:type="spellStart"/>
      <w:r>
        <w:rPr>
          <w:rFonts w:ascii="Book Antiqua" w:hAnsi="Book Antiqua"/>
          <w:vertAlign w:val="superscript"/>
          <w:lang w:val="es-ES_tradnl"/>
        </w:rPr>
        <w:t>m</w:t>
      </w:r>
      <w:r w:rsidR="00721626">
        <w:rPr>
          <w:rFonts w:ascii="Book Antiqua" w:hAnsi="Book Antiqua"/>
          <w:vertAlign w:val="superscript"/>
          <w:lang w:val="es-ES_tradnl"/>
        </w:rPr>
        <w:t>a</w:t>
      </w:r>
      <w:proofErr w:type="spellEnd"/>
      <w:r w:rsidR="00721626">
        <w:rPr>
          <w:rFonts w:ascii="Book Antiqua" w:hAnsi="Book Antiqua"/>
          <w:lang w:val="es-ES_tradnl"/>
        </w:rPr>
        <w:tab/>
        <w:t>Asamblea</w:t>
      </w:r>
      <w:r w:rsidR="00721626">
        <w:rPr>
          <w:rFonts w:ascii="Book Antiqua" w:hAnsi="Book Antiqua"/>
          <w:lang w:val="es-ES_tradnl"/>
        </w:rPr>
        <w:tab/>
        <w:t xml:space="preserve">1 </w:t>
      </w:r>
      <w:proofErr w:type="spellStart"/>
      <w:r w:rsidR="00721626">
        <w:rPr>
          <w:rFonts w:ascii="Book Antiqua" w:hAnsi="Book Antiqua"/>
          <w:vertAlign w:val="superscript"/>
          <w:lang w:val="es-ES_tradnl"/>
        </w:rPr>
        <w:t>ra</w:t>
      </w:r>
      <w:proofErr w:type="spellEnd"/>
      <w:r w:rsidR="00721626">
        <w:rPr>
          <w:rFonts w:ascii="Book Antiqua" w:hAnsi="Book Antiqua"/>
          <w:lang w:val="es-ES_tradnl"/>
        </w:rPr>
        <w:tab/>
        <w:t>Sesión</w:t>
      </w:r>
    </w:p>
    <w:p w14:paraId="46584F54" w14:textId="77777777" w:rsidR="00721626" w:rsidRDefault="00721626" w:rsidP="006D4423">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6584F55" w14:textId="77777777" w:rsidR="00721626" w:rsidRDefault="00721626" w:rsidP="006D4423">
      <w:pPr>
        <w:rPr>
          <w:lang w:val="es-ES_tradnl"/>
        </w:rPr>
      </w:pPr>
    </w:p>
    <w:p w14:paraId="46584F56" w14:textId="77777777" w:rsidR="00721626" w:rsidRDefault="00721626" w:rsidP="006D4423">
      <w:pPr>
        <w:jc w:val="center"/>
        <w:rPr>
          <w:rFonts w:ascii="Book Antiqua" w:hAnsi="Book Antiqua"/>
          <w:b/>
          <w:sz w:val="36"/>
          <w:lang w:val="es-ES_tradnl"/>
        </w:rPr>
      </w:pPr>
      <w:r>
        <w:rPr>
          <w:rFonts w:ascii="Book Antiqua" w:hAnsi="Book Antiqua"/>
          <w:b/>
          <w:sz w:val="36"/>
          <w:lang w:val="es-ES_tradnl"/>
        </w:rPr>
        <w:t>CÁMARA DE REPRESENTANTES</w:t>
      </w:r>
    </w:p>
    <w:p w14:paraId="46584F57" w14:textId="77777777" w:rsidR="00721626" w:rsidRPr="006D4423" w:rsidRDefault="00721626" w:rsidP="006D4423">
      <w:pPr>
        <w:jc w:val="center"/>
        <w:rPr>
          <w:rFonts w:ascii="Book Antiqua" w:hAnsi="Book Antiqua"/>
          <w:b/>
          <w:szCs w:val="24"/>
          <w:lang w:val="es-ES_tradnl"/>
        </w:rPr>
      </w:pPr>
    </w:p>
    <w:p w14:paraId="46584F58" w14:textId="0636EE49" w:rsidR="00721626" w:rsidRDefault="00721626" w:rsidP="006D4423">
      <w:pPr>
        <w:jc w:val="center"/>
        <w:rPr>
          <w:rFonts w:ascii="Book Antiqua" w:hAnsi="Book Antiqua"/>
          <w:b/>
          <w:sz w:val="52"/>
          <w:lang w:val="es-ES_tradnl"/>
        </w:rPr>
      </w:pPr>
      <w:r>
        <w:rPr>
          <w:rFonts w:ascii="Book Antiqua" w:hAnsi="Book Antiqua"/>
          <w:b/>
          <w:sz w:val="52"/>
          <w:lang w:val="es-ES_tradnl"/>
        </w:rPr>
        <w:t xml:space="preserve">R. C. de la C. </w:t>
      </w:r>
      <w:r w:rsidR="003B2B62">
        <w:rPr>
          <w:rFonts w:ascii="Book Antiqua" w:hAnsi="Book Antiqua"/>
          <w:b/>
          <w:sz w:val="52"/>
          <w:lang w:val="es-ES_tradnl"/>
        </w:rPr>
        <w:t>105</w:t>
      </w:r>
    </w:p>
    <w:p w14:paraId="328B8A1F" w14:textId="77777777" w:rsidR="006D4423" w:rsidRPr="006D4423" w:rsidRDefault="006D4423" w:rsidP="006D4423">
      <w:pPr>
        <w:jc w:val="center"/>
        <w:rPr>
          <w:rFonts w:ascii="Book Antiqua" w:hAnsi="Book Antiqua"/>
          <w:b/>
          <w:szCs w:val="24"/>
          <w:lang w:val="es-ES_tradnl"/>
        </w:rPr>
      </w:pPr>
    </w:p>
    <w:p w14:paraId="46584F59" w14:textId="01F9044A" w:rsidR="00721626" w:rsidRDefault="00154A2C" w:rsidP="006D4423">
      <w:pPr>
        <w:jc w:val="center"/>
        <w:rPr>
          <w:rFonts w:ascii="Book Antiqua" w:hAnsi="Book Antiqua"/>
          <w:lang w:val="es-ES_tradnl"/>
        </w:rPr>
      </w:pPr>
      <w:r>
        <w:rPr>
          <w:rFonts w:ascii="Book Antiqua" w:hAnsi="Book Antiqua"/>
          <w:lang w:val="es-ES_tradnl"/>
        </w:rPr>
        <w:t>2</w:t>
      </w:r>
      <w:r w:rsidR="00FF6424">
        <w:rPr>
          <w:rFonts w:ascii="Book Antiqua" w:hAnsi="Book Antiqua"/>
          <w:lang w:val="es-ES_tradnl"/>
        </w:rPr>
        <w:t>3</w:t>
      </w:r>
      <w:r w:rsidR="00721626">
        <w:rPr>
          <w:rFonts w:ascii="Book Antiqua" w:hAnsi="Book Antiqua"/>
          <w:lang w:val="es-ES_tradnl"/>
        </w:rPr>
        <w:t xml:space="preserve"> DE </w:t>
      </w:r>
      <w:r>
        <w:rPr>
          <w:rFonts w:ascii="Book Antiqua" w:hAnsi="Book Antiqua"/>
          <w:lang w:val="es-ES_tradnl"/>
        </w:rPr>
        <w:t>ABRIL</w:t>
      </w:r>
      <w:r w:rsidR="00721626">
        <w:rPr>
          <w:rFonts w:ascii="Book Antiqua" w:hAnsi="Book Antiqua"/>
          <w:lang w:val="es-ES_tradnl"/>
        </w:rPr>
        <w:t xml:space="preserve"> DE 202</w:t>
      </w:r>
      <w:r w:rsidR="006D4423">
        <w:rPr>
          <w:rFonts w:ascii="Book Antiqua" w:hAnsi="Book Antiqua"/>
          <w:lang w:val="es-ES_tradnl"/>
        </w:rPr>
        <w:t>5</w:t>
      </w:r>
    </w:p>
    <w:p w14:paraId="320247C7" w14:textId="77777777" w:rsidR="006D4423" w:rsidRDefault="006D4423" w:rsidP="006D4423">
      <w:pPr>
        <w:jc w:val="center"/>
        <w:rPr>
          <w:rFonts w:ascii="Book Antiqua" w:hAnsi="Book Antiqua"/>
          <w:lang w:val="es-ES_tradnl"/>
        </w:rPr>
      </w:pPr>
    </w:p>
    <w:p w14:paraId="0433EAF9" w14:textId="77777777" w:rsidR="006D4423" w:rsidRDefault="00721626" w:rsidP="006D4423">
      <w:pPr>
        <w:jc w:val="center"/>
        <w:rPr>
          <w:rFonts w:ascii="Book Antiqua" w:hAnsi="Book Antiqua"/>
          <w:i/>
          <w:lang w:val="es-ES"/>
        </w:rPr>
      </w:pPr>
      <w:r>
        <w:rPr>
          <w:rFonts w:ascii="Book Antiqua" w:hAnsi="Book Antiqua"/>
          <w:lang w:val="es-ES_tradnl"/>
        </w:rPr>
        <w:t xml:space="preserve">Presentada por </w:t>
      </w:r>
      <w:r w:rsidR="006D4423">
        <w:rPr>
          <w:rFonts w:ascii="Book Antiqua" w:hAnsi="Book Antiqua"/>
          <w:lang w:val="es-ES_tradnl"/>
        </w:rPr>
        <w:t>e</w:t>
      </w:r>
      <w:r w:rsidR="00417FED" w:rsidRPr="00A66E54">
        <w:rPr>
          <w:rFonts w:ascii="Book Antiqua" w:hAnsi="Book Antiqua"/>
          <w:lang w:val="es-ES"/>
        </w:rPr>
        <w:t>l representante</w:t>
      </w:r>
      <w:r w:rsidR="00417FED">
        <w:rPr>
          <w:rFonts w:ascii="Book Antiqua" w:hAnsi="Book Antiqua"/>
          <w:i/>
          <w:lang w:val="es-ES"/>
        </w:rPr>
        <w:t xml:space="preserve"> Márquez Lebrón</w:t>
      </w:r>
      <w:r w:rsidR="006D4423">
        <w:rPr>
          <w:rFonts w:ascii="Book Antiqua" w:hAnsi="Book Antiqua"/>
          <w:i/>
          <w:lang w:val="es-ES"/>
        </w:rPr>
        <w:t xml:space="preserve"> </w:t>
      </w:r>
    </w:p>
    <w:p w14:paraId="46584F5A" w14:textId="5693EE90" w:rsidR="00721626" w:rsidRDefault="006D4423" w:rsidP="006D4423">
      <w:pPr>
        <w:jc w:val="center"/>
        <w:rPr>
          <w:rFonts w:ascii="Book Antiqua" w:hAnsi="Book Antiqua"/>
          <w:i/>
          <w:lang w:val="es-ES"/>
        </w:rPr>
      </w:pPr>
      <w:r>
        <w:rPr>
          <w:rFonts w:ascii="Book Antiqua" w:hAnsi="Book Antiqua"/>
          <w:iCs/>
          <w:lang w:val="es-ES"/>
        </w:rPr>
        <w:t>y las representantes</w:t>
      </w:r>
      <w:r w:rsidR="00417FED">
        <w:rPr>
          <w:rFonts w:ascii="Book Antiqua" w:hAnsi="Book Antiqua"/>
          <w:i/>
          <w:lang w:val="es-ES"/>
        </w:rPr>
        <w:t xml:space="preserve"> </w:t>
      </w:r>
      <w:r w:rsidR="00417FED" w:rsidRPr="00A66E54">
        <w:rPr>
          <w:rFonts w:ascii="Book Antiqua" w:hAnsi="Book Antiqua"/>
          <w:i/>
          <w:lang w:val="es-ES"/>
        </w:rPr>
        <w:t>Gutiérrez Colón</w:t>
      </w:r>
      <w:r w:rsidR="00417FED" w:rsidRPr="007D156D">
        <w:rPr>
          <w:rFonts w:ascii="Book Antiqua" w:hAnsi="Book Antiqua"/>
          <w:iCs/>
          <w:lang w:val="es-ES"/>
        </w:rPr>
        <w:t xml:space="preserve"> </w:t>
      </w:r>
      <w:r w:rsidR="00417FED" w:rsidRPr="00334C0E">
        <w:rPr>
          <w:rFonts w:ascii="Book Antiqua" w:hAnsi="Book Antiqua"/>
          <w:iCs/>
          <w:lang w:val="es-ES"/>
        </w:rPr>
        <w:t>y</w:t>
      </w:r>
      <w:r w:rsidR="00417FED">
        <w:rPr>
          <w:rFonts w:ascii="Book Antiqua" w:hAnsi="Book Antiqua"/>
          <w:i/>
          <w:lang w:val="es-ES"/>
        </w:rPr>
        <w:t xml:space="preserve"> Lebrón Robles</w:t>
      </w:r>
    </w:p>
    <w:p w14:paraId="3661124A" w14:textId="77777777" w:rsidR="006D4423" w:rsidRDefault="006D4423" w:rsidP="006D4423">
      <w:pPr>
        <w:jc w:val="center"/>
        <w:rPr>
          <w:rFonts w:ascii="Book Antiqua" w:hAnsi="Book Antiqua"/>
          <w:lang w:val="es-ES_tradnl"/>
        </w:rPr>
      </w:pPr>
    </w:p>
    <w:p w14:paraId="46584F5B" w14:textId="68744576" w:rsidR="00721626" w:rsidRDefault="00721626" w:rsidP="006D4423">
      <w:pPr>
        <w:jc w:val="center"/>
        <w:rPr>
          <w:rFonts w:ascii="Book Antiqua" w:hAnsi="Book Antiqua"/>
          <w:lang w:val="es-ES_tradnl"/>
        </w:rPr>
      </w:pPr>
      <w:r>
        <w:rPr>
          <w:rFonts w:ascii="Book Antiqua" w:hAnsi="Book Antiqua"/>
          <w:lang w:val="es-ES_tradnl"/>
        </w:rPr>
        <w:t xml:space="preserve">Referida a </w:t>
      </w:r>
      <w:r w:rsidR="007D156D">
        <w:rPr>
          <w:rFonts w:ascii="Book Antiqua" w:hAnsi="Book Antiqua"/>
          <w:lang w:val="es-ES_tradnl"/>
        </w:rPr>
        <w:t>la Comisión de Salud</w:t>
      </w:r>
    </w:p>
    <w:p w14:paraId="46584F5C" w14:textId="77777777" w:rsidR="00721626" w:rsidRDefault="00721626" w:rsidP="006D4423">
      <w:pPr>
        <w:jc w:val="both"/>
        <w:rPr>
          <w:rFonts w:ascii="Book Antiqua" w:hAnsi="Book Antiqua"/>
          <w:lang w:val="es-ES_tradnl"/>
        </w:rPr>
      </w:pPr>
    </w:p>
    <w:p w14:paraId="46584F5D" w14:textId="77777777" w:rsidR="00721626" w:rsidRDefault="00721626" w:rsidP="006D4423">
      <w:pPr>
        <w:jc w:val="center"/>
        <w:rPr>
          <w:rFonts w:ascii="Book Antiqua" w:hAnsi="Book Antiqua"/>
          <w:b/>
          <w:sz w:val="28"/>
          <w:lang w:val="es-ES_tradnl"/>
        </w:rPr>
      </w:pPr>
      <w:r>
        <w:rPr>
          <w:rFonts w:ascii="Book Antiqua" w:hAnsi="Book Antiqua"/>
          <w:b/>
          <w:sz w:val="28"/>
          <w:lang w:val="es-ES_tradnl"/>
        </w:rPr>
        <w:t>RESOLUCIÓN CONJUNTA</w:t>
      </w:r>
    </w:p>
    <w:p w14:paraId="46584F5E" w14:textId="77777777" w:rsidR="00721626" w:rsidRDefault="00721626" w:rsidP="006D4423">
      <w:pPr>
        <w:jc w:val="both"/>
        <w:rPr>
          <w:rFonts w:ascii="Book Antiqua" w:hAnsi="Book Antiqua"/>
          <w:lang w:val="es-ES_tradnl"/>
        </w:rPr>
      </w:pPr>
    </w:p>
    <w:p w14:paraId="46584F5F" w14:textId="6D97AF4C" w:rsidR="00721626" w:rsidRDefault="00721626" w:rsidP="006D4423">
      <w:pPr>
        <w:ind w:left="630" w:hanging="630"/>
        <w:jc w:val="both"/>
        <w:rPr>
          <w:rFonts w:ascii="Book Antiqua" w:hAnsi="Book Antiqua"/>
          <w:lang w:val="es-ES_tradnl"/>
        </w:rPr>
      </w:pPr>
      <w:r>
        <w:rPr>
          <w:rFonts w:ascii="Book Antiqua" w:hAnsi="Book Antiqua"/>
          <w:lang w:val="es-ES_tradnl"/>
        </w:rPr>
        <w:t xml:space="preserve">Para </w:t>
      </w:r>
      <w:r w:rsidR="00A266BD" w:rsidRPr="00A266BD">
        <w:rPr>
          <w:rFonts w:ascii="Book Antiqua" w:hAnsi="Book Antiqua"/>
          <w:lang w:val="es-ES_tradnl"/>
        </w:rPr>
        <w:t>ordenar al Departamento de Salud cumplir con lo dispuesto en el Artículo 5 de la Ley 23-2023, que requiere la aprobación y publicación de un reglamento para uniformar la provisión del servicio de etiquetas parlantes a pacientes ciegas o con discapacidad visual en las farmacias</w:t>
      </w:r>
      <w:bookmarkStart w:id="0" w:name="_Hlk72155411"/>
      <w:r w:rsidR="00A266BD" w:rsidRPr="00A266BD">
        <w:rPr>
          <w:rFonts w:ascii="Book Antiqua" w:hAnsi="Book Antiqua"/>
          <w:lang w:val="es-PR"/>
        </w:rPr>
        <w:t xml:space="preserve"> establecidas en Puerto Rico</w:t>
      </w:r>
      <w:bookmarkEnd w:id="0"/>
      <w:r w:rsidR="00A266BD" w:rsidRPr="00A266BD">
        <w:rPr>
          <w:rFonts w:ascii="Book Antiqua" w:hAnsi="Book Antiqua"/>
          <w:lang w:val="es-PR"/>
        </w:rPr>
        <w:t>.</w:t>
      </w:r>
    </w:p>
    <w:p w14:paraId="352C696E" w14:textId="77777777" w:rsidR="00FF6424" w:rsidRDefault="00FF6424" w:rsidP="006D4423">
      <w:pPr>
        <w:ind w:left="360" w:hanging="360"/>
        <w:jc w:val="both"/>
        <w:rPr>
          <w:rFonts w:ascii="Book Antiqua" w:hAnsi="Book Antiqua"/>
          <w:lang w:val="es-ES_tradnl"/>
        </w:rPr>
      </w:pPr>
    </w:p>
    <w:p w14:paraId="46584F60" w14:textId="77777777" w:rsidR="00721626" w:rsidRDefault="00721626" w:rsidP="006D4423">
      <w:pPr>
        <w:jc w:val="center"/>
        <w:rPr>
          <w:rFonts w:ascii="Book Antiqua" w:hAnsi="Book Antiqua"/>
          <w:lang w:val="es-ES_tradnl"/>
        </w:rPr>
      </w:pPr>
      <w:r>
        <w:rPr>
          <w:rFonts w:ascii="Book Antiqua" w:hAnsi="Book Antiqua"/>
          <w:lang w:val="es-ES_tradnl"/>
        </w:rPr>
        <w:t>EXPOSICIÓN DE MOTIVOS</w:t>
      </w:r>
    </w:p>
    <w:p w14:paraId="037B652A" w14:textId="77777777" w:rsidR="006D4423" w:rsidRDefault="006D4423" w:rsidP="006D4423">
      <w:pPr>
        <w:ind w:firstLine="360"/>
        <w:jc w:val="center"/>
        <w:rPr>
          <w:rFonts w:ascii="Book Antiqua" w:hAnsi="Book Antiqua"/>
          <w:lang w:val="es-ES_tradnl"/>
        </w:rPr>
      </w:pPr>
    </w:p>
    <w:p w14:paraId="6A2933EF" w14:textId="77777777" w:rsidR="00A266BD" w:rsidRDefault="00A266BD" w:rsidP="006D4423">
      <w:pPr>
        <w:ind w:firstLine="360"/>
        <w:jc w:val="both"/>
        <w:rPr>
          <w:rFonts w:ascii="Book Antiqua" w:hAnsi="Book Antiqua"/>
          <w:lang w:val="es-ES"/>
        </w:rPr>
      </w:pPr>
      <w:r w:rsidRPr="00A266BD">
        <w:rPr>
          <w:rFonts w:ascii="Book Antiqua" w:hAnsi="Book Antiqua"/>
          <w:lang w:val="es-ES"/>
        </w:rPr>
        <w:t xml:space="preserve">El 13 de enero de 2023 se aprobó </w:t>
      </w:r>
      <w:r w:rsidRPr="00A266BD">
        <w:rPr>
          <w:rFonts w:ascii="Book Antiqua" w:hAnsi="Book Antiqua"/>
          <w:lang w:val="es-419"/>
        </w:rPr>
        <w:t>la Ley 23</w:t>
      </w:r>
      <w:r w:rsidRPr="00A266BD">
        <w:rPr>
          <w:rFonts w:ascii="Book Antiqua" w:hAnsi="Book Antiqua"/>
          <w:lang w:val="es-ES"/>
        </w:rPr>
        <w:t xml:space="preserve"> con el propósito de </w:t>
      </w:r>
      <w:r w:rsidRPr="00A266BD">
        <w:rPr>
          <w:rFonts w:ascii="Book Antiqua" w:hAnsi="Book Antiqua"/>
          <w:lang w:val="es-PR"/>
        </w:rPr>
        <w:t>requerir a las farmacias establecidas en Puerto Rico ofrecer el servicio de etiquetas parlantes a la comunidad ciega.</w:t>
      </w:r>
      <w:r w:rsidRPr="00A266BD">
        <w:rPr>
          <w:rFonts w:ascii="Book Antiqua" w:hAnsi="Book Antiqua"/>
          <w:lang w:val="es-ES"/>
        </w:rPr>
        <w:t xml:space="preserve"> En su Artículo</w:t>
      </w:r>
      <w:r w:rsidRPr="00A266BD">
        <w:rPr>
          <w:rFonts w:ascii="Book Antiqua" w:hAnsi="Book Antiqua"/>
          <w:lang w:val="es-419"/>
        </w:rPr>
        <w:t xml:space="preserve"> 5, </w:t>
      </w:r>
      <w:r w:rsidRPr="00A266BD">
        <w:rPr>
          <w:rFonts w:ascii="Book Antiqua" w:hAnsi="Book Antiqua"/>
          <w:lang w:val="es-ES"/>
        </w:rPr>
        <w:t>la Asamblea Legislativa dispuso un término de ciento ochenta (180) días para que el Departamento de Salud aprobara un reglamento que promoviera la adecuada implementación de ese estatuto. Una vez aprobado, el Departamento de Salud tendría treinta (30) días para dar a conocer sus pormenores a las ciudadanas y proveedoras. Cumplir con lo dispuesto en el Artículo referido no es opcional. Sin embargo, la comunidad ciega y otras personas con diagnósticos de condiciones visuales han comunicado el incumplimiento del Departamento de Salud con el mandato de ley y cómo su inobservancia incide de manera directa sobre los servicios de salud que necesitan.</w:t>
      </w:r>
    </w:p>
    <w:p w14:paraId="72AE60E8" w14:textId="77777777" w:rsidR="006D4423" w:rsidRPr="00A266BD" w:rsidRDefault="006D4423" w:rsidP="006D4423">
      <w:pPr>
        <w:ind w:firstLine="360"/>
        <w:jc w:val="both"/>
        <w:rPr>
          <w:rFonts w:ascii="Book Antiqua" w:hAnsi="Book Antiqua"/>
          <w:lang w:val="es-ES"/>
        </w:rPr>
      </w:pPr>
    </w:p>
    <w:p w14:paraId="46584F66" w14:textId="49BA4884" w:rsidR="00721626" w:rsidRDefault="00A266BD" w:rsidP="006D4423">
      <w:pPr>
        <w:ind w:firstLine="360"/>
        <w:jc w:val="both"/>
        <w:rPr>
          <w:rFonts w:ascii="Book Antiqua" w:hAnsi="Book Antiqua"/>
          <w:lang w:val="es-419"/>
        </w:rPr>
      </w:pPr>
      <w:r w:rsidRPr="00A266BD">
        <w:rPr>
          <w:rFonts w:ascii="Book Antiqua" w:hAnsi="Book Antiqua"/>
          <w:lang w:val="es-419"/>
        </w:rPr>
        <w:tab/>
        <w:t xml:space="preserve">Existe una gran variedad de métodos mediante los cuales la Asamblea Legislativa podría garantizar el acceso de las personas ciegas a la información farmacológica. No obstante, el uso de etiquetas parlantes ha probado ser una herramienta efectiva que garantiza accesibilidad y conveniencia, tanto para personas ciegas, como para pacientes </w:t>
      </w:r>
      <w:r w:rsidRPr="00A266BD">
        <w:rPr>
          <w:rFonts w:ascii="Book Antiqua" w:hAnsi="Book Antiqua"/>
          <w:lang w:val="es-419"/>
        </w:rPr>
        <w:lastRenderedPageBreak/>
        <w:t>con diversidad funcional visual. Lo que adelantó la Ley 23-2023 debe ser atendido por el Departamento de Salud con urgencia. Es impostergable facilitar el acceso a la información de medicamentos a las personas ciegas y viabilizar la provisión de un servicio rápido en las farmacias establecidas en Puerto Rico. Transcurridos más de dos años desde la aprobación de la Ley, procede que la Asamblea Legislativa le ordene al Departamento de Salud cumplir su deber ministerial sin dilación.</w:t>
      </w:r>
    </w:p>
    <w:p w14:paraId="5E96E62B" w14:textId="77777777" w:rsidR="006D4423" w:rsidRDefault="006D4423" w:rsidP="006D4423">
      <w:pPr>
        <w:ind w:firstLine="360"/>
        <w:jc w:val="both"/>
        <w:rPr>
          <w:rFonts w:ascii="Book Antiqua" w:hAnsi="Book Antiqua"/>
          <w:lang w:val="es-ES_tradnl"/>
        </w:rPr>
      </w:pPr>
    </w:p>
    <w:p w14:paraId="46584F67" w14:textId="77777777" w:rsidR="00721626" w:rsidRDefault="00721626" w:rsidP="006D4423">
      <w:pPr>
        <w:spacing w:line="480" w:lineRule="auto"/>
        <w:rPr>
          <w:rFonts w:ascii="Book Antiqua" w:hAnsi="Book Antiqua"/>
          <w:i/>
          <w:lang w:val="es-ES_tradnl"/>
        </w:rPr>
      </w:pPr>
      <w:r>
        <w:rPr>
          <w:rFonts w:ascii="Book Antiqua" w:hAnsi="Book Antiqua"/>
          <w:i/>
          <w:lang w:val="es-ES_tradnl"/>
        </w:rPr>
        <w:t>RESUÉLVESE POR LA ASAMBLEA LEGISLATIVA DE PUERTO RICO:</w:t>
      </w:r>
    </w:p>
    <w:p w14:paraId="46584F68" w14:textId="77777777" w:rsidR="00721626" w:rsidRDefault="00721626" w:rsidP="00721626">
      <w:pPr>
        <w:spacing w:line="480" w:lineRule="auto"/>
        <w:jc w:val="both"/>
        <w:rPr>
          <w:rFonts w:ascii="Book Antiqua" w:hAnsi="Book Antiqua"/>
          <w:lang w:val="es-ES_tradnl"/>
        </w:rPr>
        <w:sectPr w:rsidR="00721626">
          <w:headerReference w:type="default" r:id="rId8"/>
          <w:type w:val="continuous"/>
          <w:pgSz w:w="12240" w:h="15840" w:code="1"/>
          <w:pgMar w:top="1440" w:right="1440" w:bottom="1440" w:left="1440" w:header="720" w:footer="720" w:gutter="0"/>
          <w:cols w:space="720"/>
          <w:titlePg/>
        </w:sectPr>
      </w:pPr>
    </w:p>
    <w:p w14:paraId="05973EC7" w14:textId="77777777" w:rsidR="00A266BD" w:rsidRPr="00D16462" w:rsidRDefault="00A266BD" w:rsidP="00A266BD">
      <w:pPr>
        <w:spacing w:line="480" w:lineRule="auto"/>
        <w:ind w:firstLine="720"/>
        <w:jc w:val="both"/>
        <w:rPr>
          <w:rFonts w:ascii="Book Antiqua" w:hAnsi="Book Antiqua"/>
          <w:lang w:val="es-ES_tradnl"/>
        </w:rPr>
      </w:pPr>
      <w:r>
        <w:rPr>
          <w:rFonts w:ascii="Book Antiqua" w:hAnsi="Book Antiqua"/>
          <w:lang w:val="es-ES_tradnl"/>
        </w:rPr>
        <w:t xml:space="preserve">Sección 1.- </w:t>
      </w:r>
      <w:r>
        <w:rPr>
          <w:rFonts w:ascii="Book Antiqua" w:hAnsi="Book Antiqua"/>
          <w:szCs w:val="24"/>
          <w:lang w:val="es-ES"/>
        </w:rPr>
        <w:t xml:space="preserve">Se ordena </w:t>
      </w:r>
      <w:r>
        <w:rPr>
          <w:rFonts w:ascii="Book Antiqua" w:hAnsi="Book Antiqua"/>
          <w:szCs w:val="24"/>
          <w:lang w:val="es-ES_tradnl"/>
        </w:rPr>
        <w:t>al Departamento de Salud cumplir de inmediato con lo dispuesto en el Artículo 5 de la Ley 23-2023, que requiere la aprobación y publicación de un reglamento para la implantación adecuada de ese estatuto; de forma que las farmacias establecidas en Puerto Rico que dispensen medicamentos para la venta al detal, y que brinden servicios a pacientes ciegas o con discapacidad visual, ofrezcan el servicio de etiquetas parlantes.</w:t>
      </w:r>
    </w:p>
    <w:p w14:paraId="46584F6C" w14:textId="16501044" w:rsidR="00721626" w:rsidRPr="00721626" w:rsidRDefault="00A266BD" w:rsidP="00A266BD">
      <w:pPr>
        <w:spacing w:line="480" w:lineRule="auto"/>
        <w:ind w:firstLine="360"/>
        <w:jc w:val="both"/>
        <w:rPr>
          <w:rFonts w:ascii="Book Antiqua" w:hAnsi="Book Antiqua"/>
          <w:lang w:val="es-ES_tradnl"/>
        </w:rPr>
      </w:pPr>
      <w:r>
        <w:rPr>
          <w:rFonts w:ascii="Book Antiqua" w:hAnsi="Book Antiqua"/>
          <w:lang w:val="es-ES_tradnl"/>
        </w:rPr>
        <w:t>Sección 2.- Esta Resolución Conjunta entrará en vigor inmediatamente después de su aprobación.</w:t>
      </w:r>
    </w:p>
    <w:sectPr w:rsidR="00721626" w:rsidRPr="00721626" w:rsidSect="0072162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B16B8" w14:textId="77777777" w:rsidR="003800CB" w:rsidRDefault="003800CB">
      <w:r>
        <w:separator/>
      </w:r>
    </w:p>
  </w:endnote>
  <w:endnote w:type="continuationSeparator" w:id="0">
    <w:p w14:paraId="7247C846" w14:textId="77777777" w:rsidR="003800CB" w:rsidRDefault="00380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0F821" w14:textId="77777777" w:rsidR="003800CB" w:rsidRDefault="003800CB">
      <w:r>
        <w:separator/>
      </w:r>
    </w:p>
  </w:footnote>
  <w:footnote w:type="continuationSeparator" w:id="0">
    <w:p w14:paraId="7E9A7026" w14:textId="77777777" w:rsidR="003800CB" w:rsidRDefault="003800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4F71"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AD66F5">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D1287"/>
    <w:multiLevelType w:val="hybridMultilevel"/>
    <w:tmpl w:val="C02A8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591E14"/>
    <w:multiLevelType w:val="hybridMultilevel"/>
    <w:tmpl w:val="0BD08270"/>
    <w:lvl w:ilvl="0" w:tplc="6414C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33048945">
    <w:abstractNumId w:val="1"/>
  </w:num>
  <w:num w:numId="2" w16cid:durableId="1248224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21626"/>
    <w:rsid w:val="00020BBB"/>
    <w:rsid w:val="00056024"/>
    <w:rsid w:val="00095AE1"/>
    <w:rsid w:val="000A6B6C"/>
    <w:rsid w:val="000B0DBB"/>
    <w:rsid w:val="000C570A"/>
    <w:rsid w:val="00111E71"/>
    <w:rsid w:val="00127C6A"/>
    <w:rsid w:val="001363FE"/>
    <w:rsid w:val="00154A2C"/>
    <w:rsid w:val="00157C82"/>
    <w:rsid w:val="0017132B"/>
    <w:rsid w:val="001F4CA3"/>
    <w:rsid w:val="001F612A"/>
    <w:rsid w:val="00211396"/>
    <w:rsid w:val="00226AE6"/>
    <w:rsid w:val="00245B34"/>
    <w:rsid w:val="00263355"/>
    <w:rsid w:val="00273792"/>
    <w:rsid w:val="002D4AC8"/>
    <w:rsid w:val="00320D78"/>
    <w:rsid w:val="0032185C"/>
    <w:rsid w:val="00334C0E"/>
    <w:rsid w:val="003800CB"/>
    <w:rsid w:val="00380FE5"/>
    <w:rsid w:val="003924DD"/>
    <w:rsid w:val="00394FCB"/>
    <w:rsid w:val="003963F4"/>
    <w:rsid w:val="003B2B62"/>
    <w:rsid w:val="003B5254"/>
    <w:rsid w:val="003B75A6"/>
    <w:rsid w:val="004061CA"/>
    <w:rsid w:val="00415689"/>
    <w:rsid w:val="00417FED"/>
    <w:rsid w:val="004440CB"/>
    <w:rsid w:val="004713D2"/>
    <w:rsid w:val="00521639"/>
    <w:rsid w:val="005219EE"/>
    <w:rsid w:val="00532BB7"/>
    <w:rsid w:val="005332E4"/>
    <w:rsid w:val="0053550C"/>
    <w:rsid w:val="00555018"/>
    <w:rsid w:val="005723DC"/>
    <w:rsid w:val="00597003"/>
    <w:rsid w:val="006210DC"/>
    <w:rsid w:val="0064349D"/>
    <w:rsid w:val="00685549"/>
    <w:rsid w:val="006B7365"/>
    <w:rsid w:val="006C2D81"/>
    <w:rsid w:val="006C7DF8"/>
    <w:rsid w:val="006D4423"/>
    <w:rsid w:val="00703136"/>
    <w:rsid w:val="00721626"/>
    <w:rsid w:val="00725872"/>
    <w:rsid w:val="00750FC8"/>
    <w:rsid w:val="007533D0"/>
    <w:rsid w:val="00755069"/>
    <w:rsid w:val="00775DF5"/>
    <w:rsid w:val="007B0660"/>
    <w:rsid w:val="007D156D"/>
    <w:rsid w:val="007E3868"/>
    <w:rsid w:val="00820C41"/>
    <w:rsid w:val="00850256"/>
    <w:rsid w:val="00884898"/>
    <w:rsid w:val="0093686F"/>
    <w:rsid w:val="00942FD4"/>
    <w:rsid w:val="00951997"/>
    <w:rsid w:val="00990352"/>
    <w:rsid w:val="00A03405"/>
    <w:rsid w:val="00A1528A"/>
    <w:rsid w:val="00A266BD"/>
    <w:rsid w:val="00A32D0F"/>
    <w:rsid w:val="00A33918"/>
    <w:rsid w:val="00A7629F"/>
    <w:rsid w:val="00AD66F5"/>
    <w:rsid w:val="00AF0CEE"/>
    <w:rsid w:val="00B667AD"/>
    <w:rsid w:val="00B84C38"/>
    <w:rsid w:val="00B86C00"/>
    <w:rsid w:val="00B947F6"/>
    <w:rsid w:val="00BD700D"/>
    <w:rsid w:val="00BF16AA"/>
    <w:rsid w:val="00BF3496"/>
    <w:rsid w:val="00C354B8"/>
    <w:rsid w:val="00C52517"/>
    <w:rsid w:val="00C60921"/>
    <w:rsid w:val="00C62936"/>
    <w:rsid w:val="00C653F2"/>
    <w:rsid w:val="00C679E6"/>
    <w:rsid w:val="00C908F9"/>
    <w:rsid w:val="00CA0917"/>
    <w:rsid w:val="00CA1099"/>
    <w:rsid w:val="00CB3FE9"/>
    <w:rsid w:val="00D417C2"/>
    <w:rsid w:val="00D60936"/>
    <w:rsid w:val="00D709EB"/>
    <w:rsid w:val="00D74714"/>
    <w:rsid w:val="00D77115"/>
    <w:rsid w:val="00D82F3F"/>
    <w:rsid w:val="00D921C6"/>
    <w:rsid w:val="00D958C2"/>
    <w:rsid w:val="00E04AB5"/>
    <w:rsid w:val="00E50EEA"/>
    <w:rsid w:val="00E52F58"/>
    <w:rsid w:val="00E81959"/>
    <w:rsid w:val="00EC26AA"/>
    <w:rsid w:val="00EC5D3B"/>
    <w:rsid w:val="00ED7A53"/>
    <w:rsid w:val="00EE4273"/>
    <w:rsid w:val="00F02004"/>
    <w:rsid w:val="00F042CB"/>
    <w:rsid w:val="00F60A20"/>
    <w:rsid w:val="00FC0A95"/>
    <w:rsid w:val="00FC3D9C"/>
    <w:rsid w:val="00FF0153"/>
    <w:rsid w:val="00FF4DD7"/>
    <w:rsid w:val="00FF6424"/>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84F51"/>
  <w15:chartTrackingRefBased/>
  <w15:docId w15:val="{D2261BAF-1988-4F3E-B15A-6655CE53C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459</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5</cp:revision>
  <cp:lastPrinted>2025-04-24T16:30:00Z</cp:lastPrinted>
  <dcterms:created xsi:type="dcterms:W3CDTF">2025-04-23T19:48:00Z</dcterms:created>
  <dcterms:modified xsi:type="dcterms:W3CDTF">2025-04-24T16:30:00Z</dcterms:modified>
</cp:coreProperties>
</file>