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3A6B33C4" w:rsidR="00EE1E93" w:rsidRPr="00700566" w:rsidRDefault="002B433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 xml:space="preserve">de la C. </w:t>
      </w:r>
      <w:r w:rsidR="00E63172">
        <w:rPr>
          <w:rFonts w:ascii="Book Antiqua" w:eastAsia="Book Antiqua" w:hAnsi="Book Antiqua" w:cs="Book Antiqua"/>
          <w:b/>
          <w:sz w:val="52"/>
          <w:szCs w:val="52"/>
        </w:rPr>
        <w:t>1</w:t>
      </w:r>
      <w:r w:rsidR="0062791F">
        <w:rPr>
          <w:rFonts w:ascii="Book Antiqua" w:eastAsia="Book Antiqua" w:hAnsi="Book Antiqua" w:cs="Book Antiqua"/>
          <w:b/>
          <w:sz w:val="52"/>
          <w:szCs w:val="52"/>
        </w:rPr>
        <w:t>07</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17B478D7" w:rsidR="00EE1E93" w:rsidRPr="00700566" w:rsidRDefault="003D4C46" w:rsidP="00EE1E93">
      <w:pPr>
        <w:spacing w:line="360" w:lineRule="auto"/>
        <w:jc w:val="center"/>
        <w:rPr>
          <w:rFonts w:ascii="Book Antiqua" w:eastAsia="Book Antiqua" w:hAnsi="Book Antiqua" w:cs="Book Antiqua"/>
          <w:b/>
        </w:rPr>
      </w:pPr>
      <w:r>
        <w:rPr>
          <w:rFonts w:ascii="Book Antiqua" w:eastAsia="Book Antiqua" w:hAnsi="Book Antiqua" w:cs="Book Antiqua"/>
        </w:rPr>
        <w:t xml:space="preserve">14 </w:t>
      </w:r>
      <w:r w:rsidR="00EE1E93" w:rsidRPr="00700566">
        <w:rPr>
          <w:rFonts w:ascii="Book Antiqua" w:eastAsia="Book Antiqua" w:hAnsi="Book Antiqua" w:cs="Book Antiqua"/>
        </w:rPr>
        <w:t xml:space="preserve">de </w:t>
      </w:r>
      <w:r w:rsidR="0062791F">
        <w:rPr>
          <w:rFonts w:ascii="Book Antiqua" w:eastAsia="Book Antiqua" w:hAnsi="Book Antiqua" w:cs="Book Antiqua"/>
        </w:rPr>
        <w:t>abril</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21131427"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B4336">
        <w:rPr>
          <w:rFonts w:ascii="Book Antiqua" w:eastAsia="Book Antiqua" w:hAnsi="Book Antiqua" w:cs="Book Antiqua"/>
        </w:rPr>
        <w:t>R</w:t>
      </w:r>
      <w:r w:rsidRPr="00700566">
        <w:rPr>
          <w:rFonts w:ascii="Book Antiqua" w:eastAsia="Book Antiqua" w:hAnsi="Book Antiqua" w:cs="Book Antiqua"/>
        </w:rPr>
        <w:t xml:space="preserve">. </w:t>
      </w:r>
      <w:r w:rsidR="002B4336">
        <w:rPr>
          <w:rFonts w:ascii="Book Antiqua" w:eastAsia="Book Antiqua" w:hAnsi="Book Antiqua" w:cs="Book Antiqua"/>
        </w:rPr>
        <w:t xml:space="preserve">C. </w:t>
      </w:r>
      <w:r w:rsidRPr="00700566">
        <w:rPr>
          <w:rFonts w:ascii="Book Antiqua" w:eastAsia="Book Antiqua" w:hAnsi="Book Antiqua" w:cs="Book Antiqua"/>
        </w:rPr>
        <w:t xml:space="preserve">de la C. </w:t>
      </w:r>
      <w:r>
        <w:rPr>
          <w:rFonts w:ascii="Book Antiqua" w:eastAsia="Book Antiqua" w:hAnsi="Book Antiqua" w:cs="Book Antiqua"/>
        </w:rPr>
        <w:t xml:space="preserve">Núm. </w:t>
      </w:r>
      <w:r w:rsidR="0062791F">
        <w:rPr>
          <w:rFonts w:ascii="Book Antiqua" w:eastAsia="Book Antiqua" w:hAnsi="Book Antiqua" w:cs="Book Antiqua"/>
        </w:rPr>
        <w:t>107</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614B8A58" w14:textId="563D9512" w:rsidR="0062791F" w:rsidRPr="0062791F" w:rsidRDefault="0062791F" w:rsidP="0062791F">
      <w:pPr>
        <w:ind w:firstLine="720"/>
        <w:jc w:val="both"/>
        <w:rPr>
          <w:rFonts w:ascii="Book Antiqua" w:eastAsia="Book Antiqua" w:hAnsi="Book Antiqua" w:cs="Book Antiqua"/>
          <w:bCs/>
        </w:rPr>
      </w:pPr>
      <w:r w:rsidRPr="0062791F">
        <w:rPr>
          <w:rFonts w:ascii="Book Antiqua" w:eastAsia="Book Antiqua" w:hAnsi="Book Antiqua" w:cs="Book Antiqua"/>
          <w:bCs/>
        </w:rPr>
        <w:t>La Resolución Conjunta de la Cámara 107 tiene como propósito designar el tramo de la Carretera Estatal PR-185 en</w:t>
      </w:r>
      <w:r>
        <w:rPr>
          <w:rFonts w:ascii="Book Antiqua" w:eastAsia="Book Antiqua" w:hAnsi="Book Antiqua" w:cs="Book Antiqua"/>
          <w:bCs/>
          <w:lang w:val="es-419"/>
        </w:rPr>
        <w:t xml:space="preserve"> la</w:t>
      </w:r>
      <w:r w:rsidRPr="0062791F">
        <w:rPr>
          <w:rFonts w:ascii="Book Antiqua" w:eastAsia="Book Antiqua" w:hAnsi="Book Antiqua" w:cs="Book Antiqua"/>
          <w:bCs/>
        </w:rPr>
        <w:t xml:space="preserve"> jurisdicción del Municipio de Canóvanas, con el nombre de “Norman H. Dávila”, como justo reconocimiento a su destacada trayectoria y aportaciones al deporte en Puerto Rico, particularmente como narrador de carreras y voz oficial de la hípica puertorriqueña por más de cincuenta años.</w:t>
      </w:r>
    </w:p>
    <w:p w14:paraId="2A57EBE0" w14:textId="77777777" w:rsidR="0062791F" w:rsidRDefault="0062791F" w:rsidP="0062791F">
      <w:pPr>
        <w:jc w:val="both"/>
        <w:rPr>
          <w:rFonts w:ascii="Book Antiqua" w:eastAsia="Book Antiqua" w:hAnsi="Book Antiqua" w:cs="Book Antiqua"/>
          <w:bCs/>
          <w:lang w:val="es-419"/>
        </w:rPr>
      </w:pPr>
    </w:p>
    <w:p w14:paraId="2A073E3E" w14:textId="4FD1452F" w:rsidR="0062791F" w:rsidRDefault="0062791F" w:rsidP="0062791F">
      <w:pPr>
        <w:ind w:firstLine="720"/>
        <w:jc w:val="both"/>
        <w:rPr>
          <w:rFonts w:ascii="Book Antiqua" w:eastAsia="Book Antiqua" w:hAnsi="Book Antiqua" w:cs="Book Antiqua"/>
          <w:bCs/>
          <w:lang w:val="es-419"/>
        </w:rPr>
      </w:pPr>
      <w:r w:rsidRPr="0062791F">
        <w:rPr>
          <w:rFonts w:ascii="Book Antiqua" w:eastAsia="Book Antiqua" w:hAnsi="Book Antiqua" w:cs="Book Antiqua"/>
          <w:bCs/>
        </w:rPr>
        <w:t>La medida resalta la figura de Norman H. Dávila como uno de los narradores más emblemáticos del hipismo en Puerto Rico, destacando su participación en escenarios como el antiguo Hipódromo “El Comandante” en Carolina y el actual Hipódromo “Camarero” en Canóvanas, así como su legado en la narración de miles de carreras y su impacto en la cultura deportiva del país.</w:t>
      </w:r>
    </w:p>
    <w:p w14:paraId="5B9F6E8C" w14:textId="77777777" w:rsidR="0062791F" w:rsidRPr="0062791F" w:rsidRDefault="0062791F" w:rsidP="0062791F">
      <w:pPr>
        <w:ind w:firstLine="720"/>
        <w:jc w:val="both"/>
        <w:rPr>
          <w:rFonts w:ascii="Book Antiqua" w:eastAsia="Book Antiqua" w:hAnsi="Book Antiqua" w:cs="Book Antiqua"/>
          <w:bCs/>
          <w:lang w:val="es-419"/>
        </w:rPr>
      </w:pPr>
    </w:p>
    <w:p w14:paraId="72EB960E" w14:textId="77777777" w:rsidR="0062791F" w:rsidRPr="0062791F" w:rsidRDefault="0062791F" w:rsidP="0062791F">
      <w:pPr>
        <w:ind w:firstLine="720"/>
        <w:jc w:val="both"/>
        <w:rPr>
          <w:rFonts w:ascii="Book Antiqua" w:eastAsia="Book Antiqua" w:hAnsi="Book Antiqua" w:cs="Book Antiqua"/>
          <w:bCs/>
        </w:rPr>
      </w:pPr>
      <w:r w:rsidRPr="0062791F">
        <w:rPr>
          <w:rFonts w:ascii="Book Antiqua" w:eastAsia="Book Antiqua" w:hAnsi="Book Antiqua" w:cs="Book Antiqua"/>
          <w:bCs/>
        </w:rPr>
        <w:t>Asimismo, la Resolución dispone que el Departamento de Transportación y Obras Públicas (DTOP) será responsable de la rotulación del tramo designado, conforme a las normas aplicables, y autoriza la coordinación de recursos para cumplir con los fines de la medida.</w:t>
      </w:r>
    </w:p>
    <w:p w14:paraId="7782EEA4" w14:textId="77777777" w:rsidR="00EE1E93" w:rsidRPr="0062791F" w:rsidRDefault="00EE1E93" w:rsidP="00EE1E93">
      <w:pPr>
        <w:rPr>
          <w:rFonts w:ascii="Book Antiqua" w:eastAsia="Book Antiqua" w:hAnsi="Book Antiqua" w:cs="Book Antiqua"/>
          <w:b/>
        </w:rPr>
      </w:pPr>
    </w:p>
    <w:p w14:paraId="34A8AB8B" w14:textId="77777777" w:rsidR="0062791F" w:rsidRDefault="0062791F" w:rsidP="00EE1E93">
      <w:pPr>
        <w:jc w:val="center"/>
        <w:rPr>
          <w:rFonts w:ascii="Book Antiqua" w:eastAsia="Book Antiqua" w:hAnsi="Book Antiqua" w:cs="Book Antiqua"/>
          <w:b/>
        </w:rPr>
      </w:pPr>
    </w:p>
    <w:p w14:paraId="668FD3AD" w14:textId="77777777" w:rsidR="0062791F" w:rsidRDefault="0062791F" w:rsidP="00EE1E93">
      <w:pPr>
        <w:jc w:val="center"/>
        <w:rPr>
          <w:rFonts w:ascii="Book Antiqua" w:eastAsia="Book Antiqua" w:hAnsi="Book Antiqua" w:cs="Book Antiqua"/>
          <w:b/>
        </w:rPr>
      </w:pPr>
    </w:p>
    <w:p w14:paraId="750A0D00" w14:textId="45C9B775"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2FF9136E"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171293">
        <w:rPr>
          <w:rFonts w:ascii="Book Antiqua" w:eastAsia="Book Antiqua" w:hAnsi="Book Antiqua" w:cs="Book Antiqua"/>
        </w:rPr>
        <w:t xml:space="preserve"> la Resolución Conjunta</w:t>
      </w:r>
      <w:r w:rsidRPr="001E16CE">
        <w:rPr>
          <w:rFonts w:ascii="Book Antiqua" w:eastAsia="Book Antiqua" w:hAnsi="Book Antiqua" w:cs="Book Antiqua"/>
        </w:rPr>
        <w:t xml:space="preserve"> de la Cámara Núm. </w:t>
      </w:r>
      <w:r w:rsidR="0062791F">
        <w:rPr>
          <w:rFonts w:ascii="Book Antiqua" w:eastAsia="Book Antiqua" w:hAnsi="Book Antiqua" w:cs="Book Antiqua"/>
        </w:rPr>
        <w:t>107</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00742E97">
        <w:rPr>
          <w:rFonts w:ascii="Book Antiqua" w:eastAsia="Book Antiqua" w:hAnsi="Book Antiqua" w:cs="Book Antiqua"/>
        </w:rPr>
        <w:t>a</w:t>
      </w:r>
      <w:r w:rsidR="00171293">
        <w:rPr>
          <w:rFonts w:ascii="Book Antiqua" w:eastAsia="Book Antiqua" w:hAnsi="Book Antiqua" w:cs="Book Antiqua"/>
        </w:rPr>
        <w:t>l Departamento de Transportación y Obras Públicas (DTOP)</w:t>
      </w:r>
      <w:r w:rsidRPr="001E16CE">
        <w:rPr>
          <w:rFonts w:ascii="Book Antiqua" w:eastAsia="Book Antiqua" w:hAnsi="Book Antiqua" w:cs="Book Antiqua"/>
        </w:rPr>
        <w:t>.</w:t>
      </w:r>
      <w:r>
        <w:rPr>
          <w:rFonts w:ascii="Book Antiqua" w:eastAsia="Book Antiqua" w:hAnsi="Book Antiqua" w:cs="Book Antiqua"/>
        </w:rPr>
        <w:t xml:space="preserve">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2620B663" w:rsidR="00EE1E93" w:rsidRPr="00886B04" w:rsidRDefault="00866D80" w:rsidP="004B370E">
      <w:pPr>
        <w:jc w:val="center"/>
        <w:rPr>
          <w:rFonts w:ascii="Book Antiqua" w:eastAsia="Book Antiqua" w:hAnsi="Book Antiqua" w:cs="Book Antiqua"/>
        </w:rPr>
      </w:pPr>
      <w:r w:rsidRPr="00886B04">
        <w:rPr>
          <w:rFonts w:ascii="Book Antiqua" w:eastAsia="Book Antiqua" w:hAnsi="Book Antiqua" w:cs="Book Antiqua"/>
          <w:b/>
          <w:bCs/>
          <w:u w:val="single"/>
        </w:rPr>
        <w:t xml:space="preserve">Departamento </w:t>
      </w:r>
      <w:r w:rsidR="00171293" w:rsidRPr="00886B04">
        <w:rPr>
          <w:rFonts w:ascii="Book Antiqua" w:eastAsia="Book Antiqua" w:hAnsi="Book Antiqua" w:cs="Book Antiqua"/>
          <w:b/>
          <w:bCs/>
          <w:u w:val="single"/>
        </w:rPr>
        <w:t>de Transportación y Obras Públicas (DTOP)</w:t>
      </w:r>
    </w:p>
    <w:p w14:paraId="7A922099" w14:textId="77777777" w:rsidR="00EE1E93" w:rsidRPr="00886B04" w:rsidRDefault="00EE1E93" w:rsidP="00EE1E93">
      <w:pPr>
        <w:ind w:firstLine="720"/>
        <w:jc w:val="both"/>
        <w:rPr>
          <w:rFonts w:ascii="Book Antiqua" w:eastAsia="Book Antiqua" w:hAnsi="Book Antiqua" w:cs="Book Antiqua"/>
        </w:rPr>
      </w:pPr>
    </w:p>
    <w:p w14:paraId="1FD70E3F" w14:textId="2D00DD83" w:rsidR="00891F6B" w:rsidRDefault="0062791F" w:rsidP="0062791F">
      <w:pPr>
        <w:ind w:firstLine="720"/>
        <w:jc w:val="both"/>
        <w:rPr>
          <w:rFonts w:ascii="Book Antiqua" w:eastAsia="Helvetica Neue" w:hAnsi="Book Antiqua" w:cs="Helvetica Neue"/>
        </w:rPr>
      </w:pPr>
      <w:r w:rsidRPr="0062791F">
        <w:rPr>
          <w:rFonts w:ascii="Book Antiqua" w:eastAsia="Helvetica Neue" w:hAnsi="Book Antiqua" w:cs="Helvetica Neue"/>
        </w:rPr>
        <w:t>El memorial explicativo del Departamento de Transportación y Obras Públicas (DTOP) reconoce los méritos del Sr. Norman H. Dávila, destacando su trayectoria de más de cinco décadas como narrador hípico, así como su influencia en la cultura deportiva de</w:t>
      </w:r>
      <w:r>
        <w:rPr>
          <w:rFonts w:ascii="Book Antiqua" w:eastAsia="Helvetica Neue" w:hAnsi="Book Antiqua" w:cs="Helvetica Neue"/>
        </w:rPr>
        <w:t xml:space="preserve"> Puerto Rico.</w:t>
      </w:r>
    </w:p>
    <w:p w14:paraId="22BDB040" w14:textId="77777777" w:rsidR="0062791F" w:rsidRDefault="0062791F" w:rsidP="0062791F">
      <w:pPr>
        <w:ind w:firstLine="720"/>
        <w:jc w:val="both"/>
        <w:rPr>
          <w:rFonts w:ascii="Book Antiqua" w:eastAsia="Helvetica Neue" w:hAnsi="Book Antiqua" w:cs="Helvetica Neue"/>
        </w:rPr>
      </w:pPr>
    </w:p>
    <w:p w14:paraId="63D79AD6" w14:textId="5778E01D" w:rsidR="0062791F" w:rsidRDefault="0062791F" w:rsidP="0062791F">
      <w:pPr>
        <w:ind w:firstLine="720"/>
        <w:jc w:val="both"/>
        <w:rPr>
          <w:rFonts w:ascii="Book Antiqua" w:eastAsia="Helvetica Neue" w:hAnsi="Book Antiqua" w:cs="Helvetica Neue"/>
        </w:rPr>
      </w:pPr>
      <w:r>
        <w:rPr>
          <w:rFonts w:ascii="Book Antiqua" w:eastAsia="Helvetica Neue" w:hAnsi="Book Antiqua" w:cs="Helvetica Neue"/>
        </w:rPr>
        <w:t>Además</w:t>
      </w:r>
      <w:r w:rsidRPr="0062791F">
        <w:rPr>
          <w:rFonts w:ascii="Book Antiqua" w:eastAsia="Helvetica Neue" w:hAnsi="Book Antiqua" w:cs="Helvetica Neue"/>
        </w:rPr>
        <w:t>, el DTOP indica que la carretera PR-185 tiene una longitud aproximada de 21.20 kilómetros, de los cuales cerca de 11.20 kilómetros discurren dentro de la jurisdicción de Canóvanas, por lo que recomienda evaluar la designación de la totalidad de la vía en lugar de un segmento específico.</w:t>
      </w:r>
    </w:p>
    <w:p w14:paraId="09813961" w14:textId="77777777" w:rsidR="0062791F" w:rsidRPr="00886B04" w:rsidRDefault="0062791F" w:rsidP="0062791F">
      <w:pPr>
        <w:ind w:firstLine="720"/>
        <w:jc w:val="both"/>
        <w:rPr>
          <w:rFonts w:ascii="Book Antiqua" w:eastAsia="Helvetica Neue" w:hAnsi="Book Antiqua" w:cs="Helvetica Neue"/>
        </w:rPr>
      </w:pP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01F79596" w14:textId="77777777" w:rsidR="00EE1E93" w:rsidRPr="000D1E9A" w:rsidRDefault="00EE1E93" w:rsidP="00EE1E93">
      <w:pPr>
        <w:jc w:val="both"/>
        <w:rPr>
          <w:rFonts w:ascii="Book Antiqua" w:eastAsia="Helvetica Neue" w:hAnsi="Book Antiqua" w:cs="Helvetica Neue"/>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26FECE0C" w14:textId="77777777" w:rsidR="00A44E76" w:rsidRDefault="00A44E76" w:rsidP="00EE1E93">
      <w:pPr>
        <w:jc w:val="center"/>
        <w:rPr>
          <w:rFonts w:ascii="Book Antiqua" w:eastAsia="Book Antiqua" w:hAnsi="Book Antiqua" w:cs="Book Antiqua"/>
          <w:b/>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0A32AD3A" w14:textId="77777777" w:rsidR="0062791F" w:rsidRDefault="0062791F" w:rsidP="0062791F">
      <w:pPr>
        <w:ind w:firstLine="720"/>
        <w:jc w:val="both"/>
        <w:rPr>
          <w:rFonts w:ascii="Book Antiqua" w:eastAsia="Book Antiqua" w:hAnsi="Book Antiqua" w:cs="Book Antiqua"/>
          <w:lang w:val="es-419"/>
        </w:rPr>
      </w:pPr>
      <w:r w:rsidRPr="0062791F">
        <w:rPr>
          <w:rFonts w:ascii="Book Antiqua" w:eastAsia="Book Antiqua" w:hAnsi="Book Antiqua" w:cs="Book Antiqua"/>
        </w:rPr>
        <w:t>Por todo lo anterior, esta Comisión concluye que la medida es meritoria, al rendir un justo reconocimiento a la vida y aportaciones del Sr. Norman H. Dávila, cuya trayectoria ha dejado una huella significativa en el deporte y la cultura puertorriqueña.</w:t>
      </w:r>
    </w:p>
    <w:p w14:paraId="1B078E7C" w14:textId="77777777" w:rsidR="0062791F" w:rsidRPr="0062791F" w:rsidRDefault="0062791F" w:rsidP="0062791F">
      <w:pPr>
        <w:ind w:firstLine="720"/>
        <w:jc w:val="both"/>
        <w:rPr>
          <w:rFonts w:ascii="Book Antiqua" w:eastAsia="Book Antiqua" w:hAnsi="Book Antiqua" w:cs="Book Antiqua"/>
          <w:lang w:val="es-419"/>
        </w:rPr>
      </w:pPr>
    </w:p>
    <w:p w14:paraId="1BD7C5D4" w14:textId="2310F08C" w:rsidR="0062791F" w:rsidRPr="0062791F" w:rsidRDefault="0062791F" w:rsidP="0062791F">
      <w:pPr>
        <w:ind w:firstLine="720"/>
        <w:jc w:val="both"/>
        <w:rPr>
          <w:rFonts w:ascii="Book Antiqua" w:eastAsia="Book Antiqua" w:hAnsi="Book Antiqua" w:cs="Book Antiqua"/>
          <w:lang w:val="es-419"/>
        </w:rPr>
      </w:pPr>
      <w:r w:rsidRPr="0062791F">
        <w:rPr>
          <w:rFonts w:ascii="Book Antiqua" w:eastAsia="Book Antiqua" w:hAnsi="Book Antiqua" w:cs="Book Antiqua"/>
        </w:rPr>
        <w:t>No obstante, la Comisión reconoce las preocupaciones planteadas por el Departamento de Transportación y Obras Públicas (DTOP) en cuanto a la precisión de la descripción del tramo y las implicaciones de la rotulación por segmentos</w:t>
      </w:r>
      <w:r>
        <w:rPr>
          <w:rFonts w:ascii="Book Antiqua" w:eastAsia="Book Antiqua" w:hAnsi="Book Antiqua" w:cs="Book Antiqua"/>
          <w:lang w:val="es-419"/>
        </w:rPr>
        <w:t xml:space="preserve">. </w:t>
      </w:r>
      <w:r w:rsidRPr="0062791F">
        <w:rPr>
          <w:rFonts w:ascii="Book Antiqua" w:eastAsia="Book Antiqua" w:hAnsi="Book Antiqua" w:cs="Book Antiqua"/>
        </w:rPr>
        <w:t>En atención a lo anterior, esta Comisión enmendó la medida, según reflejado en el entirillado electrónico, a los fines de disponer que la designación comprenda la totalidad de los once punto veinte (11.20) kilómetros de la Carretera Estatal PR-185 en la jurisdicción del Municipio de Canóvanas, atendiendo así las recomendaciones técnicas del DTOP y evitando posibles confusiones en su implementación.</w:t>
      </w:r>
    </w:p>
    <w:p w14:paraId="4FB5A14A" w14:textId="3D82E5E0" w:rsidR="00EE1E93" w:rsidRPr="0062791F" w:rsidRDefault="00EE1E93" w:rsidP="00886B04">
      <w:pPr>
        <w:ind w:firstLine="720"/>
        <w:jc w:val="both"/>
        <w:rPr>
          <w:rFonts w:ascii="Book Antiqua" w:eastAsia="Book Antiqua" w:hAnsi="Book Antiqua" w:cs="Book Antiqua"/>
        </w:rPr>
      </w:pPr>
    </w:p>
    <w:p w14:paraId="05F96B97" w14:textId="751F6F04"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0D1E9A">
        <w:rPr>
          <w:rFonts w:ascii="Book Antiqua" w:eastAsia="Book Antiqua" w:hAnsi="Book Antiqua" w:cs="Book Antiqua"/>
        </w:rPr>
        <w:t>R</w:t>
      </w:r>
      <w:r>
        <w:rPr>
          <w:rFonts w:ascii="Book Antiqua" w:eastAsia="Book Antiqua" w:hAnsi="Book Antiqua" w:cs="Book Antiqua"/>
        </w:rPr>
        <w:t xml:space="preserve">. </w:t>
      </w:r>
      <w:r w:rsidR="000D1E9A">
        <w:rPr>
          <w:rFonts w:ascii="Book Antiqua" w:eastAsia="Book Antiqua" w:hAnsi="Book Antiqua" w:cs="Book Antiqua"/>
        </w:rPr>
        <w:t xml:space="preserve">C. </w:t>
      </w:r>
      <w:r>
        <w:rPr>
          <w:rFonts w:ascii="Book Antiqua" w:eastAsia="Book Antiqua" w:hAnsi="Book Antiqua" w:cs="Book Antiqua"/>
        </w:rPr>
        <w:t xml:space="preserve">de la C. Núm. </w:t>
      </w:r>
      <w:r w:rsidR="0062791F">
        <w:rPr>
          <w:rFonts w:ascii="Book Antiqua" w:eastAsia="Book Antiqua" w:hAnsi="Book Antiqua" w:cs="Book Antiqua"/>
        </w:rPr>
        <w:t>107</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950DA" w14:textId="77777777" w:rsidR="00B64AE3" w:rsidRDefault="00B64AE3">
      <w:r>
        <w:separator/>
      </w:r>
    </w:p>
  </w:endnote>
  <w:endnote w:type="continuationSeparator" w:id="0">
    <w:p w14:paraId="11A0F6F0" w14:textId="77777777" w:rsidR="00B64AE3" w:rsidRDefault="00B64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38381AB-3FED-4F5A-92F2-8BD7D5C7BF4E}"/>
  </w:font>
  <w:font w:name="Helvetica">
    <w:panose1 w:val="020B0604020202020204"/>
    <w:charset w:val="00"/>
    <w:family w:val="swiss"/>
    <w:pitch w:val="variable"/>
    <w:sig w:usb0="E0002EFF" w:usb1="C000785B" w:usb2="00000009" w:usb3="00000000" w:csb0="000001FF" w:csb1="00000000"/>
    <w:embedRegular r:id="rId2" w:fontKey="{F1F3D852-1455-447B-AB88-25971D57EF17}"/>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63A3A7D4-CAA4-4372-A64E-96F0B89B376E}"/>
  </w:font>
  <w:font w:name="Georgia">
    <w:panose1 w:val="02040502050405020303"/>
    <w:charset w:val="00"/>
    <w:family w:val="roman"/>
    <w:pitch w:val="variable"/>
    <w:sig w:usb0="00000287" w:usb1="00000000" w:usb2="00000000" w:usb3="00000000" w:csb0="0000009F" w:csb1="00000000"/>
    <w:embedRegular r:id="rId4" w:fontKey="{03426176-2F95-45DD-9851-C298AB83DF5B}"/>
    <w:embedItalic r:id="rId5" w:fontKey="{9F3292F4-3D38-4FC1-8C50-10E0C1E63B8C}"/>
  </w:font>
  <w:font w:name="Book Antiqua">
    <w:panose1 w:val="02040602050305030304"/>
    <w:charset w:val="00"/>
    <w:family w:val="roman"/>
    <w:pitch w:val="variable"/>
    <w:sig w:usb0="00000287" w:usb1="00000000" w:usb2="00000000" w:usb3="00000000" w:csb0="0000009F" w:csb1="00000000"/>
    <w:embedRegular r:id="rId6" w:fontKey="{ABFC2CC2-7F14-49AA-9651-95794EC9E323}"/>
    <w:embedBold r:id="rId7" w:fontKey="{3D60055C-A48E-47AB-9CBA-6F3F367908EC}"/>
  </w:font>
  <w:font w:name="Helvetica Neue">
    <w:charset w:val="00"/>
    <w:family w:val="auto"/>
    <w:pitch w:val="default"/>
    <w:embedRegular r:id="rId8" w:fontKey="{D1CC7142-90E4-4A0F-9D97-895DFE3C7E7C}"/>
    <w:embedBold r:id="rId9" w:fontKey="{752089BC-2B79-4FC5-B7EA-107AEE101115}"/>
  </w:font>
  <w:font w:name="Lustria">
    <w:altName w:val="Calibri"/>
    <w:charset w:val="00"/>
    <w:family w:val="auto"/>
    <w:pitch w:val="default"/>
    <w:embedRegular r:id="rId10" w:fontKey="{669278BC-CE88-4B37-A5A6-FC772FD2F469}"/>
    <w:embedBoldItalic r:id="rId11" w:fontKey="{E30394CB-E4C7-48E8-8511-62073156F617}"/>
  </w:font>
  <w:font w:name="Cambria">
    <w:panose1 w:val="02040503050406030204"/>
    <w:charset w:val="00"/>
    <w:family w:val="roman"/>
    <w:pitch w:val="variable"/>
    <w:sig w:usb0="E00006FF" w:usb1="420024FF" w:usb2="02000000" w:usb3="00000000" w:csb0="0000019F" w:csb1="00000000"/>
    <w:embedRegular r:id="rId12" w:fontKey="{1BC3C233-7849-4E57-92FB-F01C7854449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B6653" w14:textId="77777777" w:rsidR="00B64AE3" w:rsidRDefault="00B64AE3">
      <w:r>
        <w:separator/>
      </w:r>
    </w:p>
  </w:footnote>
  <w:footnote w:type="continuationSeparator" w:id="0">
    <w:p w14:paraId="6917C77E" w14:textId="77777777" w:rsidR="00B64AE3" w:rsidRDefault="00B64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F2454E1"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B23695">
      <w:rPr>
        <w:rFonts w:ascii="Lustria" w:eastAsia="Lustria" w:hAnsi="Lustria" w:cs="Lustria"/>
        <w:b/>
        <w:i/>
        <w:sz w:val="22"/>
        <w:szCs w:val="22"/>
      </w:rPr>
      <w:t>R</w:t>
    </w:r>
    <w:r>
      <w:rPr>
        <w:rFonts w:ascii="Lustria" w:eastAsia="Lustria" w:hAnsi="Lustria" w:cs="Lustria"/>
        <w:b/>
        <w:i/>
        <w:sz w:val="22"/>
        <w:szCs w:val="22"/>
      </w:rPr>
      <w:t xml:space="preserve">. </w:t>
    </w:r>
    <w:r w:rsidR="00B23695">
      <w:rPr>
        <w:rFonts w:ascii="Lustria" w:eastAsia="Lustria" w:hAnsi="Lustria" w:cs="Lustria"/>
        <w:b/>
        <w:i/>
        <w:sz w:val="22"/>
        <w:szCs w:val="22"/>
      </w:rPr>
      <w:t xml:space="preserve">C. </w:t>
    </w:r>
    <w:r>
      <w:rPr>
        <w:rFonts w:ascii="Lustria" w:eastAsia="Lustria" w:hAnsi="Lustria" w:cs="Lustria"/>
        <w:b/>
        <w:i/>
        <w:sz w:val="22"/>
        <w:szCs w:val="22"/>
      </w:rPr>
      <w:t xml:space="preserve">de la C. </w:t>
    </w:r>
    <w:r w:rsidR="0062791F">
      <w:rPr>
        <w:rFonts w:ascii="Lustria" w:eastAsia="Lustria" w:hAnsi="Lustria" w:cs="Lustria"/>
        <w:b/>
        <w:i/>
        <w:sz w:val="22"/>
        <w:szCs w:val="22"/>
      </w:rPr>
      <w:t>107</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A19FD"/>
    <w:rsid w:val="000A5E2C"/>
    <w:rsid w:val="000A752D"/>
    <w:rsid w:val="000C098A"/>
    <w:rsid w:val="000D1E9A"/>
    <w:rsid w:val="000D2DA6"/>
    <w:rsid w:val="000F7A24"/>
    <w:rsid w:val="00101FB4"/>
    <w:rsid w:val="0012417C"/>
    <w:rsid w:val="0013656C"/>
    <w:rsid w:val="00147B7C"/>
    <w:rsid w:val="00160C1F"/>
    <w:rsid w:val="001619B2"/>
    <w:rsid w:val="00171293"/>
    <w:rsid w:val="001714C4"/>
    <w:rsid w:val="00176DA0"/>
    <w:rsid w:val="0019085D"/>
    <w:rsid w:val="00191185"/>
    <w:rsid w:val="001919C2"/>
    <w:rsid w:val="00196C5A"/>
    <w:rsid w:val="001A3E93"/>
    <w:rsid w:val="001D424E"/>
    <w:rsid w:val="001E16CE"/>
    <w:rsid w:val="001E2EB4"/>
    <w:rsid w:val="001E6E24"/>
    <w:rsid w:val="00202B9F"/>
    <w:rsid w:val="00204C67"/>
    <w:rsid w:val="00220975"/>
    <w:rsid w:val="00222393"/>
    <w:rsid w:val="00235829"/>
    <w:rsid w:val="00253784"/>
    <w:rsid w:val="00266B2F"/>
    <w:rsid w:val="00274850"/>
    <w:rsid w:val="002B4336"/>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D4C46"/>
    <w:rsid w:val="003E479C"/>
    <w:rsid w:val="003F43A2"/>
    <w:rsid w:val="00400B99"/>
    <w:rsid w:val="004277D8"/>
    <w:rsid w:val="00431557"/>
    <w:rsid w:val="0044377E"/>
    <w:rsid w:val="004673DA"/>
    <w:rsid w:val="0047119B"/>
    <w:rsid w:val="004730E0"/>
    <w:rsid w:val="00473D39"/>
    <w:rsid w:val="00475814"/>
    <w:rsid w:val="0049326F"/>
    <w:rsid w:val="004A6565"/>
    <w:rsid w:val="004B370E"/>
    <w:rsid w:val="004D3D36"/>
    <w:rsid w:val="004E28E4"/>
    <w:rsid w:val="00501798"/>
    <w:rsid w:val="005059B4"/>
    <w:rsid w:val="00506A3D"/>
    <w:rsid w:val="005227C0"/>
    <w:rsid w:val="005456F5"/>
    <w:rsid w:val="00550313"/>
    <w:rsid w:val="00557604"/>
    <w:rsid w:val="005858EA"/>
    <w:rsid w:val="005871BE"/>
    <w:rsid w:val="00596F5B"/>
    <w:rsid w:val="005A1843"/>
    <w:rsid w:val="005E4A2F"/>
    <w:rsid w:val="00605CE1"/>
    <w:rsid w:val="0060692B"/>
    <w:rsid w:val="0062791F"/>
    <w:rsid w:val="006354F3"/>
    <w:rsid w:val="00642646"/>
    <w:rsid w:val="0068352C"/>
    <w:rsid w:val="00684107"/>
    <w:rsid w:val="00684ECE"/>
    <w:rsid w:val="006908FA"/>
    <w:rsid w:val="006A552A"/>
    <w:rsid w:val="006A7E5E"/>
    <w:rsid w:val="006C2186"/>
    <w:rsid w:val="006D297F"/>
    <w:rsid w:val="006E029C"/>
    <w:rsid w:val="00700566"/>
    <w:rsid w:val="00702D47"/>
    <w:rsid w:val="0071797E"/>
    <w:rsid w:val="007303A4"/>
    <w:rsid w:val="00735C8F"/>
    <w:rsid w:val="00742A6E"/>
    <w:rsid w:val="00742E97"/>
    <w:rsid w:val="00766B8B"/>
    <w:rsid w:val="00766E79"/>
    <w:rsid w:val="00772095"/>
    <w:rsid w:val="00785FCE"/>
    <w:rsid w:val="0079045F"/>
    <w:rsid w:val="007923B1"/>
    <w:rsid w:val="0079714B"/>
    <w:rsid w:val="00797E58"/>
    <w:rsid w:val="00797FCC"/>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CE7"/>
    <w:rsid w:val="00884F6A"/>
    <w:rsid w:val="00886B04"/>
    <w:rsid w:val="00891F6B"/>
    <w:rsid w:val="008A65F0"/>
    <w:rsid w:val="008A7B90"/>
    <w:rsid w:val="008B0187"/>
    <w:rsid w:val="008B5454"/>
    <w:rsid w:val="008D3F5B"/>
    <w:rsid w:val="008E7719"/>
    <w:rsid w:val="008F30F0"/>
    <w:rsid w:val="008F40D0"/>
    <w:rsid w:val="009048A3"/>
    <w:rsid w:val="0091544D"/>
    <w:rsid w:val="009157C1"/>
    <w:rsid w:val="00920EA9"/>
    <w:rsid w:val="00940A79"/>
    <w:rsid w:val="00946038"/>
    <w:rsid w:val="009569A3"/>
    <w:rsid w:val="009742B0"/>
    <w:rsid w:val="009821D1"/>
    <w:rsid w:val="00984099"/>
    <w:rsid w:val="009B0D2E"/>
    <w:rsid w:val="009E0BE7"/>
    <w:rsid w:val="009E7555"/>
    <w:rsid w:val="00A11D0B"/>
    <w:rsid w:val="00A24012"/>
    <w:rsid w:val="00A27CCB"/>
    <w:rsid w:val="00A43849"/>
    <w:rsid w:val="00A44E76"/>
    <w:rsid w:val="00A54DD0"/>
    <w:rsid w:val="00A57E02"/>
    <w:rsid w:val="00A62FD8"/>
    <w:rsid w:val="00A95142"/>
    <w:rsid w:val="00AB45BB"/>
    <w:rsid w:val="00AC7FD7"/>
    <w:rsid w:val="00AD05EA"/>
    <w:rsid w:val="00AE1FD3"/>
    <w:rsid w:val="00AE4383"/>
    <w:rsid w:val="00AE44CF"/>
    <w:rsid w:val="00B21168"/>
    <w:rsid w:val="00B23695"/>
    <w:rsid w:val="00B43BBC"/>
    <w:rsid w:val="00B45C76"/>
    <w:rsid w:val="00B46ABC"/>
    <w:rsid w:val="00B52476"/>
    <w:rsid w:val="00B57A56"/>
    <w:rsid w:val="00B64AE3"/>
    <w:rsid w:val="00B728D7"/>
    <w:rsid w:val="00B80F7B"/>
    <w:rsid w:val="00B93150"/>
    <w:rsid w:val="00BA4DF7"/>
    <w:rsid w:val="00BF044B"/>
    <w:rsid w:val="00C023B0"/>
    <w:rsid w:val="00C13D9D"/>
    <w:rsid w:val="00C1423C"/>
    <w:rsid w:val="00C41F71"/>
    <w:rsid w:val="00C667AF"/>
    <w:rsid w:val="00C73728"/>
    <w:rsid w:val="00C82CE2"/>
    <w:rsid w:val="00C87206"/>
    <w:rsid w:val="00C944CF"/>
    <w:rsid w:val="00CA549E"/>
    <w:rsid w:val="00CA6335"/>
    <w:rsid w:val="00CB5781"/>
    <w:rsid w:val="00CC0947"/>
    <w:rsid w:val="00CD269E"/>
    <w:rsid w:val="00CD59A0"/>
    <w:rsid w:val="00CD62E0"/>
    <w:rsid w:val="00CE3657"/>
    <w:rsid w:val="00D13155"/>
    <w:rsid w:val="00D137D3"/>
    <w:rsid w:val="00D16C60"/>
    <w:rsid w:val="00D20E59"/>
    <w:rsid w:val="00D5029F"/>
    <w:rsid w:val="00D60BBD"/>
    <w:rsid w:val="00D740F8"/>
    <w:rsid w:val="00D7774F"/>
    <w:rsid w:val="00D82337"/>
    <w:rsid w:val="00D83118"/>
    <w:rsid w:val="00D8739D"/>
    <w:rsid w:val="00D92C8F"/>
    <w:rsid w:val="00DB02F9"/>
    <w:rsid w:val="00DB46A4"/>
    <w:rsid w:val="00DD6037"/>
    <w:rsid w:val="00DD657F"/>
    <w:rsid w:val="00DD6D1E"/>
    <w:rsid w:val="00DE0649"/>
    <w:rsid w:val="00DE6658"/>
    <w:rsid w:val="00DF6BC4"/>
    <w:rsid w:val="00E000B2"/>
    <w:rsid w:val="00E16D68"/>
    <w:rsid w:val="00E24AC1"/>
    <w:rsid w:val="00E3056E"/>
    <w:rsid w:val="00E374AE"/>
    <w:rsid w:val="00E62D96"/>
    <w:rsid w:val="00E63172"/>
    <w:rsid w:val="00E776D5"/>
    <w:rsid w:val="00E8576C"/>
    <w:rsid w:val="00E94557"/>
    <w:rsid w:val="00EA26A1"/>
    <w:rsid w:val="00EB340F"/>
    <w:rsid w:val="00EE1E93"/>
    <w:rsid w:val="00EE5B6A"/>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627</Words>
  <Characters>3411</Characters>
  <Application>Microsoft Office Word</Application>
  <DocSecurity>4</DocSecurity>
  <Lines>96</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2026-04-13T12:54:00Z</cp:lastPrinted>
  <dcterms:created xsi:type="dcterms:W3CDTF">2026-04-14T13:46:00Z</dcterms:created>
  <dcterms:modified xsi:type="dcterms:W3CDTF">2026-04-14T13:46:00Z</dcterms:modified>
</cp:coreProperties>
</file>