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48362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</w:pPr>
      <w:r w:rsidRPr="00A300A9">
        <w:rPr>
          <w:rFonts w:ascii="Book Antiqua" w:eastAsia="Times New Roman" w:hAnsi="Book Antiqua" w:cs="Times New Roman"/>
          <w:b/>
          <w:color w:val="000000"/>
          <w:kern w:val="0"/>
          <w:sz w:val="28"/>
          <w:szCs w:val="28"/>
          <w14:ligatures w14:val="none"/>
        </w:rPr>
        <w:t>GOBIERNO DE PUERTO RICO</w:t>
      </w:r>
    </w:p>
    <w:p w14:paraId="55131F5B" w14:textId="77777777" w:rsidR="000C5343" w:rsidRPr="00A300A9" w:rsidRDefault="000C5343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22D13054" w14:textId="77777777" w:rsidR="00A54AF0" w:rsidRPr="00A300A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</w:p>
    <w:p w14:paraId="4E37C54E" w14:textId="77777777" w:rsidR="00A54AF0" w:rsidRPr="00A300A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20</w:t>
      </w:r>
      <w:r w:rsidRPr="00A300A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ma 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Asamblea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                 1</w:t>
      </w:r>
      <w:r w:rsidRPr="00A300A9">
        <w:rPr>
          <w:rFonts w:ascii="Book Antiqua" w:eastAsia="Times New Roman" w:hAnsi="Book Antiqua" w:cs="Times New Roman"/>
          <w:color w:val="000000"/>
          <w:kern w:val="0"/>
          <w:vertAlign w:val="superscript"/>
          <w:lang w:val="es-ES"/>
          <w14:ligatures w14:val="none"/>
        </w:rPr>
        <w:t>ra.</w:t>
      </w:r>
      <w:r w:rsidRPr="00A300A9">
        <w:rPr>
          <w:rFonts w:ascii="Book Antiqua" w:eastAsia="Times New Roman" w:hAnsi="Book Antiqua" w:cs="Times New Roman"/>
          <w:color w:val="000000"/>
          <w:kern w:val="0"/>
          <w:position w:val="10"/>
          <w:vertAlign w:val="superscript"/>
          <w:lang w:val="es-ES"/>
          <w14:ligatures w14:val="none"/>
        </w:rPr>
        <w:t xml:space="preserve"> 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Sesión </w:t>
      </w:r>
    </w:p>
    <w:p w14:paraId="4C99236B" w14:textId="15E116D3" w:rsidR="00A54AF0" w:rsidRPr="00A300A9" w:rsidRDefault="00A54AF0" w:rsidP="00A54AF0">
      <w:pPr>
        <w:autoSpaceDE w:val="0"/>
        <w:autoSpaceDN w:val="0"/>
        <w:adjustRightInd w:val="0"/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</w:pP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</w:t>
      </w:r>
      <w:r w:rsidR="000C5343"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>Legislativa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ab/>
        <w:t xml:space="preserve"> </w:t>
      </w:r>
      <w:r w:rsidR="000C5343"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           </w:t>
      </w:r>
      <w:r w:rsidRPr="00A300A9">
        <w:rPr>
          <w:rFonts w:ascii="Book Antiqua" w:eastAsia="Times New Roman" w:hAnsi="Book Antiqua" w:cs="Times New Roman"/>
          <w:color w:val="000000"/>
          <w:kern w:val="0"/>
          <w:lang w:val="es-ES"/>
          <w14:ligatures w14:val="none"/>
        </w:rPr>
        <w:t xml:space="preserve">Ordinaria </w:t>
      </w:r>
    </w:p>
    <w:p w14:paraId="29F090CC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14:ligatures w14:val="none"/>
        </w:rPr>
      </w:pPr>
    </w:p>
    <w:p w14:paraId="0CEF9C2F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</w:p>
    <w:p w14:paraId="5F4761C8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color w:val="000000"/>
          <w:kern w:val="0"/>
          <w:sz w:val="36"/>
          <w:szCs w:val="36"/>
          <w14:ligatures w14:val="none"/>
        </w:rPr>
        <w:t>CÁMARA DE REPRESENTANTES</w:t>
      </w:r>
    </w:p>
    <w:p w14:paraId="507F2406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14:ligatures w14:val="none"/>
        </w:rPr>
      </w:pPr>
    </w:p>
    <w:p w14:paraId="3895E960" w14:textId="2B26F57A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</w:pPr>
      <w:r w:rsidRPr="00A300A9"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  <w:t xml:space="preserve">P. de la C. </w:t>
      </w:r>
      <w:r w:rsidR="0060366D" w:rsidRPr="00A300A9">
        <w:rPr>
          <w:rFonts w:ascii="Book Antiqua" w:eastAsia="Times New Roman" w:hAnsi="Book Antiqua" w:cs="Times New Roman"/>
          <w:b/>
          <w:kern w:val="0"/>
          <w:sz w:val="52"/>
          <w:szCs w:val="52"/>
          <w14:ligatures w14:val="none"/>
        </w:rPr>
        <w:t>556</w:t>
      </w:r>
    </w:p>
    <w:p w14:paraId="6A26D0A1" w14:textId="77777777" w:rsidR="00A54AF0" w:rsidRPr="00A300A9" w:rsidRDefault="00A54AF0" w:rsidP="00A54AF0">
      <w:pPr>
        <w:keepNext/>
        <w:spacing w:before="240"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color w:val="000000"/>
          <w:kern w:val="0"/>
          <w:sz w:val="28"/>
          <w:szCs w:val="28"/>
          <w:lang w:eastAsia="x-none"/>
          <w14:ligatures w14:val="none"/>
        </w:rPr>
        <w:t>INFORME POSITIVO</w:t>
      </w:r>
    </w:p>
    <w:p w14:paraId="6E1E98A3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</w:pPr>
    </w:p>
    <w:p w14:paraId="26D2917D" w14:textId="36D48821" w:rsidR="00A54AF0" w:rsidRPr="00A300A9" w:rsidRDefault="00253A8B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  <w:r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1</w:t>
      </w:r>
      <w:r w:rsidR="00A54AF0" w:rsidRPr="00A300A9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DE </w:t>
      </w:r>
      <w:proofErr w:type="gramStart"/>
      <w:r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Mayo</w:t>
      </w:r>
      <w:proofErr w:type="gramEnd"/>
      <w:r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 xml:space="preserve"> </w:t>
      </w:r>
      <w:r w:rsidR="00A54AF0" w:rsidRPr="00A300A9">
        <w:rPr>
          <w:rFonts w:ascii="Book Antiqua" w:eastAsia="Times New Roman" w:hAnsi="Book Antiqua" w:cs="Times New Roman"/>
          <w:bCs/>
          <w:color w:val="000000"/>
          <w:kern w:val="0"/>
          <w14:ligatures w14:val="none"/>
        </w:rPr>
        <w:t>DE 2025</w:t>
      </w:r>
    </w:p>
    <w:p w14:paraId="420645D7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color w:val="000000"/>
          <w:kern w:val="0"/>
          <w14:ligatures w14:val="none"/>
        </w:rPr>
      </w:pPr>
    </w:p>
    <w:p w14:paraId="05B222A6" w14:textId="77777777" w:rsidR="00A54AF0" w:rsidRPr="00A300A9" w:rsidRDefault="00A54AF0" w:rsidP="00A54AF0">
      <w:pPr>
        <w:spacing w:after="0" w:line="240" w:lineRule="auto"/>
        <w:ind w:firstLine="720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kern w:val="0"/>
          <w14:ligatures w14:val="none"/>
        </w:rPr>
        <w:t>A LA CÁMARA DE REPRESENTANTES DE PUERTO RICO:</w:t>
      </w:r>
    </w:p>
    <w:p w14:paraId="1DE7F01B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65F2FF51" w14:textId="59123C92" w:rsidR="00A54AF0" w:rsidRPr="00A300A9" w:rsidRDefault="00A54AF0" w:rsidP="001D1083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La </w:t>
      </w:r>
      <w:r w:rsidRPr="00A300A9">
        <w:rPr>
          <w:rFonts w:ascii="Book Antiqua" w:eastAsia="Times New Roman" w:hAnsi="Book Antiqua" w:cs="Times New Roman"/>
          <w:i/>
          <w:iCs/>
          <w:kern w:val="0"/>
          <w:lang w:val="es-ES"/>
          <w14:ligatures w14:val="none"/>
        </w:rPr>
        <w:t>Comisión de Reorganización, Eficiencia y Diligencia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, recomienda la aprobación del P. de la C. </w:t>
      </w:r>
      <w:r w:rsidR="00833E76">
        <w:rPr>
          <w:rFonts w:ascii="Book Antiqua" w:eastAsia="Times New Roman" w:hAnsi="Book Antiqua" w:cs="Times New Roman"/>
          <w:kern w:val="0"/>
          <w14:ligatures w14:val="none"/>
        </w:rPr>
        <w:t>556</w:t>
      </w:r>
      <w:r w:rsidR="000C5343" w:rsidRPr="00A300A9">
        <w:rPr>
          <w:rFonts w:ascii="Book Antiqua" w:eastAsia="Times New Roman" w:hAnsi="Book Antiqua" w:cs="Times New Roman"/>
          <w:kern w:val="0"/>
          <w14:ligatures w14:val="none"/>
        </w:rPr>
        <w:t>,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</w:t>
      </w:r>
      <w:r w:rsidR="00A350FB" w:rsidRPr="00A300A9">
        <w:rPr>
          <w:rFonts w:ascii="Book Antiqua" w:eastAsia="Times New Roman" w:hAnsi="Book Antiqua" w:cs="Times New Roman"/>
          <w:kern w:val="0"/>
          <w14:ligatures w14:val="none"/>
        </w:rPr>
        <w:t>con enmiendas</w:t>
      </w:r>
      <w:r w:rsidR="00A300A9"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en el entrillado.</w:t>
      </w:r>
    </w:p>
    <w:p w14:paraId="3639B984" w14:textId="77777777" w:rsidR="00A54AF0" w:rsidRPr="00A300A9" w:rsidRDefault="00A54AF0" w:rsidP="00A54AF0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5F8ED6CA" w14:textId="77777777" w:rsidR="00A54AF0" w:rsidRPr="00A300A9" w:rsidRDefault="00A54AF0" w:rsidP="00A54AF0">
      <w:pPr>
        <w:keepNext/>
        <w:spacing w:after="0" w:line="240" w:lineRule="auto"/>
        <w:ind w:left="2160" w:firstLine="720"/>
        <w:jc w:val="both"/>
        <w:outlineLvl w:val="1"/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kern w:val="0"/>
          <w:lang w:eastAsia="x-none"/>
          <w14:ligatures w14:val="none"/>
        </w:rPr>
        <w:t>ALCANCE DE LA MEDIDA</w:t>
      </w:r>
    </w:p>
    <w:p w14:paraId="05D2FB6C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3E1C4183" w14:textId="77777777" w:rsidR="00BA57BB" w:rsidRPr="00A300A9" w:rsidRDefault="00BA57BB" w:rsidP="00BA57BB">
      <w:pPr>
        <w:pStyle w:val="NormalWeb"/>
        <w:spacing w:before="0" w:beforeAutospacing="0" w:after="0" w:afterAutospacing="0"/>
        <w:ind w:left="1260" w:right="720" w:hanging="540"/>
        <w:jc w:val="both"/>
        <w:rPr>
          <w:rFonts w:ascii="Book Antiqua" w:hAnsi="Book Antiqua"/>
          <w:lang w:val="es-ES"/>
        </w:rPr>
      </w:pPr>
      <w:r w:rsidRPr="00A300A9">
        <w:rPr>
          <w:rFonts w:ascii="Book Antiqua" w:hAnsi="Book Antiqua"/>
          <w:lang w:val="es-ES"/>
        </w:rPr>
        <w:t>Para</w:t>
      </w:r>
      <w:r w:rsidRPr="00A300A9">
        <w:rPr>
          <w:rFonts w:ascii="Book Antiqua" w:eastAsia="Book Antiqua" w:hAnsi="Book Antiqua" w:cs="Book Antiqua"/>
          <w:color w:val="000000"/>
          <w:lang w:val="es-ES"/>
        </w:rPr>
        <w:t xml:space="preserve"> derogar parte de los Artículos 15 y 16 de la Ley Núm. 33-2019, según enmendada, conocida como “Ley de Mitigación, Adaptación y Resiliencia al Cambio Climático de Puerto Rico”, añadir una fecha cierta en el texto del Art. 15 de la mencionada ley, y otros fines relacionados. </w:t>
      </w:r>
    </w:p>
    <w:p w14:paraId="59170590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</w:p>
    <w:p w14:paraId="633D576D" w14:textId="77777777" w:rsidR="00A54AF0" w:rsidRPr="00A300A9" w:rsidRDefault="00A54AF0" w:rsidP="00A54AF0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kern w:val="0"/>
          <w14:ligatures w14:val="none"/>
        </w:rPr>
        <w:t>INTRODUCCIÓN</w:t>
      </w:r>
    </w:p>
    <w:p w14:paraId="7E5371C8" w14:textId="77777777" w:rsidR="00BA57BB" w:rsidRPr="00A300A9" w:rsidRDefault="00BA57BB" w:rsidP="00BA57BB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</w:p>
    <w:p w14:paraId="1C717AC8" w14:textId="3BDD8445" w:rsidR="00A300A9" w:rsidRPr="00A300A9" w:rsidRDefault="00BA57BB" w:rsidP="001D1083">
      <w:pPr>
        <w:spacing w:after="0" w:line="360" w:lineRule="auto"/>
        <w:jc w:val="both"/>
        <w:rPr>
          <w:rFonts w:ascii="Book Antiqua" w:hAnsi="Book Antiqua"/>
        </w:rPr>
      </w:pPr>
      <w:r w:rsidRPr="00A300A9">
        <w:rPr>
          <w:rFonts w:ascii="Book Antiqua" w:eastAsia="Times New Roman" w:hAnsi="Book Antiqua" w:cs="Times New Roman"/>
          <w:b/>
          <w:bCs/>
          <w:kern w:val="0"/>
          <w14:ligatures w14:val="none"/>
        </w:rPr>
        <w:tab/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>El Proyecto de la Cámara Núm. 556 (P. de la C. 556) propone enmendar, los Arts. 15 y 16 de la Ley Núm. 33-2019, según enmendada, conocida como</w:t>
      </w:r>
      <w:r w:rsidRPr="00A300A9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 </w:t>
      </w:r>
      <w:r w:rsidRPr="000C4A36">
        <w:rPr>
          <w:rFonts w:ascii="Book Antiqua" w:hAnsi="Book Antiqua"/>
          <w:i/>
          <w:iCs/>
        </w:rPr>
        <w:t>Ley de Mitigación, Adaptación y Resiliencia al Cambio Climático de Puerto Rico</w:t>
      </w:r>
      <w:r w:rsidRPr="00A300A9">
        <w:rPr>
          <w:rStyle w:val="FootnoteReference"/>
          <w:rFonts w:ascii="Book Antiqua" w:hAnsi="Book Antiqua"/>
        </w:rPr>
        <w:footnoteReference w:id="1"/>
      </w:r>
      <w:r w:rsidRPr="00A300A9">
        <w:rPr>
          <w:rFonts w:ascii="Book Antiqua" w:hAnsi="Book Antiqua"/>
        </w:rPr>
        <w:t xml:space="preserve">. Ello, respondiendo a una inquietud de varios sectores de que el periodo para evaluar el </w:t>
      </w:r>
      <w:r w:rsidRPr="000C4A36">
        <w:rPr>
          <w:rFonts w:ascii="Book Antiqua" w:hAnsi="Book Antiqua"/>
          <w:i/>
          <w:iCs/>
        </w:rPr>
        <w:t xml:space="preserve">Plan de Mitigación, </w:t>
      </w:r>
      <w:r w:rsidRPr="000C4A36">
        <w:rPr>
          <w:rFonts w:ascii="Book Antiqua" w:hAnsi="Book Antiqua"/>
          <w:i/>
          <w:iCs/>
        </w:rPr>
        <w:lastRenderedPageBreak/>
        <w:t>Adaptación y Resiliencia al Cambio Climático</w:t>
      </w:r>
      <w:r w:rsidRPr="00A300A9">
        <w:rPr>
          <w:rFonts w:ascii="Book Antiqua" w:hAnsi="Book Antiqua"/>
        </w:rPr>
        <w:t xml:space="preserve"> (en delante, “Plan”) - elaborado bajo el insumo y recomendación de un Comité de Expertos y Asesores sobre Cambio Climático, además</w:t>
      </w:r>
      <w:r w:rsidR="00AE52A3">
        <w:rPr>
          <w:rFonts w:ascii="Book Antiqua" w:hAnsi="Book Antiqua"/>
        </w:rPr>
        <w:t xml:space="preserve"> de</w:t>
      </w:r>
      <w:r w:rsidRPr="00A300A9">
        <w:rPr>
          <w:rFonts w:ascii="Book Antiqua" w:hAnsi="Book Antiqua"/>
        </w:rPr>
        <w:t xml:space="preserve"> otros sectores- sería insuficiente para analizar de manera pondera y responsable.</w:t>
      </w:r>
      <w:r w:rsidRPr="00A300A9">
        <w:rPr>
          <w:rStyle w:val="FootnoteReference"/>
          <w:rFonts w:ascii="Book Antiqua" w:hAnsi="Book Antiqua"/>
        </w:rPr>
        <w:footnoteReference w:id="2"/>
      </w:r>
      <w:r w:rsidRPr="00A300A9">
        <w:rPr>
          <w:rFonts w:ascii="Book Antiqua" w:hAnsi="Book Antiqua"/>
        </w:rPr>
        <w:t xml:space="preserve"> Ello considerando la posibilidad de que </w:t>
      </w:r>
      <w:r w:rsidR="0086148B" w:rsidRPr="00A300A9">
        <w:rPr>
          <w:rFonts w:ascii="Book Antiqua" w:hAnsi="Book Antiqua"/>
        </w:rPr>
        <w:t xml:space="preserve">el gasto en que se habrá de incurrir para ejecutar dicho plan podrían, como menos, desestabilizar las finanzas del Gobierno de Puerto Rico, y poner en entredicho el cumplimiento con varias disposiciones estatales y federales relacionadas al manejo de las finanzas del país. </w:t>
      </w:r>
    </w:p>
    <w:p w14:paraId="002CEC0D" w14:textId="7033101E" w:rsidR="00A54AF0" w:rsidRPr="00A300A9" w:rsidRDefault="0086148B" w:rsidP="001D1083">
      <w:pPr>
        <w:spacing w:after="0" w:line="360" w:lineRule="auto"/>
        <w:jc w:val="both"/>
        <w:rPr>
          <w:rFonts w:ascii="Book Antiqua" w:eastAsia="Times New Roman" w:hAnsi="Book Antiqua" w:cs="Times New Roman"/>
          <w:b/>
          <w:bCs/>
          <w:kern w:val="0"/>
          <w14:ligatures w14:val="none"/>
        </w:rPr>
      </w:pPr>
      <w:r w:rsidRPr="00A300A9">
        <w:rPr>
          <w:rFonts w:ascii="Book Antiqua" w:hAnsi="Book Antiqua"/>
        </w:rPr>
        <w:tab/>
        <w:t xml:space="preserve">Referido el proyecto a la Comisión de Reorganización, Eficiencia y Diligencia (CRED), ésta solicitó un </w:t>
      </w:r>
      <w:r w:rsidRPr="00A300A9">
        <w:rPr>
          <w:rFonts w:ascii="Book Antiqua" w:hAnsi="Book Antiqua"/>
          <w:i/>
          <w:iCs/>
        </w:rPr>
        <w:t>Memorial Explicativo</w:t>
      </w:r>
      <w:r w:rsidRPr="00A300A9">
        <w:rPr>
          <w:rFonts w:ascii="Book Antiqua" w:hAnsi="Book Antiqua"/>
        </w:rPr>
        <w:t xml:space="preserve"> al </w:t>
      </w:r>
      <w:r w:rsidRPr="00A300A9">
        <w:rPr>
          <w:rFonts w:ascii="Book Antiqua" w:hAnsi="Book Antiqua"/>
          <w:i/>
          <w:iCs/>
        </w:rPr>
        <w:t>Departamento de Recursos Naturales y Ambientales (DRNA)</w:t>
      </w:r>
      <w:r w:rsidR="00757CED">
        <w:rPr>
          <w:rFonts w:ascii="Book Antiqua" w:hAnsi="Book Antiqua"/>
        </w:rPr>
        <w:t>, como agencia responsable  de implementar la Política Pública del Gobierno de Puerto Rico en asuntos ambientales y recursos naturales dentro</w:t>
      </w:r>
      <w:r w:rsidR="00CE2CCB">
        <w:rPr>
          <w:rFonts w:ascii="Book Antiqua" w:hAnsi="Book Antiqua"/>
        </w:rPr>
        <w:t xml:space="preserve"> del territorio</w:t>
      </w:r>
      <w:r w:rsidR="00757CED">
        <w:rPr>
          <w:rFonts w:ascii="Book Antiqua" w:hAnsi="Book Antiqua"/>
        </w:rPr>
        <w:t>.</w:t>
      </w:r>
      <w:r w:rsidRPr="00A300A9">
        <w:rPr>
          <w:rFonts w:ascii="Book Antiqua" w:eastAsia="Times New Roman" w:hAnsi="Book Antiqua" w:cs="Times New Roman"/>
          <w:b/>
          <w:bCs/>
          <w:kern w:val="0"/>
          <w14:ligatures w14:val="none"/>
        </w:rPr>
        <w:t xml:space="preserve"> </w:t>
      </w:r>
      <w:r w:rsidR="00A54AF0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Habiéndose presentado ante nuestra consideración </w:t>
      </w:r>
      <w:r w:rsidR="0060366D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el </w:t>
      </w:r>
      <w:r w:rsidR="0060366D" w:rsidRPr="00A300A9">
        <w:rPr>
          <w:rFonts w:ascii="Book Antiqua" w:eastAsia="Times New Roman" w:hAnsi="Book Antiqua" w:cs="Times New Roman"/>
          <w:i/>
          <w:iCs/>
          <w:kern w:val="0"/>
          <w:lang w:val="es-ES_tradnl"/>
          <w14:ligatures w14:val="none"/>
        </w:rPr>
        <w:t>Memorial Explicativo</w:t>
      </w:r>
      <w:r w:rsidR="0060366D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analizamos</w:t>
      </w:r>
      <w:r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,</w:t>
      </w:r>
      <w:r w:rsidR="0060366D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evaluamos</w:t>
      </w:r>
      <w:r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y recomendamos</w:t>
      </w:r>
      <w:r w:rsidR="0060366D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: </w:t>
      </w:r>
      <w:r w:rsidR="00A54AF0" w:rsidRPr="00A300A9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</w:t>
      </w:r>
    </w:p>
    <w:p w14:paraId="2841EF18" w14:textId="77777777" w:rsidR="004A4E99" w:rsidRPr="00A300A9" w:rsidRDefault="004A4E99" w:rsidP="001905D4">
      <w:pPr>
        <w:spacing w:after="0" w:line="276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6D3F4264" w14:textId="7B51B0DB" w:rsidR="00A54AF0" w:rsidRPr="00A300A9" w:rsidRDefault="00647DED" w:rsidP="001905D4">
      <w:pPr>
        <w:spacing w:after="0" w:line="276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/>
          <w:kern w:val="0"/>
          <w14:ligatures w14:val="none"/>
        </w:rPr>
        <w:t xml:space="preserve">PONENCIAS O </w:t>
      </w:r>
      <w:r w:rsidR="00A54AF0" w:rsidRPr="00A300A9">
        <w:rPr>
          <w:rFonts w:ascii="Book Antiqua" w:eastAsia="Times New Roman" w:hAnsi="Book Antiqua" w:cs="Times New Roman"/>
          <w:b/>
          <w:kern w:val="0"/>
          <w14:ligatures w14:val="none"/>
        </w:rPr>
        <w:t>MEMORIALES RECIBID</w:t>
      </w:r>
      <w:r w:rsidRPr="00A300A9">
        <w:rPr>
          <w:rFonts w:ascii="Book Antiqua" w:eastAsia="Times New Roman" w:hAnsi="Book Antiqua" w:cs="Times New Roman"/>
          <w:b/>
          <w:kern w:val="0"/>
          <w14:ligatures w14:val="none"/>
        </w:rPr>
        <w:t>O</w:t>
      </w:r>
      <w:r w:rsidR="00A54AF0" w:rsidRPr="00A300A9">
        <w:rPr>
          <w:rFonts w:ascii="Book Antiqua" w:eastAsia="Times New Roman" w:hAnsi="Book Antiqua" w:cs="Times New Roman"/>
          <w:b/>
          <w:kern w:val="0"/>
          <w14:ligatures w14:val="none"/>
        </w:rPr>
        <w:t>S</w:t>
      </w:r>
    </w:p>
    <w:p w14:paraId="2EE2EDEA" w14:textId="77777777" w:rsidR="00A54AF0" w:rsidRPr="00A300A9" w:rsidRDefault="00A54AF0" w:rsidP="001905D4">
      <w:pPr>
        <w:spacing w:after="0" w:line="276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3ADC2532" w14:textId="6BB59CF2" w:rsidR="00B44FB9" w:rsidRPr="00A300A9" w:rsidRDefault="00A54AF0" w:rsidP="001905D4">
      <w:pPr>
        <w:numPr>
          <w:ilvl w:val="0"/>
          <w:numId w:val="2"/>
        </w:numPr>
        <w:spacing w:after="200" w:line="276" w:lineRule="auto"/>
        <w:ind w:left="360"/>
        <w:contextualSpacing/>
        <w:jc w:val="center"/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Memoriales Explicativos</w:t>
      </w:r>
    </w:p>
    <w:p w14:paraId="280644F1" w14:textId="01034148" w:rsidR="00A54AF0" w:rsidRPr="00A300A9" w:rsidRDefault="0060366D" w:rsidP="001905D4">
      <w:pPr>
        <w:numPr>
          <w:ilvl w:val="0"/>
          <w:numId w:val="1"/>
        </w:numPr>
        <w:spacing w:after="200" w:line="276" w:lineRule="auto"/>
        <w:ind w:left="360"/>
        <w:contextualSpacing/>
        <w:jc w:val="center"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:u w:val="single"/>
          <w14:ligatures w14:val="none"/>
        </w:rPr>
        <w:t>Departamento de Recursos Naturales y Ambientales (DRNA)</w:t>
      </w:r>
    </w:p>
    <w:p w14:paraId="34BCF055" w14:textId="77777777" w:rsidR="00121035" w:rsidRPr="00A300A9" w:rsidRDefault="00121035" w:rsidP="001905D4">
      <w:pPr>
        <w:spacing w:after="200" w:line="276" w:lineRule="auto"/>
        <w:ind w:firstLine="360"/>
        <w:contextualSpacing/>
        <w:rPr>
          <w:rFonts w:ascii="Book Antiqua" w:eastAsia="Times New Roman" w:hAnsi="Book Antiqua" w:cs="Times New Roman"/>
          <w:bCs/>
          <w:kern w:val="0"/>
          <w:u w:val="single"/>
          <w14:ligatures w14:val="none"/>
        </w:rPr>
      </w:pPr>
    </w:p>
    <w:p w14:paraId="44C3A033" w14:textId="4D7690BC" w:rsidR="0086148B" w:rsidRPr="00A300A9" w:rsidRDefault="0086148B" w:rsidP="001D1083">
      <w:pPr>
        <w:spacing w:after="200" w:line="360" w:lineRule="auto"/>
        <w:ind w:firstLine="360"/>
        <w:contextualSpacing/>
        <w:jc w:val="both"/>
        <w:rPr>
          <w:rFonts w:ascii="Book Antiqua" w:eastAsia="Times New Roman" w:hAnsi="Book Antiqua" w:cs="Times New Roman"/>
          <w:bCs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El </w:t>
      </w:r>
      <w:r w:rsidR="00AE52A3">
        <w:rPr>
          <w:rFonts w:ascii="Book Antiqua" w:eastAsia="Times New Roman" w:hAnsi="Book Antiqua" w:cs="Times New Roman"/>
          <w:bCs/>
          <w:kern w:val="0"/>
          <w14:ligatures w14:val="none"/>
        </w:rPr>
        <w:t>Departamento de Recursos Naturales y Ambientales (DRNA)</w:t>
      </w: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comienza describiendo el mandato Constitucional y la autoridad que posee para salvaguardar, proteger y custodiar los recursos naturales del Pueblo de Puerto Rico, así como la responsabilidad que tiene para implementar la </w:t>
      </w:r>
      <w:r w:rsidR="006D4249" w:rsidRPr="00A300A9">
        <w:rPr>
          <w:rFonts w:ascii="Book Antiqua" w:eastAsia="Times New Roman" w:hAnsi="Book Antiqua" w:cs="Times New Roman"/>
          <w:bCs/>
          <w:kern w:val="0"/>
          <w14:ligatures w14:val="none"/>
        </w:rPr>
        <w:t>P</w:t>
      </w: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olítica </w:t>
      </w:r>
      <w:r w:rsidR="006D4249" w:rsidRPr="00A300A9">
        <w:rPr>
          <w:rFonts w:ascii="Book Antiqua" w:eastAsia="Times New Roman" w:hAnsi="Book Antiqua" w:cs="Times New Roman"/>
          <w:bCs/>
          <w:kern w:val="0"/>
          <w14:ligatures w14:val="none"/>
        </w:rPr>
        <w:t>P</w:t>
      </w: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>ública del Gobierno de Puerto Rico.</w:t>
      </w:r>
      <w:r w:rsidR="006D4249" w:rsidRPr="00A300A9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3"/>
      </w: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 De igual modo, describe que tiene el deber ministerial </w:t>
      </w:r>
      <w:r w:rsidR="006D4249" w:rsidRPr="00A300A9">
        <w:rPr>
          <w:rFonts w:ascii="Book Antiqua" w:eastAsia="Times New Roman" w:hAnsi="Book Antiqua" w:cs="Times New Roman"/>
          <w:bCs/>
          <w:kern w:val="0"/>
          <w14:ligatures w14:val="none"/>
        </w:rPr>
        <w:t>de mantener la “armonía entre la protección de los recursos [naturales y ambientales] y el desarrollo económico de la isla.”</w:t>
      </w:r>
      <w:r w:rsidR="006D4249" w:rsidRPr="00A300A9">
        <w:rPr>
          <w:rStyle w:val="FootnoteReference"/>
          <w:rFonts w:ascii="Book Antiqua" w:eastAsia="Times New Roman" w:hAnsi="Book Antiqua"/>
          <w:bCs/>
          <w:kern w:val="0"/>
          <w14:ligatures w14:val="none"/>
        </w:rPr>
        <w:footnoteReference w:id="4"/>
      </w:r>
    </w:p>
    <w:p w14:paraId="1338E56D" w14:textId="092BED7F" w:rsidR="006D4249" w:rsidRPr="00A300A9" w:rsidRDefault="006D4249" w:rsidP="001D1083">
      <w:pPr>
        <w:spacing w:after="200" w:line="360" w:lineRule="auto"/>
        <w:ind w:firstLine="360"/>
        <w:contextualSpacing/>
        <w:jc w:val="both"/>
        <w:rPr>
          <w:rFonts w:ascii="Book Antiqua" w:hAnsi="Book Antiqua" w:cs="Arial"/>
          <w:color w:val="202122"/>
          <w:shd w:val="clear" w:color="auto" w:fill="FFFFFF"/>
        </w:rPr>
      </w:pP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lastRenderedPageBreak/>
        <w:t xml:space="preserve">Referente a la medida ante nuestra consideración, el DRNA describe a grandes rasgos la misión y prerrogativas que otorga la Ley 33-2019, </w:t>
      </w:r>
      <w:r w:rsidRPr="00A300A9">
        <w:rPr>
          <w:rFonts w:ascii="Book Antiqua" w:eastAsia="Times New Roman" w:hAnsi="Book Antiqua" w:cs="Times New Roman"/>
          <w:bCs/>
          <w:i/>
          <w:iCs/>
          <w:kern w:val="0"/>
          <w14:ligatures w14:val="none"/>
        </w:rPr>
        <w:t>supra</w:t>
      </w:r>
      <w:r w:rsidRPr="00A300A9">
        <w:rPr>
          <w:rFonts w:ascii="Book Antiqua" w:eastAsia="Times New Roman" w:hAnsi="Book Antiqua" w:cs="Times New Roman"/>
          <w:bCs/>
          <w:kern w:val="0"/>
          <w14:ligatures w14:val="none"/>
        </w:rPr>
        <w:t xml:space="preserve">, y las funciones que tienen a su haber tanto el DRNA, el </w:t>
      </w:r>
      <w:r w:rsidRPr="00A300A9">
        <w:rPr>
          <w:rFonts w:ascii="Book Antiqua" w:hAnsi="Book Antiqua"/>
        </w:rPr>
        <w:t>Comité de Expertos y Asesores sobre Cambio Climático, y la Asamblea Legislativa, frente al Plan.</w:t>
      </w:r>
      <w:r w:rsidR="001F000A" w:rsidRPr="00A300A9">
        <w:rPr>
          <w:rStyle w:val="FootnoteReference"/>
          <w:rFonts w:ascii="Book Antiqua" w:hAnsi="Book Antiqua"/>
        </w:rPr>
        <w:footnoteReference w:id="5"/>
      </w:r>
      <w:r w:rsidRPr="00A300A9">
        <w:rPr>
          <w:rFonts w:ascii="Book Antiqua" w:hAnsi="Book Antiqua"/>
        </w:rPr>
        <w:t xml:space="preserve"> </w:t>
      </w:r>
      <w:r w:rsidR="001F000A" w:rsidRPr="00A300A9">
        <w:rPr>
          <w:rFonts w:ascii="Book Antiqua" w:hAnsi="Book Antiqua"/>
        </w:rPr>
        <w:t xml:space="preserve">Asimismo, </w:t>
      </w:r>
      <w:r w:rsidRPr="00A300A9">
        <w:rPr>
          <w:rFonts w:ascii="Book Antiqua" w:hAnsi="Book Antiqua"/>
        </w:rPr>
        <w:t xml:space="preserve">expresa </w:t>
      </w:r>
      <w:r w:rsidR="0082129B" w:rsidRPr="00A300A9">
        <w:rPr>
          <w:rFonts w:ascii="Book Antiqua" w:hAnsi="Book Antiqua"/>
        </w:rPr>
        <w:t xml:space="preserve">que resulta necesario que la evaluación del Plan sea rigurosa y fundamentada, según expresa la propia Ley 33-2019, </w:t>
      </w:r>
      <w:r w:rsidR="0082129B" w:rsidRPr="00A300A9">
        <w:rPr>
          <w:rFonts w:ascii="Book Antiqua" w:hAnsi="Book Antiqua"/>
          <w:i/>
          <w:iCs/>
        </w:rPr>
        <w:t>supra</w:t>
      </w:r>
      <w:r w:rsidR="0082129B" w:rsidRPr="00A300A9">
        <w:rPr>
          <w:rFonts w:ascii="Book Antiqua" w:hAnsi="Book Antiqua"/>
        </w:rPr>
        <w:t>, lo cual se contradice con la aprobación automática dispuesta en los Artículos 15 y 16 de ésta.</w:t>
      </w:r>
      <w:r w:rsidR="001F000A" w:rsidRPr="00A300A9">
        <w:rPr>
          <w:rStyle w:val="FootnoteReference"/>
          <w:rFonts w:ascii="Book Antiqua" w:hAnsi="Book Antiqua"/>
        </w:rPr>
        <w:footnoteReference w:id="6"/>
      </w:r>
      <w:r w:rsidR="0082129B" w:rsidRPr="00A300A9">
        <w:rPr>
          <w:rFonts w:ascii="Book Antiqua" w:hAnsi="Book Antiqua"/>
        </w:rPr>
        <w:t xml:space="preserve"> Además, dicha disposición de aprobación automática podría resultar en un incumplimiento con el </w:t>
      </w:r>
      <w:r w:rsidR="0082129B" w:rsidRPr="00A300A9">
        <w:rPr>
          <w:rFonts w:ascii="Book Antiqua" w:hAnsi="Book Antiqua" w:cs="Arial"/>
          <w:i/>
          <w:iCs/>
          <w:color w:val="202122"/>
          <w:shd w:val="clear" w:color="auto" w:fill="FFFFFF"/>
        </w:rPr>
        <w:t>Puerto Rico Oversight, Management, and Economic Stability Act</w:t>
      </w:r>
      <w:r w:rsidR="0082129B" w:rsidRPr="00A300A9">
        <w:rPr>
          <w:rStyle w:val="FootnoteReference"/>
          <w:rFonts w:ascii="Book Antiqua" w:hAnsi="Book Antiqua"/>
          <w:i/>
          <w:iCs/>
          <w:color w:val="202122"/>
          <w:shd w:val="clear" w:color="auto" w:fill="FFFFFF"/>
        </w:rPr>
        <w:footnoteReference w:id="7"/>
      </w:r>
      <w:r w:rsidR="0082129B" w:rsidRPr="00A300A9">
        <w:rPr>
          <w:rFonts w:ascii="Book Antiqua" w:hAnsi="Book Antiqua" w:cs="Arial"/>
          <w:color w:val="202122"/>
          <w:shd w:val="clear" w:color="auto" w:fill="FFFFFF"/>
        </w:rPr>
        <w:t xml:space="preserve"> (PROMESA) en lo relativo a su financiamiento.</w:t>
      </w:r>
      <w:r w:rsidR="001F000A" w:rsidRPr="00A300A9">
        <w:rPr>
          <w:rStyle w:val="FootnoteReference"/>
          <w:rFonts w:ascii="Book Antiqua" w:hAnsi="Book Antiqua"/>
          <w:color w:val="202122"/>
          <w:shd w:val="clear" w:color="auto" w:fill="FFFFFF"/>
        </w:rPr>
        <w:footnoteReference w:id="8"/>
      </w:r>
      <w:r w:rsidR="0082129B" w:rsidRPr="00A300A9">
        <w:rPr>
          <w:rFonts w:ascii="Book Antiqua" w:hAnsi="Book Antiqua" w:cs="Arial"/>
          <w:color w:val="202122"/>
          <w:shd w:val="clear" w:color="auto" w:fill="FFFFFF"/>
        </w:rPr>
        <w:t xml:space="preserve"> Es por ello que “la implementación de dicho Plan requiere de un estudio detallado, para asegurar que las estrategias propuestas sean viables y efectivas para abordar los desafíos que plantea el cambio climático en Puerto Rico.”</w:t>
      </w:r>
      <w:r w:rsidR="0082129B" w:rsidRPr="00A300A9">
        <w:rPr>
          <w:rStyle w:val="FootnoteReference"/>
          <w:rFonts w:ascii="Book Antiqua" w:hAnsi="Book Antiqua"/>
          <w:color w:val="202122"/>
          <w:shd w:val="clear" w:color="auto" w:fill="FFFFFF"/>
        </w:rPr>
        <w:footnoteReference w:id="9"/>
      </w:r>
      <w:r w:rsidR="0082129B" w:rsidRPr="00A300A9">
        <w:rPr>
          <w:rFonts w:ascii="Book Antiqua" w:hAnsi="Book Antiqua" w:cs="Arial"/>
          <w:color w:val="202122"/>
          <w:shd w:val="clear" w:color="auto" w:fill="FFFFFF"/>
        </w:rPr>
        <w:t xml:space="preserve"> </w:t>
      </w:r>
    </w:p>
    <w:p w14:paraId="664FFA7C" w14:textId="589B6412" w:rsidR="00387604" w:rsidRDefault="00A300A9" w:rsidP="00AE52A3">
      <w:pPr>
        <w:spacing w:after="200" w:line="360" w:lineRule="auto"/>
        <w:ind w:firstLine="360"/>
        <w:contextualSpacing/>
        <w:jc w:val="both"/>
        <w:rPr>
          <w:rFonts w:ascii="Book Antiqua" w:hAnsi="Book Antiqua"/>
        </w:rPr>
      </w:pPr>
      <w:r w:rsidRPr="00A300A9">
        <w:rPr>
          <w:rFonts w:ascii="Book Antiqua" w:hAnsi="Book Antiqua" w:cs="Arial"/>
          <w:color w:val="202122"/>
          <w:shd w:val="clear" w:color="auto" w:fill="FFFFFF"/>
        </w:rPr>
        <w:t>Finalmente, el DRNA respalda la aprobación del P. de la C. 556, reconociendo un balance entre la urgencia que amerita atender el tema de cambio climático</w:t>
      </w:r>
      <w:r w:rsidRPr="00A300A9">
        <w:rPr>
          <w:rStyle w:val="FootnoteReference"/>
          <w:rFonts w:ascii="Book Antiqua" w:hAnsi="Book Antiqua"/>
          <w:color w:val="202122"/>
          <w:shd w:val="clear" w:color="auto" w:fill="FFFFFF"/>
        </w:rPr>
        <w:footnoteReference w:id="10"/>
      </w:r>
      <w:r w:rsidRPr="00A300A9">
        <w:rPr>
          <w:rFonts w:ascii="Book Antiqua" w:hAnsi="Book Antiqua" w:cs="Arial"/>
          <w:color w:val="202122"/>
          <w:shd w:val="clear" w:color="auto" w:fill="FFFFFF"/>
        </w:rPr>
        <w:t xml:space="preserve"> -por un lado- y “la importancia de actuar de forma ponderada, garantizando la viabilidad y sostenibilidad fiscal del Gobierno de Puerto Rico.”</w:t>
      </w:r>
      <w:r w:rsidRPr="00A300A9">
        <w:rPr>
          <w:rStyle w:val="FootnoteReference"/>
          <w:rFonts w:ascii="Book Antiqua" w:hAnsi="Book Antiqua"/>
          <w:color w:val="202122"/>
          <w:shd w:val="clear" w:color="auto" w:fill="FFFFFF"/>
        </w:rPr>
        <w:footnoteReference w:id="11"/>
      </w:r>
      <w:r w:rsidRPr="00A300A9">
        <w:rPr>
          <w:rFonts w:ascii="Book Antiqua" w:hAnsi="Book Antiqua" w:cs="Arial"/>
          <w:color w:val="202122"/>
          <w:shd w:val="clear" w:color="auto" w:fill="FFFFFF"/>
        </w:rPr>
        <w:t xml:space="preserve"> </w:t>
      </w:r>
      <w:bookmarkStart w:id="0" w:name="_Hlk191473974"/>
    </w:p>
    <w:p w14:paraId="28A8F505" w14:textId="77777777" w:rsidR="00AE52A3" w:rsidRPr="00A300A9" w:rsidRDefault="00AE52A3" w:rsidP="00AE52A3">
      <w:pPr>
        <w:spacing w:after="200" w:line="360" w:lineRule="auto"/>
        <w:ind w:firstLine="360"/>
        <w:contextualSpacing/>
        <w:jc w:val="both"/>
        <w:rPr>
          <w:rFonts w:ascii="Book Antiqua" w:hAnsi="Book Antiqua"/>
        </w:rPr>
      </w:pPr>
    </w:p>
    <w:bookmarkEnd w:id="0"/>
    <w:p w14:paraId="523D9D94" w14:textId="4AAB25D2" w:rsidR="00A54AF0" w:rsidRDefault="00A54AF0" w:rsidP="00387604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/>
          <w:kern w:val="0"/>
          <w14:ligatures w14:val="none"/>
        </w:rPr>
        <w:t>VISTA PÚBLICA</w:t>
      </w:r>
    </w:p>
    <w:p w14:paraId="264780CC" w14:textId="77777777" w:rsidR="00387604" w:rsidRPr="00A300A9" w:rsidRDefault="00387604" w:rsidP="00387604">
      <w:pPr>
        <w:spacing w:after="0" w:line="276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7357F966" w14:textId="1A405E44" w:rsidR="00387604" w:rsidRPr="00A300A9" w:rsidRDefault="00A54AF0" w:rsidP="00AE52A3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Esta Comisión decidió no realizar Vistas Públicas, toda vez que la información proporcionada por la entidad antes mencionada resultó suficiente para ponderar el alcance del proyecto de ley, aprovechando y utilizando así los recursos del Gobierno de Puerto Rico, y en particular la Asamblea Legislativa, de la manera más eficiente y costo-efectiva posible. </w:t>
      </w:r>
    </w:p>
    <w:p w14:paraId="115914DA" w14:textId="237AC561" w:rsidR="006736F9" w:rsidRDefault="00A54AF0" w:rsidP="00387604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b/>
          <w:kern w:val="0"/>
          <w14:ligatures w14:val="none"/>
        </w:rPr>
        <w:lastRenderedPageBreak/>
        <w:t>ANÁLISIS DE LA MEDIDA</w:t>
      </w:r>
    </w:p>
    <w:p w14:paraId="4CB9F2F2" w14:textId="77777777" w:rsidR="00387604" w:rsidRPr="00A300A9" w:rsidRDefault="00387604" w:rsidP="00387604">
      <w:pPr>
        <w:spacing w:after="0" w:line="276" w:lineRule="auto"/>
        <w:rPr>
          <w:rFonts w:ascii="Book Antiqua" w:eastAsia="Times New Roman" w:hAnsi="Book Antiqua" w:cs="Times New Roman"/>
          <w:b/>
          <w:kern w:val="0"/>
          <w14:ligatures w14:val="none"/>
        </w:rPr>
      </w:pPr>
    </w:p>
    <w:p w14:paraId="34C3A7A9" w14:textId="471BD4EE" w:rsidR="00ED659B" w:rsidRDefault="006736F9" w:rsidP="001D1083">
      <w:pPr>
        <w:spacing w:after="0" w:line="360" w:lineRule="auto"/>
        <w:jc w:val="both"/>
        <w:rPr>
          <w:rFonts w:ascii="Book Antiqua" w:hAnsi="Book Antiqua"/>
        </w:rPr>
      </w:pPr>
      <w:r w:rsidRPr="00A300A9">
        <w:rPr>
          <w:rFonts w:ascii="Book Antiqua" w:eastAsia="Times New Roman" w:hAnsi="Book Antiqua" w:cs="Times New Roman"/>
          <w:b/>
          <w:kern w:val="0"/>
          <w14:ligatures w14:val="none"/>
        </w:rPr>
        <w:tab/>
      </w:r>
      <w:r w:rsidR="00862A5F" w:rsidRPr="00A300A9">
        <w:rPr>
          <w:rFonts w:ascii="Book Antiqua" w:hAnsi="Book Antiqua"/>
          <w:lang w:val="es-ES_tradnl"/>
        </w:rPr>
        <w:t xml:space="preserve"> </w:t>
      </w:r>
      <w:r w:rsidR="000D59CB" w:rsidRPr="003449DA">
        <w:rPr>
          <w:rFonts w:ascii="Book Antiqua" w:hAnsi="Book Antiqua"/>
          <w:lang w:val="es-ES_tradnl"/>
        </w:rPr>
        <w:t xml:space="preserve">El P. de la C. 556 propone enmendar el texto de los Artículos 16 y 17 de modo que se provea a la Asamblea </w:t>
      </w:r>
      <w:r w:rsidR="00DC51E5" w:rsidRPr="003449DA">
        <w:rPr>
          <w:rFonts w:ascii="Book Antiqua" w:hAnsi="Book Antiqua"/>
          <w:lang w:val="es-ES_tradnl"/>
        </w:rPr>
        <w:t>Legislativa mayor tiempo para evaluar el</w:t>
      </w:r>
      <w:r w:rsidR="00AE52A3">
        <w:rPr>
          <w:rFonts w:ascii="Book Antiqua" w:hAnsi="Book Antiqua"/>
          <w:lang w:val="es-ES_tradnl"/>
        </w:rPr>
        <w:t xml:space="preserve"> borrador presentado del</w:t>
      </w:r>
      <w:r w:rsidR="00DC51E5" w:rsidRPr="003449DA">
        <w:rPr>
          <w:rFonts w:ascii="Book Antiqua" w:hAnsi="Book Antiqua"/>
          <w:lang w:val="es-ES_tradnl"/>
        </w:rPr>
        <w:t xml:space="preserve"> </w:t>
      </w:r>
      <w:r w:rsidR="00DC51E5" w:rsidRPr="00AE52A3">
        <w:rPr>
          <w:rFonts w:ascii="Book Antiqua" w:hAnsi="Book Antiqua"/>
          <w:i/>
          <w:iCs/>
        </w:rPr>
        <w:t>Plan de Mitigación, Adaptación y Resiliencia al Cambio Climático</w:t>
      </w:r>
      <w:r w:rsidR="00DC51E5" w:rsidRPr="003449DA">
        <w:rPr>
          <w:rFonts w:ascii="Book Antiqua" w:hAnsi="Book Antiqua"/>
        </w:rPr>
        <w:t>. El texto actual del Artículo 15, en particular su inciso “(a)” provee a la Comisión Conjunta sobre Mitigación, Adaptación y Resiliencia al Cambio Climático</w:t>
      </w:r>
      <w:r w:rsidR="003449DA">
        <w:rPr>
          <w:rFonts w:ascii="Book Antiqua" w:hAnsi="Book Antiqua"/>
        </w:rPr>
        <w:t xml:space="preserve"> (Comisión Conjunta)</w:t>
      </w:r>
      <w:r w:rsidR="003449DA" w:rsidRPr="003449DA">
        <w:rPr>
          <w:rFonts w:ascii="Book Antiqua" w:hAnsi="Book Antiqua"/>
          <w:b/>
          <w:bCs/>
        </w:rPr>
        <w:t xml:space="preserve"> </w:t>
      </w:r>
      <w:r w:rsidR="00DC51E5" w:rsidRPr="003449DA">
        <w:rPr>
          <w:rFonts w:ascii="Book Antiqua" w:hAnsi="Book Antiqua"/>
        </w:rPr>
        <w:t>“hasta la culminación de la próxima Sesión Ordinaria para presentar el Plan simultáneamente a ambos cuerpos de la Asamblea Legislativa”</w:t>
      </w:r>
      <w:r w:rsidR="00DC51E5" w:rsidRPr="003449DA">
        <w:rPr>
          <w:rStyle w:val="FootnoteReference"/>
          <w:rFonts w:ascii="Book Antiqua" w:hAnsi="Book Antiqua"/>
        </w:rPr>
        <w:footnoteReference w:id="12"/>
      </w:r>
      <w:r w:rsidR="00DC51E5" w:rsidRPr="003449DA">
        <w:rPr>
          <w:rFonts w:ascii="Book Antiqua" w:hAnsi="Book Antiqua"/>
        </w:rPr>
        <w:t xml:space="preserve"> </w:t>
      </w:r>
      <w:r w:rsidR="003449DA">
        <w:rPr>
          <w:rFonts w:ascii="Book Antiqua" w:hAnsi="Book Antiqua"/>
        </w:rPr>
        <w:t>luego de</w:t>
      </w:r>
      <w:r w:rsidR="00DC51E5" w:rsidRPr="003449DA">
        <w:rPr>
          <w:rFonts w:ascii="Book Antiqua" w:hAnsi="Book Antiqua"/>
        </w:rPr>
        <w:t xml:space="preserve"> “[e]studiar, evaluar, informar, hacer recomendaciones, enmendar y aprobar el </w:t>
      </w:r>
      <w:r w:rsidR="003449DA" w:rsidRPr="003449DA">
        <w:rPr>
          <w:rFonts w:ascii="Book Antiqua" w:hAnsi="Book Antiqua"/>
        </w:rPr>
        <w:t>Plan de Mitigación, Adaptación y Resiliencia al Cambio Climático sometido por el Comité de Expertos y Asesores sobre Cambio Climático</w:t>
      </w:r>
      <w:r w:rsidR="00DC51E5" w:rsidRPr="003449DA">
        <w:rPr>
          <w:rFonts w:ascii="Book Antiqua" w:hAnsi="Book Antiqua"/>
        </w:rPr>
        <w:t>”</w:t>
      </w:r>
      <w:r w:rsidR="00DC51E5" w:rsidRPr="003449DA">
        <w:rPr>
          <w:rStyle w:val="FootnoteReference"/>
          <w:rFonts w:ascii="Book Antiqua" w:hAnsi="Book Antiqua"/>
        </w:rPr>
        <w:footnoteReference w:id="13"/>
      </w:r>
      <w:r w:rsidR="00DC51E5" w:rsidRPr="003449DA">
        <w:rPr>
          <w:rFonts w:ascii="Book Antiqua" w:hAnsi="Book Antiqua"/>
        </w:rPr>
        <w:t>.</w:t>
      </w:r>
      <w:r w:rsidR="00DC51E5" w:rsidRPr="003449DA">
        <w:rPr>
          <w:rFonts w:ascii="Book Antiqua" w:hAnsi="Book Antiqua"/>
          <w:b/>
          <w:bCs/>
        </w:rPr>
        <w:t xml:space="preserve"> </w:t>
      </w:r>
      <w:r w:rsidR="00DC51E5" w:rsidRPr="003449DA">
        <w:rPr>
          <w:rFonts w:ascii="Book Antiqua" w:hAnsi="Book Antiqua"/>
        </w:rPr>
        <w:t>Habiéndose presentado el borrador del Plan en la última Sesión Ordinaria</w:t>
      </w:r>
      <w:r w:rsidR="005B52D9">
        <w:rPr>
          <w:rFonts w:ascii="Book Antiqua" w:hAnsi="Book Antiqua"/>
        </w:rPr>
        <w:t>,</w:t>
      </w:r>
      <w:r w:rsidR="00A16C0C" w:rsidRPr="003449DA">
        <w:rPr>
          <w:rFonts w:ascii="Book Antiqua" w:hAnsi="Book Antiqua"/>
        </w:rPr>
        <w:t xml:space="preserve"> </w:t>
      </w:r>
      <w:r w:rsidR="005B52D9">
        <w:rPr>
          <w:rFonts w:ascii="Book Antiqua" w:hAnsi="Book Antiqua"/>
        </w:rPr>
        <w:t>para el mes de</w:t>
      </w:r>
      <w:r w:rsidR="00A16C0C" w:rsidRPr="003449DA">
        <w:rPr>
          <w:rFonts w:ascii="Book Antiqua" w:hAnsi="Book Antiqua"/>
        </w:rPr>
        <w:t xml:space="preserve"> abril de 2024,</w:t>
      </w:r>
      <w:r w:rsidR="00A16C0C" w:rsidRPr="003449DA">
        <w:rPr>
          <w:rStyle w:val="FootnoteReference"/>
          <w:rFonts w:ascii="Book Antiqua" w:hAnsi="Book Antiqua"/>
        </w:rPr>
        <w:footnoteReference w:id="14"/>
      </w:r>
      <w:r w:rsidR="00A16C0C" w:rsidRPr="003449DA">
        <w:rPr>
          <w:rFonts w:ascii="Book Antiqua" w:hAnsi="Book Antiqua"/>
        </w:rPr>
        <w:t xml:space="preserve"> </w:t>
      </w:r>
      <w:r w:rsidR="00A16C0C" w:rsidRPr="00ED659B">
        <w:rPr>
          <w:rFonts w:ascii="Book Antiqua" w:hAnsi="Book Antiqua"/>
        </w:rPr>
        <w:t xml:space="preserve">la próxima </w:t>
      </w:r>
      <w:r w:rsidR="003449DA" w:rsidRPr="00ED659B">
        <w:rPr>
          <w:rFonts w:ascii="Book Antiqua" w:hAnsi="Book Antiqua"/>
        </w:rPr>
        <w:t>S</w:t>
      </w:r>
      <w:r w:rsidR="00A16C0C" w:rsidRPr="00ED659B">
        <w:rPr>
          <w:rFonts w:ascii="Book Antiqua" w:hAnsi="Book Antiqua"/>
        </w:rPr>
        <w:t xml:space="preserve">esión </w:t>
      </w:r>
      <w:r w:rsidR="003449DA" w:rsidRPr="00ED659B">
        <w:rPr>
          <w:rFonts w:ascii="Book Antiqua" w:hAnsi="Book Antiqua"/>
        </w:rPr>
        <w:t>O</w:t>
      </w:r>
      <w:r w:rsidR="00A16C0C" w:rsidRPr="00ED659B">
        <w:rPr>
          <w:rFonts w:ascii="Book Antiqua" w:hAnsi="Book Antiqua"/>
        </w:rPr>
        <w:t xml:space="preserve">rdinaria a la que hace referencia el texto de la ley lo sería </w:t>
      </w:r>
      <w:r w:rsidR="00AE52A3">
        <w:rPr>
          <w:rFonts w:ascii="Book Antiqua" w:hAnsi="Book Antiqua"/>
        </w:rPr>
        <w:t>la</w:t>
      </w:r>
      <w:r w:rsidR="00A16C0C" w:rsidRPr="00ED659B">
        <w:rPr>
          <w:rFonts w:ascii="Book Antiqua" w:hAnsi="Book Antiqua"/>
        </w:rPr>
        <w:t xml:space="preserve"> Primera Sesión Ordinaria que actualmente transcurre</w:t>
      </w:r>
      <w:r w:rsidR="00A16C0C" w:rsidRPr="00ED659B">
        <w:rPr>
          <w:rStyle w:val="FootnoteReference"/>
          <w:rFonts w:ascii="Book Antiqua" w:hAnsi="Book Antiqua"/>
        </w:rPr>
        <w:footnoteReference w:id="15"/>
      </w:r>
      <w:r w:rsidR="00A16C0C" w:rsidRPr="00ED659B">
        <w:rPr>
          <w:rFonts w:ascii="Book Antiqua" w:hAnsi="Book Antiqua"/>
        </w:rPr>
        <w:t xml:space="preserve">. </w:t>
      </w:r>
    </w:p>
    <w:p w14:paraId="721795FA" w14:textId="14AA0F79" w:rsidR="00387604" w:rsidRDefault="003449DA" w:rsidP="00387604">
      <w:pPr>
        <w:spacing w:after="0" w:line="360" w:lineRule="auto"/>
        <w:ind w:firstLine="720"/>
        <w:jc w:val="both"/>
        <w:rPr>
          <w:rFonts w:ascii="Book Antiqua" w:hAnsi="Book Antiqua"/>
        </w:rPr>
      </w:pPr>
      <w:r w:rsidRPr="00ED659B">
        <w:rPr>
          <w:rFonts w:ascii="Book Antiqua" w:hAnsi="Book Antiqua"/>
        </w:rPr>
        <w:t xml:space="preserve">El documento ante la consideración de la Comisión Conjunta contiene </w:t>
      </w:r>
      <w:r w:rsidR="00ED659B" w:rsidRPr="00ED659B">
        <w:rPr>
          <w:rFonts w:ascii="Book Antiqua" w:hAnsi="Book Antiqua"/>
        </w:rPr>
        <w:t xml:space="preserve">más de setecientas (700) páginas, </w:t>
      </w:r>
      <w:r w:rsidR="00ED659B">
        <w:rPr>
          <w:rFonts w:ascii="Book Antiqua" w:hAnsi="Book Antiqua"/>
        </w:rPr>
        <w:t>con modificaciones a aproximadamente ciento cincuenta y cinco (155) estrategias, de las cuales implementar veinticinco (25) podría tener un costo de sobre mil doscientos millones de dólares ($1,200,000.00).</w:t>
      </w:r>
      <w:r w:rsidR="00ED659B">
        <w:rPr>
          <w:rStyle w:val="FootnoteReference"/>
          <w:rFonts w:ascii="Book Antiqua" w:hAnsi="Book Antiqua"/>
        </w:rPr>
        <w:footnoteReference w:id="16"/>
      </w:r>
      <w:r w:rsidR="00ED659B">
        <w:rPr>
          <w:rFonts w:ascii="Book Antiqua" w:hAnsi="Book Antiqua"/>
        </w:rPr>
        <w:t xml:space="preserve"> Ante este escenario,</w:t>
      </w:r>
      <w:r w:rsidR="005B52D9">
        <w:rPr>
          <w:rFonts w:ascii="Book Antiqua" w:hAnsi="Book Antiqua"/>
        </w:rPr>
        <w:t xml:space="preserve"> </w:t>
      </w:r>
      <w:r w:rsidR="005B52D9">
        <w:rPr>
          <w:rFonts w:ascii="Book Antiqua" w:hAnsi="Book Antiqua"/>
        </w:rPr>
        <w:lastRenderedPageBreak/>
        <w:t>concurrimos con el autor de la medida y el DRNA en cuanto a que</w:t>
      </w:r>
      <w:r w:rsidR="00ED659B">
        <w:rPr>
          <w:rFonts w:ascii="Book Antiqua" w:hAnsi="Book Antiqua"/>
        </w:rPr>
        <w:t xml:space="preserve"> la Asamblea Legislativa requiere de un tiempo prudente para poder evaluar cada una de las estrategias, los cursos de acción sugeridos</w:t>
      </w:r>
      <w:r w:rsidR="005B52D9">
        <w:rPr>
          <w:rFonts w:ascii="Book Antiqua" w:hAnsi="Book Antiqua"/>
        </w:rPr>
        <w:t>,</w:t>
      </w:r>
      <w:r w:rsidR="00ED659B">
        <w:rPr>
          <w:rFonts w:ascii="Book Antiqua" w:hAnsi="Book Antiqua"/>
        </w:rPr>
        <w:t xml:space="preserve"> y la información contenida en el borrador del Plan, no solo con la responsabilidad constitucional que sobre sí recae, sino con el peritaje y el conocimiento necesario para atender cabalmente tal encomienda. Además, tiene la obligación de evaluar si el costo de ejecutar dicho plan va en armonía con las disposiciones de PROMESA</w:t>
      </w:r>
      <w:r w:rsidR="005B52D9">
        <w:rPr>
          <w:rFonts w:ascii="Book Antiqua" w:hAnsi="Book Antiqua"/>
        </w:rPr>
        <w:t xml:space="preserve">, </w:t>
      </w:r>
      <w:r w:rsidR="005B52D9" w:rsidRPr="005B52D9">
        <w:rPr>
          <w:rFonts w:ascii="Book Antiqua" w:hAnsi="Book Antiqua"/>
          <w:i/>
          <w:iCs/>
        </w:rPr>
        <w:t>supra</w:t>
      </w:r>
      <w:r w:rsidR="005B52D9">
        <w:rPr>
          <w:rFonts w:ascii="Book Antiqua" w:hAnsi="Book Antiqua"/>
        </w:rPr>
        <w:t>,</w:t>
      </w:r>
      <w:r w:rsidR="00ED659B">
        <w:rPr>
          <w:rFonts w:ascii="Book Antiqua" w:hAnsi="Book Antiqua"/>
        </w:rPr>
        <w:t xml:space="preserve"> y el Plan Fiscal.</w:t>
      </w:r>
      <w:r w:rsidR="005B52D9">
        <w:rPr>
          <w:rStyle w:val="FootnoteReference"/>
          <w:rFonts w:ascii="Book Antiqua" w:hAnsi="Book Antiqua"/>
        </w:rPr>
        <w:footnoteReference w:id="17"/>
      </w:r>
      <w:r w:rsidR="00ED659B">
        <w:rPr>
          <w:rFonts w:ascii="Book Antiqua" w:hAnsi="Book Antiqua"/>
        </w:rPr>
        <w:t xml:space="preserve"> </w:t>
      </w:r>
      <w:r w:rsidR="005B52D9">
        <w:rPr>
          <w:rFonts w:ascii="Book Antiqua" w:hAnsi="Book Antiqua"/>
        </w:rPr>
        <w:t>De igual modo, se le daría la oportunidad a la junta de Supervisión y Asesoría Fiscal (JSAF) para evaluar el Plan propuesto y emitir los comentarios y observaciones que considere pertinentes, previo a la aprobación de éste.</w:t>
      </w:r>
      <w:r w:rsidR="005B52D9">
        <w:rPr>
          <w:rStyle w:val="FootnoteReference"/>
          <w:rFonts w:ascii="Book Antiqua" w:hAnsi="Book Antiqua"/>
        </w:rPr>
        <w:footnoteReference w:id="18"/>
      </w:r>
      <w:r w:rsidR="001905D4">
        <w:rPr>
          <w:rFonts w:ascii="Book Antiqua" w:hAnsi="Book Antiqua"/>
        </w:rPr>
        <w:t xml:space="preserve"> Es decir, con esta extensión se lograría descargar de un modo más abarcador, ponderado y responsable el deber legislativo, y se le provea a la JSAF, y otras entidades del Gobierno de Puerto Rico, la oportunidad presentar sus comentarios, observaciones y sugerencias para hacer del Plan uno viable y fiscalmente posible y responsable. De esta manera se balancean el atender con urgencia el tema del cambio climático con la responsabilidad de evaluar responsablemente las implicaciones presentes y futuras referente al impacto fiscal, social y de planificación a corto, mediano y largo pla</w:t>
      </w:r>
      <w:r w:rsidR="00833E76">
        <w:rPr>
          <w:rFonts w:ascii="Book Antiqua" w:hAnsi="Book Antiqua"/>
        </w:rPr>
        <w:t xml:space="preserve">zo. </w:t>
      </w:r>
    </w:p>
    <w:p w14:paraId="2F181041" w14:textId="77777777" w:rsidR="00387604" w:rsidRDefault="00387604" w:rsidP="00387604">
      <w:pPr>
        <w:spacing w:after="0" w:line="360" w:lineRule="auto"/>
        <w:ind w:firstLine="720"/>
        <w:jc w:val="both"/>
        <w:rPr>
          <w:rFonts w:ascii="Book Antiqua" w:hAnsi="Book Antiqua"/>
        </w:rPr>
      </w:pPr>
    </w:p>
    <w:p w14:paraId="7691EB6D" w14:textId="4488CA10" w:rsidR="00387604" w:rsidRDefault="00F40AE8" w:rsidP="00387604">
      <w:pPr>
        <w:spacing w:after="0" w:line="240" w:lineRule="auto"/>
        <w:jc w:val="center"/>
        <w:rPr>
          <w:rFonts w:ascii="Book Antiqua" w:hAnsi="Book Antiqua"/>
          <w:b/>
          <w:bCs/>
        </w:rPr>
      </w:pPr>
      <w:r w:rsidRPr="00F40AE8">
        <w:rPr>
          <w:rFonts w:ascii="Book Antiqua" w:hAnsi="Book Antiqua"/>
          <w:b/>
          <w:bCs/>
        </w:rPr>
        <w:t>ENMIENDA RECOMENDADAS</w:t>
      </w:r>
    </w:p>
    <w:p w14:paraId="69972693" w14:textId="77777777" w:rsidR="00387604" w:rsidRPr="00F40AE8" w:rsidRDefault="00387604" w:rsidP="00387604">
      <w:pPr>
        <w:spacing w:after="0" w:line="360" w:lineRule="auto"/>
        <w:jc w:val="center"/>
        <w:rPr>
          <w:rFonts w:ascii="Book Antiqua" w:hAnsi="Book Antiqua"/>
          <w:b/>
          <w:bCs/>
        </w:rPr>
      </w:pPr>
    </w:p>
    <w:p w14:paraId="4E4015DC" w14:textId="7F3164AF" w:rsidR="00387604" w:rsidRDefault="00F40AE8" w:rsidP="00AE52A3">
      <w:pPr>
        <w:spacing w:after="0" w:line="36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 realizaron varias enmiendas al entrillado, las cuales fueron en esencia de </w:t>
      </w:r>
      <w:proofErr w:type="spellStart"/>
      <w:r>
        <w:rPr>
          <w:rFonts w:ascii="Book Antiqua" w:hAnsi="Book Antiqua"/>
        </w:rPr>
        <w:t>t</w:t>
      </w:r>
      <w:r w:rsidR="00387604">
        <w:rPr>
          <w:rFonts w:ascii="Book Antiqua" w:hAnsi="Book Antiqua"/>
        </w:rPr>
        <w:t>é</w:t>
      </w:r>
      <w:r>
        <w:rPr>
          <w:rFonts w:ascii="Book Antiqua" w:hAnsi="Book Antiqua"/>
        </w:rPr>
        <w:t>nica</w:t>
      </w:r>
      <w:proofErr w:type="spellEnd"/>
      <w:r>
        <w:rPr>
          <w:rFonts w:ascii="Book Antiqua" w:hAnsi="Book Antiqua"/>
        </w:rPr>
        <w:t xml:space="preserve"> legislativa, para mejorar el documento. De igual manera, se reenumeraron incisos dentro de la pieza legislativa original, y se cambió el texto del título de la medida para reflejar que se están enmendando los Artículos 15 y 16 de la Ley. </w:t>
      </w:r>
    </w:p>
    <w:p w14:paraId="51E0C0D3" w14:textId="4EBC99AC" w:rsidR="00387604" w:rsidRDefault="00833E76" w:rsidP="00387604">
      <w:pPr>
        <w:spacing w:after="0" w:line="240" w:lineRule="auto"/>
        <w:jc w:val="center"/>
        <w:rPr>
          <w:rFonts w:ascii="Book Antiqua" w:hAnsi="Book Antiqua"/>
          <w:b/>
          <w:bCs/>
        </w:rPr>
      </w:pPr>
      <w:r w:rsidRPr="00833E76">
        <w:rPr>
          <w:rFonts w:ascii="Book Antiqua" w:hAnsi="Book Antiqua"/>
          <w:b/>
          <w:bCs/>
        </w:rPr>
        <w:lastRenderedPageBreak/>
        <w:t>IMPACTO FISCAL</w:t>
      </w:r>
    </w:p>
    <w:p w14:paraId="3494DE45" w14:textId="77777777" w:rsidR="00387604" w:rsidRDefault="00387604" w:rsidP="00387604">
      <w:pPr>
        <w:spacing w:after="0" w:line="240" w:lineRule="auto"/>
        <w:jc w:val="center"/>
        <w:rPr>
          <w:rFonts w:ascii="Book Antiqua" w:hAnsi="Book Antiqua"/>
          <w:b/>
          <w:bCs/>
        </w:rPr>
      </w:pPr>
    </w:p>
    <w:p w14:paraId="3ADC8C9E" w14:textId="4E1FC42C" w:rsidR="00F40AE8" w:rsidRPr="00F40AE8" w:rsidRDefault="00833E76" w:rsidP="00387604">
      <w:pPr>
        <w:spacing w:line="360" w:lineRule="auto"/>
        <w:jc w:val="both"/>
        <w:rPr>
          <w:rFonts w:ascii="Book Antiqua" w:hAnsi="Book Antiqua"/>
          <w:lang w:val="es-US"/>
        </w:rPr>
      </w:pPr>
      <w:r>
        <w:rPr>
          <w:rFonts w:ascii="Book Antiqua" w:hAnsi="Book Antiqua"/>
          <w:b/>
          <w:bCs/>
        </w:rPr>
        <w:tab/>
      </w:r>
      <w:r>
        <w:rPr>
          <w:rFonts w:ascii="Book Antiqua" w:hAnsi="Book Antiqua"/>
        </w:rPr>
        <w:t>Luego del análisis</w:t>
      </w:r>
      <w:r w:rsidR="00F40AE8">
        <w:rPr>
          <w:rFonts w:ascii="Book Antiqua" w:hAnsi="Book Antiqua"/>
        </w:rPr>
        <w:t xml:space="preserve"> efectuado por esta </w:t>
      </w:r>
      <w:r w:rsidR="00387604">
        <w:rPr>
          <w:rFonts w:ascii="Book Antiqua" w:hAnsi="Book Antiqua"/>
        </w:rPr>
        <w:t>C</w:t>
      </w:r>
      <w:r w:rsidR="00F40AE8">
        <w:rPr>
          <w:rFonts w:ascii="Book Antiqua" w:hAnsi="Book Antiqua"/>
        </w:rPr>
        <w:t>omisión, de no aprobarse el P. de la C. 556, podría tener un impacto fiscal de sobre mil doscientos millones de dólares ($1,200,000.00)</w:t>
      </w:r>
      <w:r w:rsidR="00387604">
        <w:rPr>
          <w:rFonts w:ascii="Book Antiqua" w:hAnsi="Book Antiqua"/>
        </w:rPr>
        <w:t>, según surgió de las Vistas de Transición.</w:t>
      </w:r>
      <w:r w:rsidR="00387604">
        <w:rPr>
          <w:rStyle w:val="FootnoteReference"/>
          <w:rFonts w:ascii="Book Antiqua" w:hAnsi="Book Antiqua"/>
        </w:rPr>
        <w:footnoteReference w:id="19"/>
      </w:r>
    </w:p>
    <w:p w14:paraId="6AA413CC" w14:textId="18120C86" w:rsidR="00A54AF0" w:rsidRPr="00A300A9" w:rsidRDefault="00A54AF0" w:rsidP="001905D4">
      <w:pPr>
        <w:keepNext/>
        <w:spacing w:after="0" w:line="276" w:lineRule="auto"/>
        <w:jc w:val="center"/>
        <w:outlineLvl w:val="2"/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spacing w:val="-3"/>
          <w:kern w:val="0"/>
          <w:lang w:val="es-ES" w:eastAsia="x-none"/>
          <w14:ligatures w14:val="none"/>
        </w:rPr>
        <w:t>CONCLUSIÓN</w:t>
      </w:r>
    </w:p>
    <w:p w14:paraId="339877AA" w14:textId="77777777" w:rsidR="00A54AF0" w:rsidRPr="00A300A9" w:rsidRDefault="00A54AF0" w:rsidP="001905D4">
      <w:pPr>
        <w:spacing w:after="0" w:line="276" w:lineRule="auto"/>
        <w:jc w:val="both"/>
        <w:rPr>
          <w:rFonts w:ascii="Book Antiqua" w:eastAsia="Times New Roman" w:hAnsi="Book Antiqua" w:cs="Times New Roman"/>
          <w:kern w:val="0"/>
          <w14:ligatures w14:val="none"/>
        </w:rPr>
      </w:pPr>
    </w:p>
    <w:p w14:paraId="7B338694" w14:textId="5E5E7840" w:rsidR="00A54AF0" w:rsidRPr="00A300A9" w:rsidRDefault="00A54AF0" w:rsidP="001D1083">
      <w:pPr>
        <w:spacing w:after="0" w:line="360" w:lineRule="auto"/>
        <w:ind w:firstLine="720"/>
        <w:jc w:val="both"/>
        <w:rPr>
          <w:rFonts w:ascii="Book Antiqua" w:eastAsia="Times New Roman" w:hAnsi="Book Antiqua" w:cs="Times New Roman"/>
          <w:kern w:val="0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Por los fundamentos antes expuestos, la </w:t>
      </w:r>
      <w:r w:rsidRPr="00A300A9">
        <w:rPr>
          <w:rFonts w:ascii="Book Antiqua" w:eastAsia="Times New Roman" w:hAnsi="Book Antiqua" w:cs="Times New Roman"/>
          <w:kern w:val="0"/>
          <w:lang w:val="es-ES"/>
          <w14:ligatures w14:val="none"/>
        </w:rPr>
        <w:t>Comisión de Reorganización, Eficiencia y Diligencia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somete el presente </w:t>
      </w:r>
      <w:r w:rsidRPr="00A300A9">
        <w:rPr>
          <w:rFonts w:ascii="Book Antiqua" w:eastAsia="Times New Roman" w:hAnsi="Book Antiqua" w:cs="Times New Roman"/>
          <w:b/>
          <w:bCs/>
          <w:kern w:val="0"/>
          <w:u w:val="single"/>
          <w14:ligatures w14:val="none"/>
        </w:rPr>
        <w:t>Informe Positivo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en el que </w:t>
      </w:r>
      <w:r w:rsidRPr="00A300A9">
        <w:rPr>
          <w:rFonts w:ascii="Book Antiqua" w:eastAsia="Times New Roman" w:hAnsi="Book Antiqua" w:cs="Times New Roman"/>
          <w:kern w:val="0"/>
          <w:u w:val="single"/>
          <w14:ligatures w14:val="none"/>
        </w:rPr>
        <w:t>recomienda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a esta Cámara de Representantes que </w:t>
      </w:r>
      <w:r w:rsidRPr="00A300A9">
        <w:rPr>
          <w:rFonts w:ascii="Book Antiqua" w:eastAsia="Times New Roman" w:hAnsi="Book Antiqua" w:cs="Times New Roman"/>
          <w:kern w:val="0"/>
          <w:u w:val="single"/>
          <w14:ligatures w14:val="none"/>
        </w:rPr>
        <w:t>apruebe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 el Proyecto de la Cámara </w:t>
      </w:r>
      <w:r w:rsidR="00DC51E5">
        <w:rPr>
          <w:rFonts w:ascii="Book Antiqua" w:eastAsia="Times New Roman" w:hAnsi="Book Antiqua" w:cs="Times New Roman"/>
          <w:kern w:val="0"/>
          <w14:ligatures w14:val="none"/>
        </w:rPr>
        <w:t>556</w:t>
      </w:r>
      <w:r w:rsidRPr="00A300A9">
        <w:rPr>
          <w:rFonts w:ascii="Book Antiqua" w:eastAsia="Times New Roman" w:hAnsi="Book Antiqua" w:cs="Times New Roman"/>
          <w:kern w:val="0"/>
          <w14:ligatures w14:val="none"/>
        </w:rPr>
        <w:t xml:space="preserve">, </w:t>
      </w:r>
      <w:r w:rsidR="00DC51E5" w:rsidRPr="00DC51E5">
        <w:rPr>
          <w:rFonts w:ascii="Book Antiqua" w:eastAsia="Times New Roman" w:hAnsi="Book Antiqua" w:cs="Times New Roman"/>
          <w:kern w:val="0"/>
          <w14:ligatures w14:val="none"/>
        </w:rPr>
        <w:t xml:space="preserve">con enmiendas </w:t>
      </w:r>
      <w:r w:rsidR="00DC51E5">
        <w:rPr>
          <w:rFonts w:ascii="Book Antiqua" w:eastAsia="Times New Roman" w:hAnsi="Book Antiqua" w:cs="Times New Roman"/>
          <w:kern w:val="0"/>
          <w14:ligatures w14:val="none"/>
        </w:rPr>
        <w:t xml:space="preserve">en el </w:t>
      </w:r>
      <w:r w:rsidR="00DC51E5" w:rsidRPr="00DC51E5">
        <w:rPr>
          <w:rFonts w:ascii="Book Antiqua" w:eastAsia="Times New Roman" w:hAnsi="Book Antiqua" w:cs="Times New Roman"/>
          <w:kern w:val="0"/>
          <w14:ligatures w14:val="none"/>
        </w:rPr>
        <w:t>entrillado.</w:t>
      </w:r>
    </w:p>
    <w:p w14:paraId="02BEC319" w14:textId="77777777" w:rsidR="00A54AF0" w:rsidRPr="00A300A9" w:rsidRDefault="00A54AF0" w:rsidP="001905D4">
      <w:pPr>
        <w:spacing w:after="0" w:line="276" w:lineRule="auto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</w:p>
    <w:p w14:paraId="6B4F35C6" w14:textId="77777777" w:rsidR="00A54AF0" w:rsidRPr="00A300A9" w:rsidRDefault="00A54AF0" w:rsidP="001905D4">
      <w:pPr>
        <w:spacing w:after="0" w:line="276" w:lineRule="auto"/>
        <w:ind w:firstLine="720"/>
        <w:rPr>
          <w:rFonts w:ascii="Book Antiqua" w:eastAsia="Times New Roman" w:hAnsi="Book Antiqua" w:cs="Times New Roman"/>
          <w:kern w:val="0"/>
          <w:lang w:eastAsia="x-none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:lang w:eastAsia="x-none"/>
          <w14:ligatures w14:val="none"/>
        </w:rPr>
        <w:t>Respetuosamente sometido,</w:t>
      </w:r>
    </w:p>
    <w:p w14:paraId="58CEE6C4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51D10608" w14:textId="77777777" w:rsidR="00A54AF0" w:rsidRPr="00A300A9" w:rsidRDefault="00A54AF0" w:rsidP="00A54AF0">
      <w:pPr>
        <w:spacing w:after="0" w:line="240" w:lineRule="auto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32D798A3" w14:textId="77777777" w:rsidR="00647DED" w:rsidRPr="00A300A9" w:rsidRDefault="00647DED" w:rsidP="00A54AF0">
      <w:pPr>
        <w:spacing w:after="0" w:line="240" w:lineRule="auto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</w:p>
    <w:p w14:paraId="5AE1325A" w14:textId="30AC28A0" w:rsidR="00A54AF0" w:rsidRPr="00A300A9" w:rsidRDefault="00A54AF0" w:rsidP="00AC29DB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</w:pPr>
      <w:r w:rsidRPr="00A300A9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 xml:space="preserve">Hon. </w:t>
      </w:r>
      <w:proofErr w:type="spellStart"/>
      <w:r w:rsidR="00B74FDC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>Victor</w:t>
      </w:r>
      <w:proofErr w:type="spellEnd"/>
      <w:r w:rsidR="00B74FDC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 xml:space="preserve"> Parés Otero</w:t>
      </w:r>
      <w:r w:rsidRPr="00A300A9">
        <w:rPr>
          <w:rFonts w:ascii="Book Antiqua" w:eastAsia="Times New Roman" w:hAnsi="Book Antiqua" w:cs="Times New Roman"/>
          <w:b/>
          <w:bCs/>
          <w:kern w:val="0"/>
          <w:sz w:val="22"/>
          <w:szCs w:val="22"/>
          <w:lang w:eastAsia="x-none"/>
          <w14:ligatures w14:val="none"/>
        </w:rPr>
        <w:t xml:space="preserve"> </w:t>
      </w:r>
    </w:p>
    <w:p w14:paraId="0C55918C" w14:textId="266009D0" w:rsidR="00A54AF0" w:rsidRPr="00A300A9" w:rsidRDefault="00B74FDC" w:rsidP="00AC29DB">
      <w:pPr>
        <w:spacing w:after="0" w:line="240" w:lineRule="auto"/>
        <w:jc w:val="both"/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</w:pPr>
      <w:proofErr w:type="gramStart"/>
      <w:r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>Vice-</w:t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>Presidente</w:t>
      </w:r>
      <w:proofErr w:type="gramEnd"/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  <w:r w:rsidR="00A54AF0" w:rsidRPr="00A300A9">
        <w:rPr>
          <w:rFonts w:ascii="Book Antiqua" w:eastAsia="Times New Roman" w:hAnsi="Book Antiqua" w:cs="Times New Roman"/>
          <w:i/>
          <w:iCs/>
          <w:kern w:val="0"/>
          <w:sz w:val="22"/>
          <w:szCs w:val="22"/>
          <w:lang w:eastAsia="x-none"/>
          <w14:ligatures w14:val="none"/>
        </w:rPr>
        <w:tab/>
      </w:r>
    </w:p>
    <w:p w14:paraId="60E9B1BB" w14:textId="047D4680" w:rsidR="00A54AF0" w:rsidRPr="00A300A9" w:rsidRDefault="00A54AF0" w:rsidP="00AC29DB">
      <w:pPr>
        <w:spacing w:after="0" w:line="240" w:lineRule="auto"/>
        <w:ind w:left="5760" w:hanging="5760"/>
        <w:jc w:val="both"/>
        <w:rPr>
          <w:rFonts w:ascii="Book Antiqua" w:eastAsia="Times New Roman" w:hAnsi="Book Antiqua" w:cs="Times New Roman"/>
          <w:kern w:val="0"/>
          <w:sz w:val="22"/>
          <w:szCs w:val="22"/>
          <w:lang w:eastAsia="x-none"/>
          <w14:ligatures w14:val="none"/>
        </w:rPr>
      </w:pPr>
      <w:r w:rsidRPr="00A300A9">
        <w:rPr>
          <w:rFonts w:ascii="Book Antiqua" w:eastAsia="Times New Roman" w:hAnsi="Book Antiqua" w:cs="Times New Roman"/>
          <w:kern w:val="0"/>
          <w:sz w:val="22"/>
          <w:szCs w:val="22"/>
          <w:lang w:val="es-ES" w:eastAsia="x-none"/>
          <w14:ligatures w14:val="none"/>
        </w:rPr>
        <w:t>Comisión de Reorganización Eficiencia y Diligencia</w:t>
      </w:r>
    </w:p>
    <w:sectPr w:rsidR="00A54AF0" w:rsidRPr="00A300A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901A6" w14:textId="77777777" w:rsidR="004930F9" w:rsidRDefault="004930F9" w:rsidP="00A54AF0">
      <w:pPr>
        <w:spacing w:after="0" w:line="240" w:lineRule="auto"/>
      </w:pPr>
      <w:r>
        <w:separator/>
      </w:r>
    </w:p>
  </w:endnote>
  <w:endnote w:type="continuationSeparator" w:id="0">
    <w:p w14:paraId="59563EC8" w14:textId="77777777" w:rsidR="004930F9" w:rsidRDefault="004930F9" w:rsidP="00A5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51451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9CC3E1" w14:textId="26FDF672" w:rsidR="00E97F9B" w:rsidRDefault="00E97F9B">
        <w:pPr>
          <w:pStyle w:val="Footer"/>
          <w:jc w:val="center"/>
        </w:pPr>
        <w:r w:rsidRPr="009D7122">
          <w:rPr>
            <w:rFonts w:ascii="Book Antiqua" w:hAnsi="Book Antiqua"/>
          </w:rPr>
          <w:fldChar w:fldCharType="begin"/>
        </w:r>
        <w:r w:rsidRPr="009D7122">
          <w:rPr>
            <w:rFonts w:ascii="Book Antiqua" w:hAnsi="Book Antiqua"/>
          </w:rPr>
          <w:instrText xml:space="preserve"> PAGE   \* MERGEFORMAT </w:instrText>
        </w:r>
        <w:r w:rsidRPr="009D7122">
          <w:rPr>
            <w:rFonts w:ascii="Book Antiqua" w:hAnsi="Book Antiqua"/>
          </w:rPr>
          <w:fldChar w:fldCharType="separate"/>
        </w:r>
        <w:r w:rsidRPr="009D7122">
          <w:rPr>
            <w:rFonts w:ascii="Book Antiqua" w:hAnsi="Book Antiqua"/>
            <w:noProof/>
          </w:rPr>
          <w:t>2</w:t>
        </w:r>
        <w:r w:rsidRPr="009D7122">
          <w:rPr>
            <w:rFonts w:ascii="Book Antiqua" w:hAnsi="Book Antiqua"/>
            <w:noProof/>
          </w:rPr>
          <w:fldChar w:fldCharType="end"/>
        </w:r>
      </w:p>
    </w:sdtContent>
  </w:sdt>
  <w:p w14:paraId="1A90F815" w14:textId="77777777" w:rsidR="00E97F9B" w:rsidRDefault="00E97F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46670" w14:textId="77777777" w:rsidR="004930F9" w:rsidRDefault="004930F9" w:rsidP="00A54AF0">
      <w:pPr>
        <w:spacing w:after="0" w:line="240" w:lineRule="auto"/>
      </w:pPr>
      <w:r>
        <w:separator/>
      </w:r>
    </w:p>
  </w:footnote>
  <w:footnote w:type="continuationSeparator" w:id="0">
    <w:p w14:paraId="240E2714" w14:textId="77777777" w:rsidR="004930F9" w:rsidRDefault="004930F9" w:rsidP="00A54AF0">
      <w:pPr>
        <w:spacing w:after="0" w:line="240" w:lineRule="auto"/>
      </w:pPr>
      <w:r>
        <w:continuationSeparator/>
      </w:r>
    </w:p>
  </w:footnote>
  <w:footnote w:id="1">
    <w:p w14:paraId="672D7309" w14:textId="620AF392" w:rsidR="00BA57BB" w:rsidRPr="00BA57BB" w:rsidRDefault="00BA57BB" w:rsidP="00387604">
      <w:pPr>
        <w:pStyle w:val="FootnoteText"/>
        <w:spacing w:line="276" w:lineRule="auto"/>
        <w:ind w:left="720" w:hanging="720"/>
        <w:jc w:val="both"/>
        <w:rPr>
          <w:rFonts w:ascii="Book Antiqua" w:hAnsi="Book Antiqua"/>
        </w:rPr>
      </w:pPr>
      <w:r w:rsidRPr="00BA57BB">
        <w:rPr>
          <w:rStyle w:val="FootnoteReference"/>
          <w:rFonts w:ascii="Book Antiqua" w:hAnsi="Book Antiqua"/>
        </w:rPr>
        <w:footnoteRef/>
      </w:r>
      <w:r w:rsidRPr="00BA57BB">
        <w:rPr>
          <w:rFonts w:ascii="Book Antiqua" w:hAnsi="Book Antiqua"/>
        </w:rPr>
        <w:t xml:space="preserve"> </w:t>
      </w:r>
      <w:r w:rsidRPr="00BA57BB">
        <w:rPr>
          <w:rFonts w:ascii="Book Antiqua" w:hAnsi="Book Antiqua"/>
        </w:rPr>
        <w:tab/>
      </w:r>
      <w:r w:rsidR="000C4A36">
        <w:rPr>
          <w:rFonts w:ascii="Book Antiqua" w:hAnsi="Book Antiqua"/>
        </w:rPr>
        <w:t>Ley 33-2019, según enmendada, conocida como</w:t>
      </w:r>
      <w:r w:rsidR="000C4A36" w:rsidRPr="000C4A36">
        <w:rPr>
          <w:rFonts w:ascii="Book Antiqua" w:hAnsi="Book Antiqua"/>
        </w:rPr>
        <w:t xml:space="preserve"> </w:t>
      </w:r>
      <w:r w:rsidR="000C4A36" w:rsidRPr="000C4A36">
        <w:rPr>
          <w:rFonts w:ascii="Book Antiqua" w:hAnsi="Book Antiqua"/>
          <w:i/>
          <w:iCs/>
        </w:rPr>
        <w:t>Ley de Mitigación, Adaptación y Resiliencia al Cambio Climático de Puerto Rico</w:t>
      </w:r>
      <w:r w:rsidR="000C4A36">
        <w:rPr>
          <w:rFonts w:ascii="Book Antiqua" w:hAnsi="Book Antiqua"/>
        </w:rPr>
        <w:t xml:space="preserve">, </w:t>
      </w:r>
      <w:r w:rsidR="0006026E" w:rsidRPr="0006026E">
        <w:rPr>
          <w:rFonts w:ascii="Book Antiqua" w:hAnsi="Book Antiqua"/>
        </w:rPr>
        <w:t xml:space="preserve">12 LPRA </w:t>
      </w:r>
      <w:r w:rsidR="00000D1C">
        <w:rPr>
          <w:rFonts w:ascii="Book Antiqua" w:hAnsi="Book Antiqua"/>
        </w:rPr>
        <w:t>sec.</w:t>
      </w:r>
      <w:r w:rsidR="0006026E" w:rsidRPr="0006026E">
        <w:rPr>
          <w:rFonts w:ascii="Book Antiqua" w:hAnsi="Book Antiqua"/>
        </w:rPr>
        <w:t xml:space="preserve"> 8011 </w:t>
      </w:r>
      <w:r w:rsidR="0006026E" w:rsidRPr="0006026E">
        <w:rPr>
          <w:rFonts w:ascii="Book Antiqua" w:hAnsi="Book Antiqua"/>
          <w:i/>
          <w:iCs/>
        </w:rPr>
        <w:t>et seq</w:t>
      </w:r>
      <w:r w:rsidR="0006026E" w:rsidRPr="0006026E">
        <w:rPr>
          <w:rFonts w:ascii="Book Antiqua" w:hAnsi="Book Antiqua"/>
        </w:rPr>
        <w:t>.</w:t>
      </w:r>
    </w:p>
  </w:footnote>
  <w:footnote w:id="2">
    <w:p w14:paraId="2DA38575" w14:textId="1536CA39" w:rsidR="00BA57BB" w:rsidRPr="003478F7" w:rsidRDefault="00BA57BB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3478F7">
        <w:rPr>
          <w:rStyle w:val="FootnoteReference"/>
          <w:rFonts w:ascii="Book Antiqua" w:hAnsi="Book Antiqua"/>
        </w:rPr>
        <w:footnoteRef/>
      </w:r>
      <w:r w:rsidRPr="003478F7">
        <w:rPr>
          <w:rFonts w:ascii="Book Antiqua" w:hAnsi="Book Antiqua"/>
        </w:rPr>
        <w:t xml:space="preserve"> </w:t>
      </w:r>
      <w:r w:rsidRPr="003478F7">
        <w:rPr>
          <w:rFonts w:ascii="Book Antiqua" w:hAnsi="Book Antiqua"/>
        </w:rPr>
        <w:tab/>
      </w:r>
      <w:r w:rsidR="00233A82" w:rsidRPr="003478F7">
        <w:rPr>
          <w:rFonts w:ascii="Book Antiqua" w:hAnsi="Book Antiqua"/>
        </w:rPr>
        <w:t xml:space="preserve">Departamento de Recursos Naturales y Ambientales, </w:t>
      </w:r>
      <w:r w:rsidR="00233A82" w:rsidRPr="00000D1C">
        <w:rPr>
          <w:rFonts w:ascii="Book Antiqua" w:hAnsi="Book Antiqua"/>
          <w:i/>
          <w:iCs/>
        </w:rPr>
        <w:t>Memorial Explicativo P. de la C. 556</w:t>
      </w:r>
      <w:r w:rsidR="00233A82" w:rsidRPr="003478F7">
        <w:rPr>
          <w:rFonts w:ascii="Book Antiqua" w:hAnsi="Book Antiqua"/>
        </w:rPr>
        <w:t xml:space="preserve">, págs. 1-2  (28 de abril de 2025). </w:t>
      </w:r>
    </w:p>
  </w:footnote>
  <w:footnote w:id="3">
    <w:p w14:paraId="7214B6BE" w14:textId="381B25F6" w:rsidR="006D4249" w:rsidRPr="0006026E" w:rsidRDefault="006D4249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3478F7">
        <w:rPr>
          <w:rStyle w:val="FootnoteReference"/>
          <w:rFonts w:ascii="Book Antiqua" w:hAnsi="Book Antiqua"/>
        </w:rPr>
        <w:footnoteRef/>
      </w:r>
      <w:r w:rsidRPr="0006026E">
        <w:rPr>
          <w:rFonts w:ascii="Book Antiqua" w:hAnsi="Book Antiqua"/>
        </w:rPr>
        <w:t xml:space="preserve"> </w:t>
      </w:r>
      <w:r w:rsidR="001F000A" w:rsidRPr="0006026E">
        <w:rPr>
          <w:rFonts w:ascii="Book Antiqua" w:hAnsi="Book Antiqua"/>
        </w:rPr>
        <w:tab/>
      </w:r>
      <w:r w:rsidR="001F000A" w:rsidRPr="0006026E">
        <w:rPr>
          <w:rFonts w:ascii="Book Antiqua" w:hAnsi="Book Antiqua"/>
          <w:i/>
          <w:iCs/>
        </w:rPr>
        <w:t>Id</w:t>
      </w:r>
      <w:r w:rsidR="001F000A" w:rsidRPr="0006026E">
        <w:rPr>
          <w:rFonts w:ascii="Book Antiqua" w:hAnsi="Book Antiqua"/>
        </w:rPr>
        <w:t>.,</w:t>
      </w:r>
      <w:r w:rsidR="0006026E">
        <w:rPr>
          <w:rFonts w:ascii="Book Antiqua" w:hAnsi="Book Antiqua"/>
        </w:rPr>
        <w:t xml:space="preserve"> </w:t>
      </w:r>
      <w:r w:rsidR="001F000A" w:rsidRPr="0006026E">
        <w:rPr>
          <w:rFonts w:ascii="Book Antiqua" w:hAnsi="Book Antiqua"/>
        </w:rPr>
        <w:t>pág. 2.</w:t>
      </w:r>
    </w:p>
  </w:footnote>
  <w:footnote w:id="4">
    <w:p w14:paraId="17ACCA2B" w14:textId="14F69EDB" w:rsidR="006D4249" w:rsidRPr="0006026E" w:rsidRDefault="006D4249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3478F7">
        <w:rPr>
          <w:rStyle w:val="FootnoteReference"/>
          <w:rFonts w:ascii="Book Antiqua" w:hAnsi="Book Antiqua"/>
        </w:rPr>
        <w:footnoteRef/>
      </w:r>
      <w:r w:rsidRPr="0006026E">
        <w:rPr>
          <w:rFonts w:ascii="Book Antiqua" w:hAnsi="Book Antiqua"/>
        </w:rPr>
        <w:t xml:space="preserve"> </w:t>
      </w:r>
      <w:r w:rsidR="003478F7" w:rsidRPr="0006026E">
        <w:rPr>
          <w:rFonts w:ascii="Book Antiqua" w:hAnsi="Book Antiqua"/>
        </w:rPr>
        <w:tab/>
      </w:r>
      <w:r w:rsidR="003478F7" w:rsidRPr="0006026E">
        <w:rPr>
          <w:rFonts w:ascii="Book Antiqua" w:hAnsi="Book Antiqua"/>
          <w:i/>
          <w:iCs/>
        </w:rPr>
        <w:t>Id</w:t>
      </w:r>
      <w:r w:rsidR="003478F7" w:rsidRPr="0006026E">
        <w:rPr>
          <w:rFonts w:ascii="Book Antiqua" w:hAnsi="Book Antiqua"/>
        </w:rPr>
        <w:t>.</w:t>
      </w:r>
    </w:p>
  </w:footnote>
  <w:footnote w:id="5">
    <w:p w14:paraId="3AD47126" w14:textId="4F8F7BD8" w:rsidR="001F000A" w:rsidRPr="0006026E" w:rsidRDefault="001F000A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06026E">
        <w:rPr>
          <w:rStyle w:val="FootnoteReference"/>
          <w:rFonts w:ascii="Book Antiqua" w:hAnsi="Book Antiqua"/>
        </w:rPr>
        <w:footnoteRef/>
      </w:r>
      <w:r w:rsidRPr="0006026E">
        <w:rPr>
          <w:rFonts w:ascii="Book Antiqua" w:hAnsi="Book Antiqua"/>
        </w:rPr>
        <w:t xml:space="preserve"> </w:t>
      </w:r>
      <w:r w:rsidR="00A300A9" w:rsidRPr="0006026E">
        <w:rPr>
          <w:rFonts w:ascii="Book Antiqua" w:hAnsi="Book Antiqua"/>
        </w:rPr>
        <w:tab/>
      </w:r>
      <w:r w:rsidR="00A300A9" w:rsidRPr="0006026E">
        <w:rPr>
          <w:rFonts w:ascii="Book Antiqua" w:hAnsi="Book Antiqua"/>
          <w:i/>
          <w:iCs/>
        </w:rPr>
        <w:t>Id</w:t>
      </w:r>
      <w:r w:rsidR="00A300A9" w:rsidRPr="0006026E">
        <w:rPr>
          <w:rFonts w:ascii="Book Antiqua" w:hAnsi="Book Antiqua"/>
        </w:rPr>
        <w:t xml:space="preserve">., págs. 2-4. </w:t>
      </w:r>
    </w:p>
  </w:footnote>
  <w:footnote w:id="6">
    <w:p w14:paraId="4B31053A" w14:textId="7B7D9D7D" w:rsidR="001F000A" w:rsidRPr="00833E76" w:rsidRDefault="001F000A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06026E">
        <w:rPr>
          <w:rStyle w:val="FootnoteReference"/>
          <w:rFonts w:ascii="Book Antiqua" w:hAnsi="Book Antiqua"/>
        </w:rPr>
        <w:footnoteRef/>
      </w:r>
      <w:r w:rsidRPr="00833E76">
        <w:rPr>
          <w:rFonts w:ascii="Book Antiqua" w:hAnsi="Book Antiqua"/>
        </w:rPr>
        <w:t xml:space="preserve"> </w:t>
      </w:r>
      <w:r w:rsidR="00A300A9" w:rsidRPr="00833E76">
        <w:rPr>
          <w:rFonts w:ascii="Book Antiqua" w:hAnsi="Book Antiqua"/>
        </w:rPr>
        <w:tab/>
      </w:r>
      <w:r w:rsidR="00A300A9" w:rsidRPr="00833E76">
        <w:rPr>
          <w:rFonts w:ascii="Book Antiqua" w:hAnsi="Book Antiqua"/>
          <w:i/>
          <w:iCs/>
        </w:rPr>
        <w:t>Id</w:t>
      </w:r>
      <w:r w:rsidR="00A300A9" w:rsidRPr="00833E76">
        <w:rPr>
          <w:rFonts w:ascii="Book Antiqua" w:hAnsi="Book Antiqua"/>
        </w:rPr>
        <w:t>., pág. 4.</w:t>
      </w:r>
    </w:p>
  </w:footnote>
  <w:footnote w:id="7">
    <w:p w14:paraId="2F7AC315" w14:textId="3FDB25C4" w:rsidR="0082129B" w:rsidRPr="0006026E" w:rsidRDefault="0082129B" w:rsidP="00387604">
      <w:pPr>
        <w:pStyle w:val="FootnoteText"/>
        <w:spacing w:line="276" w:lineRule="auto"/>
        <w:ind w:left="720" w:hanging="720"/>
        <w:rPr>
          <w:rFonts w:ascii="Book Antiqua" w:hAnsi="Book Antiqua"/>
          <w:lang w:val="en-US"/>
        </w:rPr>
      </w:pPr>
      <w:r w:rsidRPr="0006026E">
        <w:rPr>
          <w:rStyle w:val="FootnoteReference"/>
          <w:rFonts w:ascii="Book Antiqua" w:hAnsi="Book Antiqua"/>
        </w:rPr>
        <w:footnoteRef/>
      </w:r>
      <w:r w:rsidRPr="0006026E">
        <w:rPr>
          <w:rFonts w:ascii="Book Antiqua" w:hAnsi="Book Antiqua"/>
          <w:lang w:val="en-US"/>
        </w:rPr>
        <w:t xml:space="preserve">  </w:t>
      </w:r>
      <w:r w:rsidR="00A300A9" w:rsidRPr="0006026E">
        <w:rPr>
          <w:rFonts w:ascii="Book Antiqua" w:hAnsi="Book Antiqua"/>
          <w:lang w:val="en-US"/>
        </w:rPr>
        <w:tab/>
      </w:r>
      <w:r w:rsidR="00000D1C" w:rsidRPr="00833E76">
        <w:rPr>
          <w:rFonts w:ascii="Book Antiqua" w:hAnsi="Book Antiqua" w:cs="Arial"/>
          <w:i/>
          <w:iCs/>
          <w:color w:val="202122"/>
          <w:shd w:val="clear" w:color="auto" w:fill="FFFFFF"/>
          <w:lang w:val="en-US"/>
        </w:rPr>
        <w:t>Puerto Rico Oversight, Management, and Economic Stability Act</w:t>
      </w:r>
      <w:r w:rsidR="00000D1C">
        <w:rPr>
          <w:rFonts w:ascii="Book Antiqua" w:hAnsi="Book Antiqua" w:cs="Arial"/>
          <w:color w:val="202122"/>
          <w:shd w:val="clear" w:color="auto" w:fill="FFFFFF"/>
          <w:lang w:val="en-US"/>
        </w:rPr>
        <w:t xml:space="preserve">, </w:t>
      </w:r>
      <w:r w:rsidR="005B52D9" w:rsidRPr="0006026E">
        <w:rPr>
          <w:rFonts w:ascii="Book Antiqua" w:hAnsi="Book Antiqua" w:cs="Arial"/>
          <w:color w:val="202122"/>
          <w:shd w:val="clear" w:color="auto" w:fill="FFFFFF"/>
          <w:lang w:val="en-US"/>
        </w:rPr>
        <w:t xml:space="preserve">48 USC </w:t>
      </w:r>
      <w:r w:rsidR="00000D1C">
        <w:rPr>
          <w:rFonts w:ascii="Book Antiqua" w:hAnsi="Book Antiqua" w:cs="Arial"/>
          <w:color w:val="202122"/>
          <w:shd w:val="clear" w:color="auto" w:fill="FFFFFF"/>
          <w:lang w:val="en-US"/>
        </w:rPr>
        <w:t>sec.</w:t>
      </w:r>
      <w:r w:rsidR="005B52D9" w:rsidRPr="0006026E">
        <w:rPr>
          <w:rFonts w:ascii="Book Antiqua" w:hAnsi="Book Antiqua" w:cs="Arial"/>
          <w:color w:val="202122"/>
          <w:shd w:val="clear" w:color="auto" w:fill="FFFFFF"/>
          <w:lang w:val="en-US"/>
        </w:rPr>
        <w:t xml:space="preserve"> 2101 </w:t>
      </w:r>
      <w:r w:rsidR="005B52D9" w:rsidRPr="0006026E">
        <w:rPr>
          <w:rFonts w:ascii="Book Antiqua" w:hAnsi="Book Antiqua" w:cs="Arial"/>
          <w:i/>
          <w:iCs/>
          <w:color w:val="202122"/>
          <w:shd w:val="clear" w:color="auto" w:fill="FFFFFF"/>
          <w:lang w:val="en-US"/>
        </w:rPr>
        <w:t>et seq</w:t>
      </w:r>
      <w:r w:rsidR="005B52D9" w:rsidRPr="0006026E">
        <w:rPr>
          <w:rFonts w:ascii="Book Antiqua" w:hAnsi="Book Antiqua" w:cs="Arial"/>
          <w:color w:val="202122"/>
          <w:shd w:val="clear" w:color="auto" w:fill="FFFFFF"/>
          <w:lang w:val="en-US"/>
        </w:rPr>
        <w:t>.</w:t>
      </w:r>
    </w:p>
  </w:footnote>
  <w:footnote w:id="8">
    <w:p w14:paraId="7542DE6D" w14:textId="33BFADD0" w:rsidR="001F000A" w:rsidRPr="00A300A9" w:rsidRDefault="001F000A" w:rsidP="00387604">
      <w:pPr>
        <w:pStyle w:val="FootnoteText"/>
        <w:spacing w:line="276" w:lineRule="auto"/>
      </w:pPr>
      <w:r w:rsidRPr="0006026E">
        <w:rPr>
          <w:rStyle w:val="FootnoteReference"/>
          <w:rFonts w:ascii="Book Antiqua" w:hAnsi="Book Antiqua"/>
        </w:rPr>
        <w:footnoteRef/>
      </w:r>
      <w:r w:rsidRPr="0006026E">
        <w:rPr>
          <w:rFonts w:ascii="Book Antiqua" w:hAnsi="Book Antiqua"/>
        </w:rPr>
        <w:t xml:space="preserve"> </w:t>
      </w:r>
      <w:r w:rsidR="00A300A9" w:rsidRPr="0006026E">
        <w:rPr>
          <w:rFonts w:ascii="Book Antiqua" w:hAnsi="Book Antiqua"/>
        </w:rPr>
        <w:tab/>
        <w:t xml:space="preserve">Departamento de Recursos Naturales y Ambientales, </w:t>
      </w:r>
      <w:r w:rsidR="00A300A9" w:rsidRPr="0006026E">
        <w:rPr>
          <w:rFonts w:ascii="Book Antiqua" w:hAnsi="Book Antiqua"/>
          <w:i/>
          <w:iCs/>
        </w:rPr>
        <w:t>supra</w:t>
      </w:r>
      <w:r w:rsidR="00A300A9" w:rsidRPr="0006026E">
        <w:rPr>
          <w:rFonts w:ascii="Book Antiqua" w:hAnsi="Book Antiqua"/>
        </w:rPr>
        <w:t>, pág. 4.</w:t>
      </w:r>
    </w:p>
  </w:footnote>
  <w:footnote w:id="9">
    <w:p w14:paraId="14A73C8D" w14:textId="7A281841" w:rsidR="0082129B" w:rsidRPr="00833E76" w:rsidRDefault="0082129B" w:rsidP="00387604">
      <w:pPr>
        <w:pStyle w:val="FootnoteText"/>
        <w:spacing w:line="276" w:lineRule="auto"/>
        <w:rPr>
          <w:rFonts w:ascii="Book Antiqua" w:hAnsi="Book Antiqua"/>
          <w:lang w:val="en-US"/>
        </w:rPr>
      </w:pPr>
      <w:r w:rsidRPr="005B52D9">
        <w:rPr>
          <w:rStyle w:val="FootnoteReference"/>
          <w:rFonts w:ascii="Book Antiqua" w:hAnsi="Book Antiqua"/>
        </w:rPr>
        <w:footnoteRef/>
      </w:r>
      <w:r w:rsidRPr="00833E76">
        <w:rPr>
          <w:rFonts w:ascii="Book Antiqua" w:hAnsi="Book Antiqua"/>
          <w:lang w:val="en-US"/>
        </w:rPr>
        <w:t xml:space="preserve"> </w:t>
      </w:r>
      <w:r w:rsidR="00A300A9" w:rsidRPr="00833E76">
        <w:rPr>
          <w:rFonts w:ascii="Book Antiqua" w:hAnsi="Book Antiqua"/>
          <w:lang w:val="en-US"/>
        </w:rPr>
        <w:tab/>
      </w:r>
      <w:r w:rsidR="00A300A9" w:rsidRPr="00833E76">
        <w:rPr>
          <w:rFonts w:ascii="Book Antiqua" w:hAnsi="Book Antiqua"/>
          <w:i/>
          <w:iCs/>
          <w:lang w:val="en-US"/>
        </w:rPr>
        <w:t>Id</w:t>
      </w:r>
      <w:r w:rsidR="00A300A9" w:rsidRPr="00833E76">
        <w:rPr>
          <w:rFonts w:ascii="Book Antiqua" w:hAnsi="Book Antiqua"/>
          <w:lang w:val="en-US"/>
        </w:rPr>
        <w:t xml:space="preserve">., </w:t>
      </w:r>
      <w:proofErr w:type="spellStart"/>
      <w:r w:rsidR="00A300A9" w:rsidRPr="00833E76">
        <w:rPr>
          <w:rFonts w:ascii="Book Antiqua" w:hAnsi="Book Antiqua"/>
          <w:lang w:val="en-US"/>
        </w:rPr>
        <w:t>pág</w:t>
      </w:r>
      <w:proofErr w:type="spellEnd"/>
      <w:r w:rsidR="00A300A9" w:rsidRPr="00833E76">
        <w:rPr>
          <w:rFonts w:ascii="Book Antiqua" w:hAnsi="Book Antiqua"/>
          <w:lang w:val="en-US"/>
        </w:rPr>
        <w:t xml:space="preserve">. 4. </w:t>
      </w:r>
    </w:p>
  </w:footnote>
  <w:footnote w:id="10">
    <w:p w14:paraId="64223721" w14:textId="2AA78F3B" w:rsidR="00A300A9" w:rsidRPr="005B52D9" w:rsidRDefault="00A300A9" w:rsidP="00387604">
      <w:pPr>
        <w:pStyle w:val="FootnoteText"/>
        <w:spacing w:line="276" w:lineRule="auto"/>
        <w:rPr>
          <w:rFonts w:ascii="Book Antiqua" w:hAnsi="Book Antiqua"/>
          <w:lang w:val="en-US"/>
        </w:rPr>
      </w:pPr>
      <w:r w:rsidRPr="005B52D9">
        <w:rPr>
          <w:rStyle w:val="FootnoteReference"/>
          <w:rFonts w:ascii="Book Antiqua" w:hAnsi="Book Antiqua"/>
        </w:rPr>
        <w:footnoteRef/>
      </w:r>
      <w:r w:rsidRPr="00833E76">
        <w:rPr>
          <w:rFonts w:ascii="Book Antiqua" w:hAnsi="Book Antiqua"/>
          <w:lang w:val="en-US"/>
        </w:rPr>
        <w:t xml:space="preserve"> </w:t>
      </w:r>
      <w:r w:rsidRPr="00833E76">
        <w:rPr>
          <w:rFonts w:ascii="Book Antiqua" w:hAnsi="Book Antiqua"/>
          <w:lang w:val="en-US"/>
        </w:rPr>
        <w:tab/>
      </w:r>
      <w:r w:rsidRPr="00833E76">
        <w:rPr>
          <w:rFonts w:ascii="Book Antiqua" w:hAnsi="Book Antiqua"/>
          <w:i/>
          <w:iCs/>
          <w:lang w:val="en-US"/>
        </w:rPr>
        <w:t>Id</w:t>
      </w:r>
      <w:r w:rsidRPr="00833E76">
        <w:rPr>
          <w:rFonts w:ascii="Book Antiqua" w:hAnsi="Book Antiqua"/>
          <w:lang w:val="en-US"/>
        </w:rPr>
        <w:t xml:space="preserve">., </w:t>
      </w:r>
      <w:proofErr w:type="spellStart"/>
      <w:r w:rsidRPr="00833E76">
        <w:rPr>
          <w:rFonts w:ascii="Book Antiqua" w:hAnsi="Book Antiqua"/>
          <w:lang w:val="en-US"/>
        </w:rPr>
        <w:t>págs</w:t>
      </w:r>
      <w:proofErr w:type="spellEnd"/>
      <w:r w:rsidRPr="00833E76">
        <w:rPr>
          <w:rFonts w:ascii="Book Antiqua" w:hAnsi="Book Antiqua"/>
          <w:lang w:val="en-US"/>
        </w:rPr>
        <w:t xml:space="preserve">. </w:t>
      </w:r>
      <w:r w:rsidRPr="005B52D9">
        <w:rPr>
          <w:rFonts w:ascii="Book Antiqua" w:hAnsi="Book Antiqua"/>
          <w:lang w:val="en-US"/>
        </w:rPr>
        <w:t xml:space="preserve">4-5. </w:t>
      </w:r>
    </w:p>
  </w:footnote>
  <w:footnote w:id="11">
    <w:p w14:paraId="5A8FB1ED" w14:textId="68675CED" w:rsidR="00A300A9" w:rsidRPr="00833E76" w:rsidRDefault="00A300A9" w:rsidP="00387604">
      <w:pPr>
        <w:pStyle w:val="FootnoteText"/>
        <w:spacing w:line="276" w:lineRule="auto"/>
        <w:rPr>
          <w:rFonts w:ascii="Book Antiqua" w:hAnsi="Book Antiqua"/>
          <w:lang w:val="en-US"/>
        </w:rPr>
      </w:pPr>
      <w:r w:rsidRPr="005B52D9">
        <w:rPr>
          <w:rStyle w:val="FootnoteReference"/>
          <w:rFonts w:ascii="Book Antiqua" w:hAnsi="Book Antiqua"/>
        </w:rPr>
        <w:footnoteRef/>
      </w:r>
      <w:r w:rsidRPr="00833E76">
        <w:rPr>
          <w:rFonts w:ascii="Book Antiqua" w:hAnsi="Book Antiqua"/>
          <w:lang w:val="en-US"/>
        </w:rPr>
        <w:t xml:space="preserve"> </w:t>
      </w:r>
      <w:r w:rsidRPr="00833E76">
        <w:rPr>
          <w:rFonts w:ascii="Book Antiqua" w:hAnsi="Book Antiqua"/>
          <w:lang w:val="en-US"/>
        </w:rPr>
        <w:tab/>
      </w:r>
      <w:r w:rsidRPr="00833E76">
        <w:rPr>
          <w:rFonts w:ascii="Book Antiqua" w:hAnsi="Book Antiqua"/>
          <w:i/>
          <w:iCs/>
          <w:lang w:val="en-US"/>
        </w:rPr>
        <w:t>Id</w:t>
      </w:r>
      <w:r w:rsidRPr="00833E76">
        <w:rPr>
          <w:rFonts w:ascii="Book Antiqua" w:hAnsi="Book Antiqua"/>
          <w:lang w:val="en-US"/>
        </w:rPr>
        <w:t xml:space="preserve">., </w:t>
      </w:r>
      <w:proofErr w:type="spellStart"/>
      <w:r w:rsidRPr="00833E76">
        <w:rPr>
          <w:rFonts w:ascii="Book Antiqua" w:hAnsi="Book Antiqua"/>
          <w:lang w:val="en-US"/>
        </w:rPr>
        <w:t>pág</w:t>
      </w:r>
      <w:proofErr w:type="spellEnd"/>
      <w:r w:rsidRPr="00833E76">
        <w:rPr>
          <w:rFonts w:ascii="Book Antiqua" w:hAnsi="Book Antiqua"/>
          <w:lang w:val="en-US"/>
        </w:rPr>
        <w:t xml:space="preserve">. 5. </w:t>
      </w:r>
    </w:p>
  </w:footnote>
  <w:footnote w:id="12">
    <w:p w14:paraId="430854CE" w14:textId="3452D019" w:rsidR="00DC51E5" w:rsidRPr="00387604" w:rsidRDefault="00DC51E5" w:rsidP="00387604">
      <w:pPr>
        <w:pStyle w:val="FootnoteText"/>
        <w:spacing w:line="276" w:lineRule="auto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="00000D1C" w:rsidRPr="00387604">
        <w:rPr>
          <w:rFonts w:ascii="Book Antiqua" w:hAnsi="Book Antiqua"/>
        </w:rPr>
        <w:t xml:space="preserve">Ley 33-2019, </w:t>
      </w:r>
      <w:r w:rsidR="00000D1C" w:rsidRPr="00387604">
        <w:rPr>
          <w:rFonts w:ascii="Book Antiqua" w:hAnsi="Book Antiqua"/>
          <w:i/>
          <w:iCs/>
        </w:rPr>
        <w:t>supra</w:t>
      </w:r>
      <w:r w:rsidR="00000D1C" w:rsidRPr="00387604">
        <w:rPr>
          <w:rFonts w:ascii="Book Antiqua" w:hAnsi="Book Antiqua"/>
        </w:rPr>
        <w:t xml:space="preserve">, Art. 15, </w:t>
      </w:r>
      <w:r w:rsidR="00041D9F" w:rsidRPr="00387604">
        <w:rPr>
          <w:rFonts w:ascii="Book Antiqua" w:hAnsi="Book Antiqua"/>
        </w:rPr>
        <w:t>12 LPRA</w:t>
      </w:r>
      <w:r w:rsidR="0006026E" w:rsidRPr="00387604">
        <w:rPr>
          <w:rFonts w:ascii="Book Antiqua" w:hAnsi="Book Antiqua"/>
        </w:rPr>
        <w:t xml:space="preserve"> </w:t>
      </w:r>
      <w:r w:rsidR="00000D1C" w:rsidRPr="00387604">
        <w:rPr>
          <w:rFonts w:ascii="Book Antiqua" w:hAnsi="Book Antiqua"/>
        </w:rPr>
        <w:t>sec.</w:t>
      </w:r>
      <w:r w:rsidR="0006026E"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>8014(a).</w:t>
      </w:r>
    </w:p>
  </w:footnote>
  <w:footnote w:id="13">
    <w:p w14:paraId="550AD020" w14:textId="215AFE49" w:rsidR="00DC51E5" w:rsidRPr="00387604" w:rsidRDefault="00DC51E5" w:rsidP="00387604">
      <w:pPr>
        <w:pStyle w:val="FootnoteText"/>
        <w:spacing w:line="276" w:lineRule="auto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Pr="00387604">
        <w:rPr>
          <w:rFonts w:ascii="Book Antiqua" w:hAnsi="Book Antiqua"/>
          <w:i/>
          <w:iCs/>
        </w:rPr>
        <w:t>Id</w:t>
      </w:r>
      <w:r w:rsidRPr="00387604">
        <w:rPr>
          <w:rFonts w:ascii="Book Antiqua" w:hAnsi="Book Antiqua"/>
        </w:rPr>
        <w:t>.</w:t>
      </w:r>
    </w:p>
  </w:footnote>
  <w:footnote w:id="14">
    <w:p w14:paraId="727DDE07" w14:textId="46B070D8" w:rsidR="00A16C0C" w:rsidRPr="00387604" w:rsidRDefault="00A16C0C" w:rsidP="00387604">
      <w:pPr>
        <w:pStyle w:val="FootnoteText"/>
        <w:spacing w:line="276" w:lineRule="auto"/>
        <w:ind w:left="720" w:hanging="720"/>
        <w:jc w:val="both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  <w:t>Véase</w:t>
      </w:r>
      <w:r w:rsidR="0006026E"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  <w:lang w:val="es-ES"/>
        </w:rPr>
        <w:t xml:space="preserve">Antonio Gómez, </w:t>
      </w:r>
      <w:r w:rsidR="00041D9F" w:rsidRPr="00387604">
        <w:rPr>
          <w:rFonts w:ascii="Book Antiqua" w:hAnsi="Book Antiqua"/>
          <w:lang w:val="es-ES"/>
        </w:rPr>
        <w:t>“</w:t>
      </w:r>
      <w:r w:rsidRPr="00387604">
        <w:rPr>
          <w:rFonts w:ascii="Book Antiqua" w:hAnsi="Book Antiqua"/>
          <w:lang w:val="es-ES"/>
        </w:rPr>
        <w:t>Entrega a la Legislatura borrador el plan para enfrentar el cambio</w:t>
      </w:r>
      <w:r w:rsidR="00041D9F" w:rsidRPr="00387604">
        <w:rPr>
          <w:rFonts w:ascii="Book Antiqua" w:hAnsi="Book Antiqua"/>
          <w:i/>
          <w:iCs/>
          <w:lang w:val="es-ES"/>
        </w:rPr>
        <w:t xml:space="preserve">”, </w:t>
      </w:r>
      <w:r w:rsidRPr="00387604">
        <w:rPr>
          <w:rFonts w:ascii="Book Antiqua" w:hAnsi="Book Antiqua"/>
          <w:lang w:val="es-ES"/>
        </w:rPr>
        <w:t>3 de abril de 2024</w:t>
      </w:r>
      <w:r w:rsidR="0006026E" w:rsidRPr="00387604">
        <w:rPr>
          <w:rFonts w:ascii="Book Antiqua" w:hAnsi="Book Antiqua"/>
          <w:lang w:val="es-ES"/>
        </w:rPr>
        <w:t xml:space="preserve">, </w:t>
      </w:r>
      <w:hyperlink r:id="rId1" w:history="1">
        <w:r w:rsidR="002715F7" w:rsidRPr="00387604">
          <w:rPr>
            <w:rStyle w:val="Hyperlink"/>
            <w:rFonts w:ascii="Book Antiqua" w:hAnsi="Book Antiqua"/>
            <w:lang w:val="es-ES"/>
          </w:rPr>
          <w:t>https://www.noticel.com/la-calle/top-stories/ambiente/20240423/entrega-a-la-legislatura-borrador-el-plan-para-enfrentar-el-cambio-climatico/</w:t>
        </w:r>
      </w:hyperlink>
      <w:r w:rsidR="002715F7" w:rsidRPr="00387604">
        <w:rPr>
          <w:rFonts w:ascii="Book Antiqua" w:hAnsi="Book Antiqua"/>
          <w:lang w:val="es-ES"/>
        </w:rPr>
        <w:t xml:space="preserve"> </w:t>
      </w:r>
      <w:r w:rsidRPr="00387604">
        <w:rPr>
          <w:rFonts w:ascii="Book Antiqua" w:hAnsi="Book Antiqua"/>
          <w:lang w:val="es-ES"/>
        </w:rPr>
        <w:t>(</w:t>
      </w:r>
      <w:r w:rsidR="0006026E" w:rsidRPr="00387604">
        <w:rPr>
          <w:rFonts w:ascii="Book Antiqua" w:hAnsi="Book Antiqua"/>
          <w:lang w:val="es-ES"/>
        </w:rPr>
        <w:t>última visita,</w:t>
      </w:r>
      <w:r w:rsidRPr="00387604">
        <w:rPr>
          <w:rFonts w:ascii="Book Antiqua" w:hAnsi="Book Antiqua"/>
          <w:lang w:val="es-ES"/>
        </w:rPr>
        <w:t xml:space="preserve"> 29 de abril de 2025); </w:t>
      </w:r>
      <w:r w:rsidRPr="00387604">
        <w:rPr>
          <w:rFonts w:ascii="Book Antiqua" w:hAnsi="Book Antiqua"/>
        </w:rPr>
        <w:t xml:space="preserve">Nilsa Nuñez Lamboy, “A contrarreloj el plan climático: Senado contempla prórroga”, </w:t>
      </w:r>
      <w:r w:rsidR="003449DA"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 xml:space="preserve">22 de abril de 2025, </w:t>
      </w:r>
      <w:hyperlink r:id="rId2" w:history="1">
        <w:r w:rsidRPr="00387604">
          <w:rPr>
            <w:rStyle w:val="Hyperlink"/>
            <w:rFonts w:ascii="Book Antiqua" w:hAnsi="Book Antiqua"/>
          </w:rPr>
          <w:t>https://www.metro.pr/noticias/2025/04/22/a-contrarreloj-el-plan-climatico-senado-contempla-prorroga/</w:t>
        </w:r>
      </w:hyperlink>
      <w:r w:rsidR="003449DA" w:rsidRPr="00387604">
        <w:rPr>
          <w:rFonts w:ascii="Book Antiqua" w:hAnsi="Book Antiqua"/>
        </w:rPr>
        <w:t xml:space="preserve"> (</w:t>
      </w:r>
      <w:r w:rsidR="0006026E" w:rsidRPr="00387604">
        <w:rPr>
          <w:rFonts w:ascii="Book Antiqua" w:hAnsi="Book Antiqua"/>
        </w:rPr>
        <w:t>última visita,</w:t>
      </w:r>
      <w:r w:rsidR="003449DA" w:rsidRPr="00387604">
        <w:rPr>
          <w:rFonts w:ascii="Book Antiqua" w:hAnsi="Book Antiqua"/>
        </w:rPr>
        <w:t xml:space="preserve"> 29 de abril de 2025). </w:t>
      </w:r>
    </w:p>
  </w:footnote>
  <w:footnote w:id="15">
    <w:p w14:paraId="5CFEC1FC" w14:textId="466FA8F8" w:rsidR="00A16C0C" w:rsidRPr="00387604" w:rsidRDefault="00A16C0C" w:rsidP="00387604">
      <w:pPr>
        <w:pStyle w:val="FootnoteText"/>
        <w:spacing w:line="276" w:lineRule="auto"/>
        <w:ind w:left="720" w:hanging="720"/>
        <w:jc w:val="both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="00041D9F" w:rsidRPr="00387604">
        <w:rPr>
          <w:rFonts w:ascii="Book Antiqua" w:hAnsi="Book Antiqua"/>
        </w:rPr>
        <w:t>Véase</w:t>
      </w:r>
      <w:r w:rsidR="00041D9F" w:rsidRPr="00387604">
        <w:rPr>
          <w:rFonts w:ascii="Book Antiqua" w:hAnsi="Book Antiqua"/>
          <w:i/>
          <w:iCs/>
        </w:rPr>
        <w:t xml:space="preserve"> </w:t>
      </w:r>
      <w:r w:rsidR="00041D9F" w:rsidRPr="00387604">
        <w:rPr>
          <w:rFonts w:ascii="Book Antiqua" w:hAnsi="Book Antiqua"/>
        </w:rPr>
        <w:t xml:space="preserve">12 LPRA </w:t>
      </w:r>
      <w:r w:rsidR="00AE52A3">
        <w:rPr>
          <w:rFonts w:ascii="Book Antiqua" w:hAnsi="Book Antiqua"/>
        </w:rPr>
        <w:t>sec.</w:t>
      </w:r>
      <w:r w:rsidR="00041D9F" w:rsidRPr="00387604">
        <w:rPr>
          <w:rFonts w:ascii="Book Antiqua" w:hAnsi="Book Antiqua"/>
        </w:rPr>
        <w:t xml:space="preserve"> 8014(a);</w:t>
      </w:r>
      <w:r w:rsidRPr="00387604">
        <w:rPr>
          <w:rFonts w:ascii="Book Antiqua" w:hAnsi="Book Antiqua"/>
        </w:rPr>
        <w:t xml:space="preserve"> Nilsa Nuñez Lamboy, “A contrarreloj el plan climático: Senado contempla prórroga”, 29 de abril de 2025, </w:t>
      </w:r>
      <w:hyperlink r:id="rId3" w:history="1">
        <w:r w:rsidRPr="00387604">
          <w:rPr>
            <w:rStyle w:val="Hyperlink"/>
            <w:rFonts w:ascii="Book Antiqua" w:hAnsi="Book Antiqua"/>
          </w:rPr>
          <w:t>https://www.metro.pr/noticias/2025/04/22/a-contrarreloj-el-plan-climatico-senado-contempla-prorroga/</w:t>
        </w:r>
      </w:hyperlink>
      <w:r w:rsidR="003449DA" w:rsidRPr="00387604">
        <w:rPr>
          <w:rFonts w:ascii="Book Antiqua" w:hAnsi="Book Antiqua"/>
        </w:rPr>
        <w:t xml:space="preserve"> (</w:t>
      </w:r>
      <w:r w:rsidR="00041D9F" w:rsidRPr="00387604">
        <w:rPr>
          <w:rFonts w:ascii="Book Antiqua" w:hAnsi="Book Antiqua"/>
        </w:rPr>
        <w:t>última visita,</w:t>
      </w:r>
      <w:r w:rsidR="003449DA" w:rsidRPr="00387604">
        <w:rPr>
          <w:rFonts w:ascii="Book Antiqua" w:hAnsi="Book Antiqua"/>
        </w:rPr>
        <w:t xml:space="preserve"> 29 de abril de 2025).</w:t>
      </w:r>
    </w:p>
  </w:footnote>
  <w:footnote w:id="16">
    <w:p w14:paraId="4EF59312" w14:textId="7FCDE6FB" w:rsidR="00ED659B" w:rsidRPr="001905D4" w:rsidRDefault="00ED659B" w:rsidP="00387604">
      <w:pPr>
        <w:pStyle w:val="FootnoteText"/>
        <w:spacing w:line="276" w:lineRule="auto"/>
        <w:ind w:left="720" w:hanging="720"/>
        <w:jc w:val="both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Pr="00387604">
        <w:rPr>
          <w:rFonts w:ascii="Book Antiqua" w:hAnsi="Book Antiqua"/>
          <w:lang w:val="es-ES"/>
        </w:rPr>
        <w:t xml:space="preserve">Véase Departamento de Recursos Naturales y Ambientales, “Borrador final del Plan de </w:t>
      </w:r>
      <w:r w:rsidR="00041D9F" w:rsidRPr="00387604">
        <w:rPr>
          <w:rFonts w:ascii="Book Antiqua" w:hAnsi="Book Antiqua"/>
          <w:lang w:val="es-ES"/>
        </w:rPr>
        <w:t>M</w:t>
      </w:r>
      <w:r w:rsidRPr="00387604">
        <w:rPr>
          <w:rFonts w:ascii="Book Antiqua" w:hAnsi="Book Antiqua"/>
          <w:lang w:val="es-ES"/>
        </w:rPr>
        <w:t xml:space="preserve">itigación, </w:t>
      </w:r>
      <w:r w:rsidR="00041D9F" w:rsidRPr="00387604">
        <w:rPr>
          <w:rFonts w:ascii="Book Antiqua" w:hAnsi="Book Antiqua"/>
          <w:lang w:val="es-ES"/>
        </w:rPr>
        <w:t>A</w:t>
      </w:r>
      <w:r w:rsidRPr="00387604">
        <w:rPr>
          <w:rFonts w:ascii="Book Antiqua" w:hAnsi="Book Antiqua"/>
          <w:lang w:val="es-ES"/>
        </w:rPr>
        <w:t xml:space="preserve">daptación y </w:t>
      </w:r>
      <w:r w:rsidR="00041D9F" w:rsidRPr="00387604">
        <w:rPr>
          <w:rFonts w:ascii="Book Antiqua" w:hAnsi="Book Antiqua"/>
          <w:lang w:val="es-ES"/>
        </w:rPr>
        <w:t>R</w:t>
      </w:r>
      <w:r w:rsidRPr="00387604">
        <w:rPr>
          <w:rFonts w:ascii="Book Antiqua" w:hAnsi="Book Antiqua"/>
          <w:lang w:val="es-ES"/>
        </w:rPr>
        <w:t xml:space="preserve">esiliencia al </w:t>
      </w:r>
      <w:r w:rsidR="00041D9F" w:rsidRPr="00387604">
        <w:rPr>
          <w:rFonts w:ascii="Book Antiqua" w:hAnsi="Book Antiqua"/>
          <w:lang w:val="es-ES"/>
        </w:rPr>
        <w:t>C</w:t>
      </w:r>
      <w:r w:rsidRPr="00387604">
        <w:rPr>
          <w:rFonts w:ascii="Book Antiqua" w:hAnsi="Book Antiqua"/>
          <w:lang w:val="es-ES"/>
        </w:rPr>
        <w:t xml:space="preserve">ambio </w:t>
      </w:r>
      <w:r w:rsidR="00041D9F" w:rsidRPr="00387604">
        <w:rPr>
          <w:rFonts w:ascii="Book Antiqua" w:hAnsi="Book Antiqua"/>
          <w:lang w:val="es-ES"/>
        </w:rPr>
        <w:t>C</w:t>
      </w:r>
      <w:r w:rsidRPr="00387604">
        <w:rPr>
          <w:rFonts w:ascii="Book Antiqua" w:hAnsi="Book Antiqua"/>
          <w:lang w:val="es-ES"/>
        </w:rPr>
        <w:t>limático en Puerto Rico (Tomos 1 y 2)”,</w:t>
      </w:r>
      <w:r w:rsidR="002715F7" w:rsidRPr="00387604">
        <w:rPr>
          <w:rFonts w:ascii="Book Antiqua" w:hAnsi="Book Antiqua"/>
          <w:lang w:val="es-ES"/>
        </w:rPr>
        <w:t xml:space="preserve"> abril 2024,</w:t>
      </w:r>
      <w:r w:rsidRPr="00387604">
        <w:rPr>
          <w:rFonts w:ascii="Book Antiqua" w:hAnsi="Book Antiqua"/>
          <w:lang w:val="es-ES"/>
        </w:rPr>
        <w:t xml:space="preserve"> </w:t>
      </w:r>
      <w:hyperlink r:id="rId4" w:history="1">
        <w:r w:rsidRPr="00387604">
          <w:rPr>
            <w:rStyle w:val="Hyperlink"/>
            <w:rFonts w:ascii="Book Antiqua" w:hAnsi="Book Antiqua"/>
            <w:lang w:val="es-ES"/>
          </w:rPr>
          <w:t>https://www.drna.pr.gov/ceacc/publicaciones/borrador-final-plan-ceacc-2024/</w:t>
        </w:r>
      </w:hyperlink>
      <w:r w:rsidR="00041D9F" w:rsidRPr="00387604">
        <w:rPr>
          <w:rFonts w:ascii="Book Antiqua" w:hAnsi="Book Antiqua"/>
        </w:rPr>
        <w:t xml:space="preserve"> (última visita, 29 de abril de 2025)</w:t>
      </w:r>
      <w:r w:rsidRPr="00387604">
        <w:rPr>
          <w:rFonts w:ascii="Book Antiqua" w:hAnsi="Book Antiqua"/>
          <w:lang w:val="es-ES"/>
        </w:rPr>
        <w:t xml:space="preserve">; </w:t>
      </w:r>
      <w:r w:rsidR="005B52D9" w:rsidRPr="00387604">
        <w:rPr>
          <w:rFonts w:ascii="Book Antiqua" w:hAnsi="Book Antiqua"/>
          <w:lang w:val="es-ES"/>
        </w:rPr>
        <w:t xml:space="preserve">Departamento de Estado, “Vistas de Transición 2024”, 4 de diciembre de 2024, </w:t>
      </w:r>
      <w:hyperlink r:id="rId5" w:history="1">
        <w:r w:rsidR="00AE52A3" w:rsidRPr="00152312">
          <w:rPr>
            <w:rStyle w:val="Hyperlink"/>
            <w:rFonts w:ascii="Book Antiqua" w:hAnsi="Book Antiqua"/>
            <w:lang w:val="es-ES"/>
          </w:rPr>
          <w:t>https://www.facebook.com/DeptEstadoPR/videos/561297246607874</w:t>
        </w:r>
      </w:hyperlink>
      <w:r w:rsidR="00AE52A3">
        <w:rPr>
          <w:rFonts w:ascii="Book Antiqua" w:hAnsi="Book Antiqua"/>
          <w:lang w:val="es-ES"/>
        </w:rPr>
        <w:t xml:space="preserve"> </w:t>
      </w:r>
      <w:r w:rsidR="00041D9F" w:rsidRPr="00387604">
        <w:rPr>
          <w:rFonts w:ascii="Book Antiqua" w:hAnsi="Book Antiqua"/>
        </w:rPr>
        <w:t xml:space="preserve">(última visita, </w:t>
      </w:r>
      <w:r w:rsidR="00387604" w:rsidRPr="00387604">
        <w:rPr>
          <w:rFonts w:ascii="Book Antiqua" w:hAnsi="Book Antiqua"/>
        </w:rPr>
        <w:t>29</w:t>
      </w:r>
      <w:r w:rsidR="00041D9F" w:rsidRPr="00387604">
        <w:rPr>
          <w:rFonts w:ascii="Book Antiqua" w:hAnsi="Book Antiqua"/>
        </w:rPr>
        <w:t xml:space="preserve"> de </w:t>
      </w:r>
      <w:r w:rsidR="00387604" w:rsidRPr="00387604">
        <w:rPr>
          <w:rFonts w:ascii="Book Antiqua" w:hAnsi="Book Antiqua"/>
        </w:rPr>
        <w:t>abril</w:t>
      </w:r>
      <w:r w:rsidR="00041D9F" w:rsidRPr="00387604">
        <w:rPr>
          <w:rFonts w:ascii="Book Antiqua" w:hAnsi="Book Antiqua"/>
        </w:rPr>
        <w:t xml:space="preserve"> de 202</w:t>
      </w:r>
      <w:r w:rsidR="00387604" w:rsidRPr="00387604">
        <w:rPr>
          <w:rFonts w:ascii="Book Antiqua" w:hAnsi="Book Antiqua"/>
        </w:rPr>
        <w:t>5</w:t>
      </w:r>
      <w:r w:rsidR="00041D9F" w:rsidRPr="00387604">
        <w:rPr>
          <w:rFonts w:ascii="Book Antiqua" w:hAnsi="Book Antiqua"/>
        </w:rPr>
        <w:t>)</w:t>
      </w:r>
      <w:r w:rsidR="00AE52A3" w:rsidRPr="00AE52A3">
        <w:rPr>
          <w:rFonts w:ascii="Book Antiqua" w:hAnsi="Book Antiqua"/>
          <w:lang w:val="es-ES"/>
        </w:rPr>
        <w:t xml:space="preserve"> </w:t>
      </w:r>
      <w:r w:rsidR="00AE52A3" w:rsidRPr="002F3F37">
        <w:rPr>
          <w:rFonts w:ascii="Book Antiqua" w:hAnsi="Book Antiqua"/>
          <w:lang w:val="es-ES"/>
        </w:rPr>
        <w:t>. (Evalúese lo expresado entre los minutos 49:50 – 51:24)</w:t>
      </w:r>
      <w:r w:rsidR="005B52D9" w:rsidRPr="00387604">
        <w:rPr>
          <w:rFonts w:ascii="Book Antiqua" w:hAnsi="Book Antiqua"/>
          <w:lang w:val="es-ES"/>
        </w:rPr>
        <w:t xml:space="preserve">; </w:t>
      </w:r>
      <w:r w:rsidR="005B52D9" w:rsidRPr="00387604">
        <w:rPr>
          <w:rFonts w:ascii="Book Antiqua" w:hAnsi="Book Antiqua"/>
        </w:rPr>
        <w:t xml:space="preserve">Nilsa Nuñez Lamboy, “A contrarreloj el plan climático: Senado contempla prórroga”, 22 de abril de 2025, </w:t>
      </w:r>
      <w:hyperlink r:id="rId6" w:history="1">
        <w:r w:rsidR="005B52D9" w:rsidRPr="00387604">
          <w:rPr>
            <w:rStyle w:val="Hyperlink"/>
            <w:rFonts w:ascii="Book Antiqua" w:hAnsi="Book Antiqua"/>
          </w:rPr>
          <w:t>https://www.metro.pr/noticias/2025/04/22/a-contrarreloj-el-plan-climatico-senado-contempla-prorroga/</w:t>
        </w:r>
      </w:hyperlink>
      <w:r w:rsidR="005B52D9" w:rsidRPr="00387604">
        <w:rPr>
          <w:rFonts w:ascii="Book Antiqua" w:hAnsi="Book Antiqua"/>
        </w:rPr>
        <w:t xml:space="preserve"> (</w:t>
      </w:r>
      <w:r w:rsidR="00041D9F" w:rsidRPr="00387604">
        <w:rPr>
          <w:rFonts w:ascii="Book Antiqua" w:hAnsi="Book Antiqua"/>
        </w:rPr>
        <w:t>última v</w:t>
      </w:r>
      <w:r w:rsidR="005B52D9" w:rsidRPr="00387604">
        <w:rPr>
          <w:rFonts w:ascii="Book Antiqua" w:hAnsi="Book Antiqua"/>
        </w:rPr>
        <w:t>isita</w:t>
      </w:r>
      <w:r w:rsidR="00041D9F" w:rsidRPr="00387604">
        <w:rPr>
          <w:rFonts w:ascii="Book Antiqua" w:hAnsi="Book Antiqua"/>
        </w:rPr>
        <w:t>,</w:t>
      </w:r>
      <w:r w:rsidR="005B52D9" w:rsidRPr="00387604">
        <w:rPr>
          <w:rFonts w:ascii="Book Antiqua" w:hAnsi="Book Antiqua"/>
        </w:rPr>
        <w:t xml:space="preserve"> 29 de abril de 2025).</w:t>
      </w:r>
    </w:p>
  </w:footnote>
  <w:footnote w:id="17">
    <w:p w14:paraId="03B462FD" w14:textId="14998B9A" w:rsidR="005B52D9" w:rsidRPr="00387604" w:rsidRDefault="005B52D9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  <w:t>Véa</w:t>
      </w:r>
      <w:r w:rsidR="000C4A36" w:rsidRPr="00387604">
        <w:rPr>
          <w:rFonts w:ascii="Book Antiqua" w:hAnsi="Book Antiqua"/>
        </w:rPr>
        <w:t xml:space="preserve">se, PROMESA, </w:t>
      </w:r>
      <w:r w:rsidR="000C4A36" w:rsidRPr="00387604">
        <w:rPr>
          <w:rFonts w:ascii="Book Antiqua" w:hAnsi="Book Antiqua"/>
          <w:i/>
          <w:iCs/>
        </w:rPr>
        <w:t>supra</w:t>
      </w:r>
      <w:r w:rsidR="000C4A36" w:rsidRPr="00387604">
        <w:rPr>
          <w:rFonts w:ascii="Book Antiqua" w:hAnsi="Book Antiqua"/>
        </w:rPr>
        <w:t xml:space="preserve">, </w:t>
      </w:r>
      <w:r w:rsidR="00041D9F" w:rsidRPr="00387604">
        <w:rPr>
          <w:rFonts w:ascii="Book Antiqua" w:hAnsi="Book Antiqua" w:cs="Arial"/>
          <w:color w:val="202122"/>
          <w:shd w:val="clear" w:color="auto" w:fill="FFFFFF"/>
        </w:rPr>
        <w:t xml:space="preserve">48 USC </w:t>
      </w:r>
      <w:proofErr w:type="spellStart"/>
      <w:r w:rsidR="000C4A36" w:rsidRPr="00387604">
        <w:rPr>
          <w:rFonts w:ascii="Book Antiqua" w:hAnsi="Book Antiqua" w:cs="Arial"/>
          <w:color w:val="202122"/>
          <w:shd w:val="clear" w:color="auto" w:fill="FFFFFF"/>
        </w:rPr>
        <w:t>secs</w:t>
      </w:r>
      <w:proofErr w:type="spellEnd"/>
      <w:r w:rsidR="000C4A36" w:rsidRPr="00387604">
        <w:rPr>
          <w:rFonts w:ascii="Book Antiqua" w:hAnsi="Book Antiqua" w:cs="Arial"/>
          <w:color w:val="202122"/>
          <w:shd w:val="clear" w:color="auto" w:fill="FFFFFF"/>
        </w:rPr>
        <w:t>.</w:t>
      </w:r>
      <w:r w:rsidR="00041D9F" w:rsidRPr="00387604">
        <w:rPr>
          <w:rFonts w:ascii="Book Antiqua" w:hAnsi="Book Antiqua" w:cs="Arial"/>
          <w:color w:val="202122"/>
          <w:shd w:val="clear" w:color="auto" w:fill="FFFFFF"/>
        </w:rPr>
        <w:t xml:space="preserve"> </w:t>
      </w:r>
      <w:r w:rsidRPr="00387604">
        <w:rPr>
          <w:rFonts w:ascii="Book Antiqua" w:hAnsi="Book Antiqua"/>
        </w:rPr>
        <w:t xml:space="preserve">2141-2152. </w:t>
      </w:r>
    </w:p>
  </w:footnote>
  <w:footnote w:id="18">
    <w:p w14:paraId="6C3942F9" w14:textId="39B05C15" w:rsidR="005B52D9" w:rsidRPr="00387604" w:rsidRDefault="005B52D9" w:rsidP="00387604">
      <w:pPr>
        <w:pStyle w:val="FootnoteText"/>
        <w:spacing w:line="276" w:lineRule="auto"/>
        <w:ind w:left="720" w:hanging="720"/>
        <w:rPr>
          <w:rFonts w:ascii="Book Antiqua" w:hAnsi="Book Antiqua"/>
        </w:rPr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="001905D4" w:rsidRPr="00387604">
        <w:rPr>
          <w:rFonts w:ascii="Book Antiqua" w:hAnsi="Book Antiqua"/>
          <w:i/>
          <w:iCs/>
        </w:rPr>
        <w:t>Id</w:t>
      </w:r>
      <w:r w:rsidR="001905D4" w:rsidRPr="00387604">
        <w:rPr>
          <w:rFonts w:ascii="Book Antiqua" w:hAnsi="Book Antiqua"/>
        </w:rPr>
        <w:t>.</w:t>
      </w:r>
    </w:p>
  </w:footnote>
  <w:footnote w:id="19">
    <w:p w14:paraId="73C14A16" w14:textId="01F3BCA2" w:rsidR="00387604" w:rsidRPr="00387604" w:rsidRDefault="00387604" w:rsidP="00387604">
      <w:pPr>
        <w:pStyle w:val="FootnoteText"/>
        <w:spacing w:line="276" w:lineRule="auto"/>
        <w:ind w:left="720" w:hanging="720"/>
        <w:jc w:val="both"/>
      </w:pPr>
      <w:r w:rsidRPr="00387604">
        <w:rPr>
          <w:rStyle w:val="FootnoteReference"/>
          <w:rFonts w:ascii="Book Antiqua" w:hAnsi="Book Antiqua"/>
        </w:rPr>
        <w:footnoteRef/>
      </w:r>
      <w:r w:rsidRPr="00387604">
        <w:rPr>
          <w:rFonts w:ascii="Book Antiqua" w:hAnsi="Book Antiqua"/>
        </w:rPr>
        <w:t xml:space="preserve"> </w:t>
      </w:r>
      <w:r w:rsidRPr="00387604">
        <w:rPr>
          <w:rFonts w:ascii="Book Antiqua" w:hAnsi="Book Antiqua"/>
        </w:rPr>
        <w:tab/>
      </w:r>
      <w:r w:rsidRPr="00387604">
        <w:rPr>
          <w:rFonts w:ascii="Book Antiqua" w:hAnsi="Book Antiqua"/>
          <w:lang w:val="es-ES"/>
        </w:rPr>
        <w:t xml:space="preserve">Departamento de Estado, “Vistas de Transición 2024”, 4 de diciembre de 2024, </w:t>
      </w:r>
      <w:hyperlink r:id="rId7" w:history="1">
        <w:r w:rsidRPr="00387604">
          <w:rPr>
            <w:rStyle w:val="Hyperlink"/>
            <w:rFonts w:ascii="Book Antiqua" w:hAnsi="Book Antiqua"/>
            <w:lang w:val="es-ES"/>
          </w:rPr>
          <w:t>https://www.facebook.com/DeptEstadoPR/videos/561297246607874</w:t>
        </w:r>
      </w:hyperlink>
      <w:r w:rsidRPr="00387604">
        <w:rPr>
          <w:rFonts w:ascii="Book Antiqua" w:hAnsi="Book Antiqua"/>
        </w:rPr>
        <w:t xml:space="preserve"> (última visita, 29 de abril de 2025)</w:t>
      </w:r>
      <w:r w:rsidRPr="00387604">
        <w:rPr>
          <w:rFonts w:ascii="Book Antiqua" w:hAnsi="Book Antiqua"/>
          <w:lang w:val="es-ES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411CB"/>
    <w:multiLevelType w:val="hybridMultilevel"/>
    <w:tmpl w:val="B7CEE1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54F6D"/>
    <w:multiLevelType w:val="hybridMultilevel"/>
    <w:tmpl w:val="E8AE19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35935"/>
    <w:multiLevelType w:val="hybridMultilevel"/>
    <w:tmpl w:val="41107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AAD4EC9"/>
    <w:multiLevelType w:val="hybridMultilevel"/>
    <w:tmpl w:val="78EA1184"/>
    <w:lvl w:ilvl="0" w:tplc="597205F8">
      <w:start w:val="1"/>
      <w:numFmt w:val="decimal"/>
      <w:lvlText w:val="%1."/>
      <w:lvlJc w:val="left"/>
      <w:pPr>
        <w:ind w:left="144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34961873">
    <w:abstractNumId w:val="1"/>
  </w:num>
  <w:num w:numId="2" w16cid:durableId="1796752155">
    <w:abstractNumId w:val="0"/>
  </w:num>
  <w:num w:numId="3" w16cid:durableId="1833058163">
    <w:abstractNumId w:val="3"/>
  </w:num>
  <w:num w:numId="4" w16cid:durableId="151996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AF0"/>
    <w:rsid w:val="00000D1C"/>
    <w:rsid w:val="00041D9F"/>
    <w:rsid w:val="00053B4D"/>
    <w:rsid w:val="00055081"/>
    <w:rsid w:val="0006026E"/>
    <w:rsid w:val="0006062E"/>
    <w:rsid w:val="00087E69"/>
    <w:rsid w:val="000B2028"/>
    <w:rsid w:val="000B275E"/>
    <w:rsid w:val="000C0ECB"/>
    <w:rsid w:val="000C4A36"/>
    <w:rsid w:val="000C5343"/>
    <w:rsid w:val="000D59CB"/>
    <w:rsid w:val="000E3027"/>
    <w:rsid w:val="00121035"/>
    <w:rsid w:val="00130008"/>
    <w:rsid w:val="0013170B"/>
    <w:rsid w:val="0014295A"/>
    <w:rsid w:val="001578CC"/>
    <w:rsid w:val="00184D12"/>
    <w:rsid w:val="001905D4"/>
    <w:rsid w:val="001B0795"/>
    <w:rsid w:val="001B4EAF"/>
    <w:rsid w:val="001D1083"/>
    <w:rsid w:val="001F000A"/>
    <w:rsid w:val="001F12B4"/>
    <w:rsid w:val="001F5CAD"/>
    <w:rsid w:val="00233A82"/>
    <w:rsid w:val="00253A8B"/>
    <w:rsid w:val="002554B3"/>
    <w:rsid w:val="002715F7"/>
    <w:rsid w:val="002B5A25"/>
    <w:rsid w:val="002C132D"/>
    <w:rsid w:val="002D3140"/>
    <w:rsid w:val="002D578F"/>
    <w:rsid w:val="00304481"/>
    <w:rsid w:val="00312586"/>
    <w:rsid w:val="003449DA"/>
    <w:rsid w:val="0034567B"/>
    <w:rsid w:val="003478F7"/>
    <w:rsid w:val="00352764"/>
    <w:rsid w:val="00387604"/>
    <w:rsid w:val="00392771"/>
    <w:rsid w:val="003B622A"/>
    <w:rsid w:val="003D0453"/>
    <w:rsid w:val="004267E1"/>
    <w:rsid w:val="00440A59"/>
    <w:rsid w:val="00485951"/>
    <w:rsid w:val="004930F9"/>
    <w:rsid w:val="004A4E99"/>
    <w:rsid w:val="004A5647"/>
    <w:rsid w:val="004B2A29"/>
    <w:rsid w:val="004E0F19"/>
    <w:rsid w:val="004E197E"/>
    <w:rsid w:val="00514E04"/>
    <w:rsid w:val="00596031"/>
    <w:rsid w:val="005B52D9"/>
    <w:rsid w:val="005C6849"/>
    <w:rsid w:val="00601BDD"/>
    <w:rsid w:val="0060366D"/>
    <w:rsid w:val="00647DED"/>
    <w:rsid w:val="006548AD"/>
    <w:rsid w:val="00667221"/>
    <w:rsid w:val="006736F9"/>
    <w:rsid w:val="00675DC7"/>
    <w:rsid w:val="00683501"/>
    <w:rsid w:val="006B0BE1"/>
    <w:rsid w:val="006D4249"/>
    <w:rsid w:val="006F61CA"/>
    <w:rsid w:val="00737B6A"/>
    <w:rsid w:val="00757CED"/>
    <w:rsid w:val="00762A19"/>
    <w:rsid w:val="007A354B"/>
    <w:rsid w:val="007D7A61"/>
    <w:rsid w:val="007E23F0"/>
    <w:rsid w:val="007F1076"/>
    <w:rsid w:val="0082129B"/>
    <w:rsid w:val="00833E76"/>
    <w:rsid w:val="00860EC4"/>
    <w:rsid w:val="0086148B"/>
    <w:rsid w:val="00862A5F"/>
    <w:rsid w:val="00887245"/>
    <w:rsid w:val="008A4272"/>
    <w:rsid w:val="008B2205"/>
    <w:rsid w:val="008D7B2F"/>
    <w:rsid w:val="008F5773"/>
    <w:rsid w:val="0091317D"/>
    <w:rsid w:val="009471DA"/>
    <w:rsid w:val="00950C35"/>
    <w:rsid w:val="009722AA"/>
    <w:rsid w:val="009735EC"/>
    <w:rsid w:val="009A0011"/>
    <w:rsid w:val="009C5642"/>
    <w:rsid w:val="009D7122"/>
    <w:rsid w:val="00A16C0C"/>
    <w:rsid w:val="00A300A9"/>
    <w:rsid w:val="00A350FB"/>
    <w:rsid w:val="00A54AF0"/>
    <w:rsid w:val="00A5783E"/>
    <w:rsid w:val="00A7082D"/>
    <w:rsid w:val="00A7095D"/>
    <w:rsid w:val="00A82641"/>
    <w:rsid w:val="00A931F0"/>
    <w:rsid w:val="00A96E54"/>
    <w:rsid w:val="00AC29DB"/>
    <w:rsid w:val="00AC6B4B"/>
    <w:rsid w:val="00AD79E9"/>
    <w:rsid w:val="00AE52A3"/>
    <w:rsid w:val="00B07592"/>
    <w:rsid w:val="00B44FB9"/>
    <w:rsid w:val="00B71591"/>
    <w:rsid w:val="00B74FDC"/>
    <w:rsid w:val="00BA57BB"/>
    <w:rsid w:val="00BD75E3"/>
    <w:rsid w:val="00C06D11"/>
    <w:rsid w:val="00C1455B"/>
    <w:rsid w:val="00C36EC1"/>
    <w:rsid w:val="00C40D80"/>
    <w:rsid w:val="00C75809"/>
    <w:rsid w:val="00C77CCA"/>
    <w:rsid w:val="00CA12CB"/>
    <w:rsid w:val="00CE2CCB"/>
    <w:rsid w:val="00CE4CF6"/>
    <w:rsid w:val="00D02CDF"/>
    <w:rsid w:val="00D11501"/>
    <w:rsid w:val="00D36E37"/>
    <w:rsid w:val="00D6171B"/>
    <w:rsid w:val="00DC51E5"/>
    <w:rsid w:val="00E31E91"/>
    <w:rsid w:val="00E92C53"/>
    <w:rsid w:val="00E97F9B"/>
    <w:rsid w:val="00ED659B"/>
    <w:rsid w:val="00EE614E"/>
    <w:rsid w:val="00F06CD1"/>
    <w:rsid w:val="00F36C67"/>
    <w:rsid w:val="00F40AE8"/>
    <w:rsid w:val="00F443FF"/>
    <w:rsid w:val="00F751C1"/>
    <w:rsid w:val="00FA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EEC3"/>
  <w15:chartTrackingRefBased/>
  <w15:docId w15:val="{B1F25BE9-FB9C-4A2C-ACF4-6EB953A52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4AF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4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4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4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4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4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4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4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4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4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4AF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4AF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4AF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4AF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4AF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4AF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4AF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4AF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4AF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A54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4AF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4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4AF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A54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4AF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A54A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4A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4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4AF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A54AF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nhideWhenUsed/>
    <w:rsid w:val="00A54AF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54AF0"/>
    <w:rPr>
      <w:sz w:val="20"/>
      <w:szCs w:val="20"/>
      <w:lang w:val="es-PR"/>
    </w:rPr>
  </w:style>
  <w:style w:type="character" w:styleId="FootnoteReference">
    <w:name w:val="footnote reference"/>
    <w:unhideWhenUsed/>
    <w:rsid w:val="00A54AF0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F9B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E97F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F9B"/>
    <w:rPr>
      <w:lang w:val="es-PR"/>
    </w:rPr>
  </w:style>
  <w:style w:type="character" w:customStyle="1" w:styleId="hps">
    <w:name w:val="hps"/>
    <w:basedOn w:val="DefaultParagraphFont"/>
    <w:rsid w:val="00392771"/>
  </w:style>
  <w:style w:type="character" w:styleId="Hyperlink">
    <w:name w:val="Hyperlink"/>
    <w:basedOn w:val="DefaultParagraphFont"/>
    <w:uiPriority w:val="99"/>
    <w:unhideWhenUsed/>
    <w:rsid w:val="009471D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71DA"/>
    <w:rPr>
      <w:color w:val="605E5C"/>
      <w:shd w:val="clear" w:color="auto" w:fill="E1DFDD"/>
    </w:rPr>
  </w:style>
  <w:style w:type="paragraph" w:styleId="NormalWeb">
    <w:name w:val="Normal (Web)"/>
    <w:basedOn w:val="Normal"/>
    <w:unhideWhenUsed/>
    <w:rsid w:val="0060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16C0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15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metro.pr/noticias/2025/04/22/a-contrarreloj-el-plan-climatico-senado-contempla-prorroga/" TargetMode="External"/><Relationship Id="rId7" Type="http://schemas.openxmlformats.org/officeDocument/2006/relationships/hyperlink" Target="https://www.facebook.com/DeptEstadoPR/videos/561297246607874" TargetMode="External"/><Relationship Id="rId2" Type="http://schemas.openxmlformats.org/officeDocument/2006/relationships/hyperlink" Target="https://www.metro.pr/noticias/2025/04/22/a-contrarreloj-el-plan-climatico-senado-contempla-prorroga/" TargetMode="External"/><Relationship Id="rId1" Type="http://schemas.openxmlformats.org/officeDocument/2006/relationships/hyperlink" Target="https://www.noticel.com/la-calle/top-stories/ambiente/20240423/entrega-a-la-legislatura-borrador-el-plan-para-enfrentar-el-cambio-climatico/" TargetMode="External"/><Relationship Id="rId6" Type="http://schemas.openxmlformats.org/officeDocument/2006/relationships/hyperlink" Target="https://www.metro.pr/noticias/2025/04/22/a-contrarreloj-el-plan-climatico-senado-contempla-prorroga/" TargetMode="External"/><Relationship Id="rId5" Type="http://schemas.openxmlformats.org/officeDocument/2006/relationships/hyperlink" Target="https://www.facebook.com/DeptEstadoPR/videos/561297246607874" TargetMode="External"/><Relationship Id="rId4" Type="http://schemas.openxmlformats.org/officeDocument/2006/relationships/hyperlink" Target="https://www.drna.pr.gov/ceacc/publicaciones/borrador-final-plan-ceacc-202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1549E-9BAA-451C-803C-DF0700CF5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1203</Words>
  <Characters>6862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E. González Ramos</dc:creator>
  <cp:keywords/>
  <dc:description/>
  <cp:lastModifiedBy>Camyl Moreno Pantojas</cp:lastModifiedBy>
  <cp:revision>2</cp:revision>
  <cp:lastPrinted>2025-05-01T12:33:00Z</cp:lastPrinted>
  <dcterms:created xsi:type="dcterms:W3CDTF">2025-05-01T19:08:00Z</dcterms:created>
  <dcterms:modified xsi:type="dcterms:W3CDTF">2025-05-01T19:08:00Z</dcterms:modified>
</cp:coreProperties>
</file>