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53080668"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953576">
        <w:rPr>
          <w:rFonts w:ascii="Book Antiqua" w:hAnsi="Book Antiqua"/>
          <w:b/>
          <w:sz w:val="52"/>
          <w:szCs w:val="52"/>
          <w:lang w:val="es-ES_tradnl"/>
        </w:rPr>
        <w:t>557</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75677E6D" w:rsidR="006705DD" w:rsidRPr="00B95434" w:rsidRDefault="006E5E0A" w:rsidP="006705DD">
      <w:pPr>
        <w:jc w:val="center"/>
        <w:rPr>
          <w:rFonts w:ascii="Book Antiqua" w:hAnsi="Book Antiqua"/>
          <w:szCs w:val="24"/>
          <w:lang w:val="es-ES_tradnl"/>
        </w:rPr>
      </w:pPr>
      <w:r>
        <w:rPr>
          <w:rFonts w:ascii="Book Antiqua" w:hAnsi="Book Antiqua"/>
          <w:szCs w:val="24"/>
          <w:lang w:val="es-ES_tradnl"/>
        </w:rPr>
        <w:t>19</w:t>
      </w:r>
      <w:r w:rsidR="006705DD" w:rsidRPr="00FC11CC">
        <w:rPr>
          <w:rFonts w:ascii="Book Antiqua" w:hAnsi="Book Antiqua"/>
          <w:szCs w:val="24"/>
          <w:lang w:val="es-ES_tradnl"/>
        </w:rPr>
        <w:t xml:space="preserve"> de</w:t>
      </w:r>
      <w:r w:rsidR="00182ED3">
        <w:rPr>
          <w:rFonts w:ascii="Book Antiqua" w:hAnsi="Book Antiqua"/>
          <w:szCs w:val="24"/>
          <w:lang w:val="es-ES_tradnl"/>
        </w:rPr>
        <w:t xml:space="preserve"> </w:t>
      </w:r>
      <w:r w:rsidR="005F3B18">
        <w:rPr>
          <w:rFonts w:ascii="Book Antiqua" w:hAnsi="Book Antiqua"/>
          <w:szCs w:val="24"/>
          <w:lang w:val="es-ES_tradnl"/>
        </w:rPr>
        <w:t>junio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167BFAB2"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953576">
        <w:rPr>
          <w:rFonts w:ascii="Book Antiqua" w:hAnsi="Book Antiqua" w:cs="Arial"/>
          <w:lang w:val="es-ES"/>
        </w:rPr>
        <w:t>557</w:t>
      </w:r>
      <w:r w:rsidR="0087700A">
        <w:rPr>
          <w:rFonts w:ascii="Book Antiqua" w:hAnsi="Book Antiqua" w:cs="Arial"/>
          <w:lang w:val="es-ES"/>
        </w:rPr>
        <w:t xml:space="preserve">, tiene el honor de recomendar a este Alto Cuerpo su aprobación, con las enmiendas que se incluyen en el entirillado electrónico que acompaña este </w:t>
      </w:r>
      <w:r w:rsidR="00CF4C09">
        <w:rPr>
          <w:rFonts w:ascii="Book Antiqua" w:hAnsi="Book Antiqua" w:cs="Arial"/>
          <w:lang w:val="es-ES"/>
        </w:rPr>
        <w:t>i</w:t>
      </w:r>
      <w:r w:rsidR="0087700A">
        <w:rPr>
          <w:rFonts w:ascii="Book Antiqua" w:hAnsi="Book Antiqua" w:cs="Arial"/>
          <w:lang w:val="es-ES"/>
        </w:rPr>
        <w:t xml:space="preserve">nforme. </w:t>
      </w:r>
    </w:p>
    <w:p w14:paraId="0C8A8066" w14:textId="77777777" w:rsidR="00276C3E" w:rsidRPr="00241786" w:rsidRDefault="00276C3E" w:rsidP="0087700A">
      <w:pPr>
        <w:jc w:val="center"/>
        <w:rPr>
          <w:rFonts w:ascii="Book Antiqua" w:hAnsi="Book Antiqua"/>
          <w:b/>
          <w:i/>
          <w:smallCaps/>
          <w:szCs w:val="24"/>
          <w:lang w:val="es-ES"/>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356DD985" w14:textId="77777777" w:rsidR="00276C3E" w:rsidRPr="00760D4D" w:rsidRDefault="00276C3E" w:rsidP="0087700A">
      <w:pPr>
        <w:jc w:val="center"/>
        <w:rPr>
          <w:rFonts w:ascii="Book Antiqua" w:hAnsi="Book Antiqua"/>
          <w:b/>
          <w:i/>
          <w:smallCaps/>
          <w:szCs w:val="24"/>
          <w:lang w:val="es-ES_tradnl"/>
        </w:rPr>
      </w:pPr>
    </w:p>
    <w:bookmarkEnd w:id="0"/>
    <w:p w14:paraId="345E029D" w14:textId="298D7B30" w:rsidR="00182ED3"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953576">
        <w:rPr>
          <w:rFonts w:ascii="Book Antiqua" w:hAnsi="Book Antiqua" w:cs="Arial"/>
          <w:lang w:val="es-ES"/>
        </w:rPr>
        <w:t>557</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 xml:space="preserve">n radicado, </w:t>
      </w:r>
      <w:r w:rsidR="009E093A">
        <w:rPr>
          <w:rFonts w:ascii="Book Antiqua" w:hAnsi="Book Antiqua" w:cs="Arial"/>
          <w:lang w:val="es-ES"/>
        </w:rPr>
        <w:t xml:space="preserve">busca </w:t>
      </w:r>
      <w:r w:rsidR="00953576" w:rsidRPr="00953576">
        <w:rPr>
          <w:rFonts w:ascii="Book Antiqua" w:hAnsi="Book Antiqua" w:cs="Arial"/>
          <w:lang w:val="es-ES"/>
        </w:rPr>
        <w:t xml:space="preserve"> añadir un nuevo inciso (j) al Artículo 2.021 y un nuevo inciso (45(a)) al Artículo 8.001 de la Ley 107-2020, conocida como “Código Municipal de Puerto Rico”, con el propósito de establecer que cuando surja la necesidad de vender un vehículo de motor, maquinaria, máquinas o aparatos que ya no funcionen y estén en desuso o cualquier bien mueble el cual para los efectos de la tasación para contribuciones has sido valorado en menos de cinco mil dólares ($5,000.00) se pueda hacer lo mismo directamente con un comprador y no mediante subasta pública.</w:t>
      </w:r>
    </w:p>
    <w:p w14:paraId="3F6D663B" w14:textId="77777777" w:rsidR="00A76B51" w:rsidRDefault="00A76B51" w:rsidP="00A76B51">
      <w:pPr>
        <w:autoSpaceDE w:val="0"/>
        <w:autoSpaceDN w:val="0"/>
        <w:adjustRightInd w:val="0"/>
        <w:jc w:val="both"/>
        <w:rPr>
          <w:rFonts w:ascii="Book Antiqua" w:hAnsi="Book Antiqua" w:cs="Arial"/>
          <w:lang w:val="es-ES"/>
        </w:rPr>
      </w:pPr>
    </w:p>
    <w:p w14:paraId="5D3F4CA3" w14:textId="572DC0E4" w:rsidR="00953576" w:rsidRPr="00953576" w:rsidRDefault="00182ED3" w:rsidP="00953576">
      <w:pPr>
        <w:jc w:val="both"/>
        <w:rPr>
          <w:rStyle w:val="Bodytext2"/>
          <w:rFonts w:ascii="Book Antiqua" w:hAnsi="Book Antiqua"/>
          <w:shd w:val="clear" w:color="auto" w:fill="auto"/>
          <w:lang w:val="es-PR"/>
        </w:rPr>
      </w:pPr>
      <w:r w:rsidRPr="000245A3">
        <w:rPr>
          <w:rFonts w:ascii="Book Antiqua" w:hAnsi="Book Antiqua" w:cs="Arial"/>
          <w:szCs w:val="24"/>
          <w:lang w:val="es-ES"/>
        </w:rPr>
        <w:t xml:space="preserve">Según establece la Exposición de Motivos del P. de la C. </w:t>
      </w:r>
      <w:r w:rsidR="00953576">
        <w:rPr>
          <w:rFonts w:ascii="Book Antiqua" w:hAnsi="Book Antiqua" w:cs="Arial"/>
          <w:szCs w:val="24"/>
          <w:lang w:val="es-ES"/>
        </w:rPr>
        <w:t>557</w:t>
      </w:r>
      <w:r w:rsidR="005F3B18" w:rsidRPr="000245A3">
        <w:rPr>
          <w:rFonts w:ascii="Book Antiqua" w:hAnsi="Book Antiqua" w:cs="Arial"/>
          <w:szCs w:val="24"/>
          <w:lang w:val="es-ES"/>
        </w:rPr>
        <w:t xml:space="preserve">, </w:t>
      </w:r>
      <w:r w:rsidR="00953576">
        <w:rPr>
          <w:rStyle w:val="Bodytext2"/>
          <w:rFonts w:ascii="Book Antiqua" w:hAnsi="Book Antiqua"/>
          <w:color w:val="000000"/>
          <w:szCs w:val="24"/>
          <w:lang w:val="es-PR" w:eastAsia="es-ES_tradnl"/>
        </w:rPr>
        <w:t>e</w:t>
      </w:r>
      <w:r w:rsidR="00953576" w:rsidRPr="005C4095">
        <w:rPr>
          <w:rStyle w:val="Bodytext2"/>
          <w:rFonts w:ascii="Book Antiqua" w:hAnsi="Book Antiqua"/>
          <w:color w:val="000000"/>
          <w:szCs w:val="24"/>
          <w:lang w:val="es-PR" w:eastAsia="es-ES_tradnl"/>
        </w:rPr>
        <w:t xml:space="preserve">l </w:t>
      </w:r>
      <w:r w:rsidR="00953576">
        <w:rPr>
          <w:rStyle w:val="Bodytext2"/>
          <w:rFonts w:ascii="Book Antiqua" w:hAnsi="Book Antiqua"/>
          <w:color w:val="000000"/>
          <w:szCs w:val="24"/>
          <w:lang w:val="es-PR" w:eastAsia="es-ES_tradnl"/>
        </w:rPr>
        <w:t>“</w:t>
      </w:r>
      <w:r w:rsidR="00953576" w:rsidRPr="005C4095">
        <w:rPr>
          <w:rStyle w:val="Bodytext2"/>
          <w:rFonts w:ascii="Book Antiqua" w:hAnsi="Book Antiqua"/>
          <w:color w:val="000000"/>
          <w:szCs w:val="24"/>
          <w:lang w:val="es-PR" w:eastAsia="es-ES_tradnl"/>
        </w:rPr>
        <w:t>Código Municipal</w:t>
      </w:r>
      <w:r w:rsidR="00953576">
        <w:rPr>
          <w:rStyle w:val="Bodytext2"/>
          <w:rFonts w:ascii="Book Antiqua" w:hAnsi="Book Antiqua"/>
          <w:color w:val="000000"/>
          <w:szCs w:val="24"/>
          <w:lang w:val="es-PR" w:eastAsia="es-ES_tradnl"/>
        </w:rPr>
        <w:t xml:space="preserve"> de Puerto Rico” (Código Municipal)</w:t>
      </w:r>
      <w:r w:rsidR="00953576" w:rsidRPr="005C4095">
        <w:rPr>
          <w:rStyle w:val="Bodytext2"/>
          <w:rFonts w:ascii="Book Antiqua" w:hAnsi="Book Antiqua"/>
          <w:color w:val="000000"/>
          <w:szCs w:val="24"/>
          <w:lang w:val="es-PR" w:eastAsia="es-ES_tradnl"/>
        </w:rPr>
        <w:t xml:space="preserve"> dictamina que toda venta de propiedad municipal deberá ser aprobada por la Legislatura Municipal mediante ordenanza o resolución al efecto.</w:t>
      </w:r>
      <w:r w:rsidR="00953576">
        <w:rPr>
          <w:rStyle w:val="FootnoteReference"/>
          <w:rFonts w:ascii="Book Antiqua" w:hAnsi="Book Antiqua"/>
          <w:color w:val="000000"/>
          <w:szCs w:val="24"/>
          <w:shd w:val="clear" w:color="auto" w:fill="FFFFFF"/>
          <w:lang w:val="es-PR" w:eastAsia="es-ES_tradnl"/>
        </w:rPr>
        <w:footnoteReference w:id="1"/>
      </w:r>
      <w:r w:rsidR="00953576" w:rsidRPr="005C4095">
        <w:rPr>
          <w:rStyle w:val="Bodytext2"/>
          <w:rFonts w:ascii="Book Antiqua" w:hAnsi="Book Antiqua"/>
          <w:color w:val="000000"/>
          <w:szCs w:val="24"/>
          <w:lang w:val="es-PR" w:eastAsia="es-ES_tradnl"/>
        </w:rPr>
        <w:t xml:space="preserve"> La venta de cualquier propiedad municipal debe hacerse mediante el proceso de subasta pública, pero el mismo Código enumera las instancias en que están exceptuados de los procesos de subasta pública la venta de propiedad municipal.</w:t>
      </w:r>
      <w:r w:rsidR="00953576">
        <w:rPr>
          <w:rStyle w:val="FootnoteReference"/>
          <w:rFonts w:ascii="Book Antiqua" w:hAnsi="Book Antiqua"/>
          <w:color w:val="000000"/>
          <w:szCs w:val="24"/>
          <w:shd w:val="clear" w:color="auto" w:fill="FFFFFF"/>
          <w:lang w:val="es-PR" w:eastAsia="es-ES_tradnl"/>
        </w:rPr>
        <w:footnoteReference w:id="2"/>
      </w:r>
    </w:p>
    <w:p w14:paraId="2548C964" w14:textId="77777777" w:rsidR="00953576" w:rsidRDefault="00953576" w:rsidP="00953576">
      <w:pPr>
        <w:jc w:val="both"/>
        <w:rPr>
          <w:rStyle w:val="Bodytext2"/>
          <w:rFonts w:ascii="Book Antiqua" w:hAnsi="Book Antiqua"/>
          <w:color w:val="000000"/>
          <w:szCs w:val="24"/>
          <w:lang w:val="es-PR" w:eastAsia="es-ES_tradnl"/>
        </w:rPr>
      </w:pPr>
      <w:r w:rsidRPr="005C4095">
        <w:rPr>
          <w:rStyle w:val="Bodytext2"/>
          <w:rFonts w:ascii="Book Antiqua" w:hAnsi="Book Antiqua"/>
          <w:color w:val="000000"/>
          <w:szCs w:val="24"/>
          <w:lang w:val="es-PR" w:eastAsia="es-ES_tradnl"/>
        </w:rPr>
        <w:lastRenderedPageBreak/>
        <w:t xml:space="preserve">El Código Municipal en su Capítulo V, Artículo 2.035, </w:t>
      </w:r>
      <w:r>
        <w:rPr>
          <w:rStyle w:val="Bodytext2"/>
          <w:rFonts w:ascii="Book Antiqua" w:hAnsi="Book Antiqua"/>
          <w:color w:val="000000"/>
          <w:szCs w:val="24"/>
          <w:lang w:val="es-PR" w:eastAsia="es-ES_tradnl"/>
        </w:rPr>
        <w:t>describe</w:t>
      </w:r>
      <w:r w:rsidRPr="005C4095">
        <w:rPr>
          <w:rStyle w:val="Bodytext2"/>
          <w:rFonts w:ascii="Book Antiqua" w:hAnsi="Book Antiqua"/>
          <w:color w:val="000000"/>
          <w:szCs w:val="24"/>
          <w:lang w:val="es-PR" w:eastAsia="es-ES_tradnl"/>
        </w:rPr>
        <w:t xml:space="preserve"> el proceso para llevar a</w:t>
      </w:r>
      <w:r>
        <w:rPr>
          <w:rStyle w:val="Bodytext2"/>
          <w:rFonts w:ascii="Book Antiqua" w:hAnsi="Book Antiqua"/>
          <w:color w:val="000000"/>
          <w:szCs w:val="24"/>
          <w:lang w:val="es-PR" w:eastAsia="es-ES_tradnl"/>
        </w:rPr>
        <w:t xml:space="preserve"> </w:t>
      </w:r>
      <w:r w:rsidRPr="005C4095">
        <w:rPr>
          <w:rStyle w:val="Bodytext2"/>
          <w:rFonts w:ascii="Book Antiqua" w:hAnsi="Book Antiqua"/>
          <w:color w:val="000000"/>
          <w:szCs w:val="24"/>
          <w:lang w:val="es-PR" w:eastAsia="es-ES_tradnl"/>
        </w:rPr>
        <w:t>cabo una subasta pública para la venta de propiedad mueble y el proceso para licitar.</w:t>
      </w:r>
      <w:r>
        <w:rPr>
          <w:rStyle w:val="FootnoteReference"/>
          <w:rFonts w:ascii="Book Antiqua" w:hAnsi="Book Antiqua"/>
          <w:color w:val="000000"/>
          <w:szCs w:val="24"/>
          <w:shd w:val="clear" w:color="auto" w:fill="FFFFFF"/>
          <w:lang w:val="es-PR" w:eastAsia="es-ES_tradnl"/>
        </w:rPr>
        <w:footnoteReference w:id="3"/>
      </w:r>
      <w:r w:rsidRPr="005C4095">
        <w:rPr>
          <w:rStyle w:val="Bodytext2"/>
          <w:rFonts w:ascii="Book Antiqua" w:hAnsi="Book Antiqua"/>
          <w:color w:val="000000"/>
          <w:szCs w:val="24"/>
          <w:lang w:val="es-PR" w:eastAsia="es-ES_tradnl"/>
        </w:rPr>
        <w:t xml:space="preserve"> El código</w:t>
      </w:r>
      <w:r>
        <w:rPr>
          <w:rStyle w:val="Bodytext2"/>
          <w:rFonts w:ascii="Book Antiqua" w:hAnsi="Book Antiqua"/>
          <w:color w:val="000000"/>
          <w:szCs w:val="24"/>
          <w:lang w:val="es-PR" w:eastAsia="es-ES_tradnl"/>
        </w:rPr>
        <w:t xml:space="preserve"> </w:t>
      </w:r>
      <w:r w:rsidRPr="005C4095">
        <w:rPr>
          <w:rStyle w:val="Bodytext2"/>
          <w:rFonts w:ascii="Book Antiqua" w:hAnsi="Book Antiqua"/>
          <w:color w:val="000000"/>
          <w:szCs w:val="24"/>
          <w:lang w:val="es-PR" w:eastAsia="es-ES_tradnl"/>
        </w:rPr>
        <w:t>limita la subasta pública para las compras de materiales, equipo, comestibles, medicinas y otros</w:t>
      </w:r>
      <w:r>
        <w:rPr>
          <w:rStyle w:val="Bodytext2"/>
          <w:rFonts w:ascii="Book Antiqua" w:hAnsi="Book Antiqua"/>
          <w:color w:val="000000"/>
          <w:szCs w:val="24"/>
          <w:lang w:val="es-PR" w:eastAsia="es-ES_tradnl"/>
        </w:rPr>
        <w:t xml:space="preserve"> </w:t>
      </w:r>
      <w:r w:rsidRPr="005C4095">
        <w:rPr>
          <w:rStyle w:val="Bodytext2"/>
          <w:rFonts w:ascii="Book Antiqua" w:hAnsi="Book Antiqua"/>
          <w:color w:val="000000"/>
          <w:szCs w:val="24"/>
          <w:lang w:val="es-PR" w:eastAsia="es-ES_tradnl"/>
        </w:rPr>
        <w:t>suministros de igual o similar naturaleza, uso o características que excedan de cien mil dólares</w:t>
      </w:r>
      <w:r>
        <w:rPr>
          <w:rStyle w:val="Bodytext2"/>
          <w:rFonts w:ascii="Book Antiqua" w:hAnsi="Book Antiqua"/>
          <w:color w:val="000000"/>
          <w:szCs w:val="24"/>
          <w:lang w:val="es-PR" w:eastAsia="es-ES_tradnl"/>
        </w:rPr>
        <w:t xml:space="preserve"> </w:t>
      </w:r>
      <w:r w:rsidRPr="005C4095">
        <w:rPr>
          <w:rStyle w:val="Bodytext2"/>
          <w:rFonts w:ascii="Book Antiqua" w:hAnsi="Book Antiqua"/>
          <w:color w:val="000000"/>
          <w:szCs w:val="24"/>
          <w:lang w:val="es-PR" w:eastAsia="es-ES_tradnl"/>
        </w:rPr>
        <w:t>(</w:t>
      </w:r>
      <w:r>
        <w:rPr>
          <w:rStyle w:val="Bodytext2"/>
          <w:rFonts w:ascii="Book Antiqua" w:hAnsi="Book Antiqua"/>
          <w:color w:val="000000"/>
          <w:szCs w:val="24"/>
          <w:lang w:val="es-PR" w:eastAsia="es-ES_tradnl"/>
        </w:rPr>
        <w:t>$</w:t>
      </w:r>
      <w:r w:rsidRPr="005C4095">
        <w:rPr>
          <w:rStyle w:val="Bodytext2"/>
          <w:rFonts w:ascii="Book Antiqua" w:hAnsi="Book Antiqua"/>
          <w:color w:val="000000"/>
          <w:szCs w:val="24"/>
          <w:lang w:val="es-PR" w:eastAsia="es-ES_tradnl"/>
        </w:rPr>
        <w:t>100,000</w:t>
      </w:r>
      <w:r>
        <w:rPr>
          <w:rStyle w:val="Bodytext2"/>
          <w:rFonts w:ascii="Book Antiqua" w:hAnsi="Book Antiqua"/>
          <w:color w:val="000000"/>
          <w:szCs w:val="24"/>
          <w:lang w:val="es-PR" w:eastAsia="es-ES_tradnl"/>
        </w:rPr>
        <w:t>.00</w:t>
      </w:r>
      <w:r w:rsidRPr="005C4095">
        <w:rPr>
          <w:rStyle w:val="Bodytext2"/>
          <w:rFonts w:ascii="Book Antiqua" w:hAnsi="Book Antiqua"/>
          <w:color w:val="000000"/>
          <w:szCs w:val="24"/>
          <w:lang w:val="es-PR" w:eastAsia="es-ES_tradnl"/>
        </w:rPr>
        <w:t>).</w:t>
      </w:r>
      <w:r>
        <w:rPr>
          <w:rStyle w:val="FootnoteReference"/>
          <w:rFonts w:ascii="Book Antiqua" w:hAnsi="Book Antiqua"/>
          <w:color w:val="000000"/>
          <w:szCs w:val="24"/>
          <w:shd w:val="clear" w:color="auto" w:fill="FFFFFF"/>
          <w:lang w:val="es-PR" w:eastAsia="es-ES_tradnl"/>
        </w:rPr>
        <w:footnoteReference w:id="4"/>
      </w:r>
      <w:r w:rsidRPr="005C4095">
        <w:rPr>
          <w:rStyle w:val="Bodytext2"/>
          <w:rFonts w:ascii="Book Antiqua" w:hAnsi="Book Antiqua"/>
          <w:color w:val="000000"/>
          <w:szCs w:val="24"/>
          <w:lang w:val="es-PR" w:eastAsia="es-ES_tradnl"/>
        </w:rPr>
        <w:t xml:space="preserve"> Pero no así limita la subasta pública para la venta de propiedad mueble.</w:t>
      </w:r>
    </w:p>
    <w:p w14:paraId="26E9D698" w14:textId="77777777" w:rsidR="00953576" w:rsidRDefault="00953576" w:rsidP="00953576">
      <w:pPr>
        <w:pStyle w:val="Bodytext20"/>
        <w:shd w:val="clear" w:color="auto" w:fill="auto"/>
        <w:spacing w:line="240" w:lineRule="auto"/>
        <w:ind w:firstLine="0"/>
        <w:jc w:val="both"/>
        <w:rPr>
          <w:rStyle w:val="Bodytext2"/>
          <w:rFonts w:ascii="Book Antiqua" w:hAnsi="Book Antiqua"/>
          <w:color w:val="000000"/>
          <w:sz w:val="24"/>
          <w:szCs w:val="24"/>
          <w:lang w:val="es-PR" w:eastAsia="es-ES_tradnl"/>
        </w:rPr>
      </w:pPr>
    </w:p>
    <w:p w14:paraId="0B9F1EEA" w14:textId="6D0654A3" w:rsidR="00953576" w:rsidRDefault="00953576" w:rsidP="00953576">
      <w:pPr>
        <w:pStyle w:val="Bodytext20"/>
        <w:shd w:val="clear" w:color="auto" w:fill="auto"/>
        <w:spacing w:line="240" w:lineRule="auto"/>
        <w:ind w:firstLine="0"/>
        <w:jc w:val="both"/>
        <w:rPr>
          <w:rStyle w:val="Bodytext2"/>
          <w:rFonts w:ascii="Book Antiqua" w:hAnsi="Book Antiqua"/>
          <w:color w:val="000000"/>
          <w:sz w:val="24"/>
          <w:szCs w:val="24"/>
          <w:lang w:val="es-PR" w:eastAsia="es-ES_tradnl"/>
        </w:rPr>
      </w:pPr>
      <w:r>
        <w:rPr>
          <w:rStyle w:val="Bodytext2"/>
          <w:rFonts w:ascii="Book Antiqua" w:hAnsi="Book Antiqua"/>
          <w:color w:val="000000"/>
          <w:sz w:val="24"/>
          <w:szCs w:val="24"/>
          <w:lang w:val="es-PR" w:eastAsia="es-ES_tradnl"/>
        </w:rPr>
        <w:t>Según el criterio de la medida, e</w:t>
      </w:r>
      <w:r w:rsidRPr="005C4095">
        <w:rPr>
          <w:rStyle w:val="Bodytext2"/>
          <w:rFonts w:ascii="Book Antiqua" w:hAnsi="Book Antiqua"/>
          <w:color w:val="000000"/>
          <w:sz w:val="24"/>
          <w:szCs w:val="24"/>
          <w:lang w:val="es-PR" w:eastAsia="es-ES_tradnl"/>
        </w:rPr>
        <w:t>l proceso interno de los municipios para preparar una subasta pública es largo y costoso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 xml:space="preserve">y </w:t>
      </w:r>
      <w:r>
        <w:rPr>
          <w:rStyle w:val="Bodytext2"/>
          <w:rFonts w:ascii="Book Antiqua" w:hAnsi="Book Antiqua"/>
          <w:color w:val="000000"/>
          <w:sz w:val="24"/>
          <w:szCs w:val="24"/>
          <w:lang w:val="es-PR" w:eastAsia="es-ES_tradnl"/>
        </w:rPr>
        <w:t>cuando</w:t>
      </w:r>
      <w:r w:rsidRPr="005C4095">
        <w:rPr>
          <w:rStyle w:val="Bodytext2"/>
          <w:rFonts w:ascii="Book Antiqua" w:hAnsi="Book Antiqua"/>
          <w:color w:val="000000"/>
          <w:sz w:val="24"/>
          <w:szCs w:val="24"/>
          <w:lang w:val="es-PR" w:eastAsia="es-ES_tradnl"/>
        </w:rPr>
        <w:t xml:space="preserve"> la subasta </w:t>
      </w:r>
      <w:r>
        <w:rPr>
          <w:rStyle w:val="Bodytext2"/>
          <w:rFonts w:ascii="Book Antiqua" w:hAnsi="Book Antiqua"/>
          <w:color w:val="000000"/>
          <w:sz w:val="24"/>
          <w:szCs w:val="24"/>
          <w:lang w:val="es-PR" w:eastAsia="es-ES_tradnl"/>
        </w:rPr>
        <w:t>se declara</w:t>
      </w:r>
      <w:r w:rsidRPr="005C4095">
        <w:rPr>
          <w:rStyle w:val="Bodytext2"/>
          <w:rFonts w:ascii="Book Antiqua" w:hAnsi="Book Antiqua"/>
          <w:color w:val="000000"/>
          <w:sz w:val="24"/>
          <w:szCs w:val="24"/>
          <w:lang w:val="es-PR" w:eastAsia="es-ES_tradnl"/>
        </w:rPr>
        <w:t xml:space="preserve"> desierta</w:t>
      </w:r>
      <w:r>
        <w:rPr>
          <w:rStyle w:val="Bodytext2"/>
          <w:rFonts w:ascii="Book Antiqua" w:hAnsi="Book Antiqua"/>
          <w:color w:val="000000"/>
          <w:sz w:val="24"/>
          <w:szCs w:val="24"/>
          <w:lang w:val="es-PR" w:eastAsia="es-ES_tradnl"/>
        </w:rPr>
        <w:t>,</w:t>
      </w:r>
      <w:r w:rsidRPr="005C4095">
        <w:rPr>
          <w:rStyle w:val="Bodytext2"/>
          <w:rFonts w:ascii="Book Antiqua" w:hAnsi="Book Antiqua"/>
          <w:color w:val="000000"/>
          <w:sz w:val="24"/>
          <w:szCs w:val="24"/>
          <w:lang w:val="es-PR" w:eastAsia="es-ES_tradnl"/>
        </w:rPr>
        <w:t xml:space="preserve"> los municipios tiene</w:t>
      </w:r>
      <w:r>
        <w:rPr>
          <w:rStyle w:val="Bodytext2"/>
          <w:rFonts w:ascii="Book Antiqua" w:hAnsi="Book Antiqua"/>
          <w:color w:val="000000"/>
          <w:sz w:val="24"/>
          <w:szCs w:val="24"/>
          <w:lang w:val="es-PR" w:eastAsia="es-ES_tradnl"/>
        </w:rPr>
        <w:t>n</w:t>
      </w:r>
      <w:r w:rsidRPr="005C4095">
        <w:rPr>
          <w:rStyle w:val="Bodytext2"/>
          <w:rFonts w:ascii="Book Antiqua" w:hAnsi="Book Antiqua"/>
          <w:color w:val="000000"/>
          <w:sz w:val="24"/>
          <w:szCs w:val="24"/>
          <w:lang w:val="es-PR" w:eastAsia="es-ES_tradnl"/>
        </w:rPr>
        <w:t xml:space="preserve"> que incurrir </w:t>
      </w:r>
      <w:r>
        <w:rPr>
          <w:rStyle w:val="Bodytext2"/>
          <w:rFonts w:ascii="Book Antiqua" w:hAnsi="Book Antiqua"/>
          <w:color w:val="000000"/>
          <w:sz w:val="24"/>
          <w:szCs w:val="24"/>
          <w:lang w:val="es-PR" w:eastAsia="es-ES_tradnl"/>
        </w:rPr>
        <w:t xml:space="preserve">nuevamente </w:t>
      </w:r>
      <w:r w:rsidRPr="005C4095">
        <w:rPr>
          <w:rStyle w:val="Bodytext2"/>
          <w:rFonts w:ascii="Book Antiqua" w:hAnsi="Book Antiqua"/>
          <w:color w:val="000000"/>
          <w:sz w:val="24"/>
          <w:szCs w:val="24"/>
          <w:lang w:val="es-PR" w:eastAsia="es-ES_tradnl"/>
        </w:rPr>
        <w:t xml:space="preserve">en gastos </w:t>
      </w:r>
      <w:r>
        <w:rPr>
          <w:rStyle w:val="Bodytext2"/>
          <w:rFonts w:ascii="Book Antiqua" w:hAnsi="Book Antiqua"/>
          <w:color w:val="000000"/>
          <w:sz w:val="24"/>
          <w:szCs w:val="24"/>
          <w:lang w:val="es-PR" w:eastAsia="es-ES_tradnl"/>
        </w:rPr>
        <w:t>de publicación y notificación de</w:t>
      </w:r>
      <w:r w:rsidRPr="005C4095">
        <w:rPr>
          <w:rStyle w:val="Bodytext2"/>
          <w:rFonts w:ascii="Book Antiqua" w:hAnsi="Book Antiqua"/>
          <w:color w:val="000000"/>
          <w:sz w:val="24"/>
          <w:szCs w:val="24"/>
          <w:lang w:val="es-PR" w:eastAsia="es-ES_tradnl"/>
        </w:rPr>
        <w:t xml:space="preserve"> una nueva subasta. Este proceso es oneroso cuando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se trata de la venta de</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bienes muebles de poco valor. Los municipios acumulan bienes</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muebles en desuso los cuales no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necesariamente se decomisan o disponen de ellos. La</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venta de estos bienes muebles en desuso</w:t>
      </w:r>
      <w:r>
        <w:rPr>
          <w:rStyle w:val="Bodytext2"/>
          <w:rFonts w:ascii="Book Antiqua" w:hAnsi="Book Antiqua"/>
          <w:color w:val="000000"/>
          <w:sz w:val="24"/>
          <w:szCs w:val="24"/>
          <w:lang w:val="es-PR" w:eastAsia="es-ES_tradnl"/>
        </w:rPr>
        <w:t xml:space="preserve"> </w:t>
      </w:r>
      <w:r w:rsidRPr="005C4095">
        <w:rPr>
          <w:rStyle w:val="Bodytext2"/>
          <w:rFonts w:ascii="Book Antiqua" w:hAnsi="Book Antiqua"/>
          <w:color w:val="000000"/>
          <w:sz w:val="24"/>
          <w:szCs w:val="24"/>
          <w:lang w:val="es-PR" w:eastAsia="es-ES_tradnl"/>
        </w:rPr>
        <w:t>podría representar una fuente de ingreso para los municipios.</w:t>
      </w:r>
    </w:p>
    <w:p w14:paraId="1A36A3FD" w14:textId="77777777" w:rsidR="00B41353" w:rsidRDefault="00B41353" w:rsidP="0001317F">
      <w:pPr>
        <w:jc w:val="center"/>
        <w:rPr>
          <w:rFonts w:ascii="Book Antiqua" w:hAnsi="Book Antiqua"/>
          <w:b/>
          <w:i/>
          <w:smallCaps/>
          <w:szCs w:val="24"/>
          <w:lang w:val="es-ES_tradnl"/>
        </w:rPr>
      </w:pPr>
    </w:p>
    <w:p w14:paraId="55A1479C" w14:textId="2571CF9E"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242F84D2" w14:textId="5BF63B94" w:rsidR="00252693" w:rsidRPr="00FE1861" w:rsidRDefault="005616B3" w:rsidP="004B4D67">
      <w:pPr>
        <w:spacing w:after="100" w:afterAutospacing="1"/>
        <w:jc w:val="both"/>
        <w:rPr>
          <w:rFonts w:ascii="Book Antiqua" w:hAnsi="Book Antiqua"/>
          <w:lang w:val="es-ES"/>
        </w:rPr>
      </w:pPr>
      <w:r w:rsidRPr="005665D9">
        <w:rPr>
          <w:rFonts w:ascii="Book Antiqua" w:hAnsi="Book Antiqua"/>
          <w:bCs/>
          <w:iCs/>
          <w:szCs w:val="24"/>
          <w:lang w:val="es-ES"/>
        </w:rPr>
        <w:t xml:space="preserve">Durante la discusión y </w:t>
      </w:r>
      <w:r w:rsidR="00D400B4" w:rsidRPr="005665D9">
        <w:rPr>
          <w:rFonts w:ascii="Book Antiqua" w:hAnsi="Book Antiqua"/>
          <w:bCs/>
          <w:iCs/>
          <w:szCs w:val="24"/>
          <w:lang w:val="es-ES"/>
        </w:rPr>
        <w:t>análisis</w:t>
      </w:r>
      <w:r w:rsidRPr="005665D9">
        <w:rPr>
          <w:rFonts w:ascii="Book Antiqua" w:hAnsi="Book Antiqua"/>
          <w:bCs/>
          <w:iCs/>
          <w:szCs w:val="24"/>
          <w:lang w:val="es-ES"/>
        </w:rPr>
        <w:t xml:space="preserve"> legislativo de la </w:t>
      </w:r>
      <w:r w:rsidR="009E093A">
        <w:rPr>
          <w:rFonts w:ascii="Book Antiqua" w:hAnsi="Book Antiqua"/>
          <w:bCs/>
          <w:iCs/>
          <w:szCs w:val="24"/>
          <w:lang w:val="es-ES"/>
        </w:rPr>
        <w:t>p</w:t>
      </w:r>
      <w:r w:rsidRPr="005665D9">
        <w:rPr>
          <w:rFonts w:ascii="Book Antiqua" w:hAnsi="Book Antiqua"/>
          <w:bCs/>
          <w:iCs/>
          <w:szCs w:val="24"/>
          <w:lang w:val="es-ES"/>
        </w:rPr>
        <w:t xml:space="preserve">resente </w:t>
      </w:r>
      <w:r w:rsidR="009E093A">
        <w:rPr>
          <w:rFonts w:ascii="Book Antiqua" w:hAnsi="Book Antiqua"/>
          <w:bCs/>
          <w:iCs/>
          <w:szCs w:val="24"/>
          <w:lang w:val="es-ES"/>
        </w:rPr>
        <w:t xml:space="preserve">medida, no se </w:t>
      </w:r>
      <w:r w:rsidR="000245A3">
        <w:rPr>
          <w:rFonts w:ascii="Book Antiqua" w:hAnsi="Book Antiqua"/>
          <w:bCs/>
          <w:iCs/>
          <w:szCs w:val="24"/>
          <w:lang w:val="es-ES"/>
        </w:rPr>
        <w:t>realizaron</w:t>
      </w:r>
      <w:r w:rsidR="009E093A">
        <w:rPr>
          <w:rFonts w:ascii="Book Antiqua" w:hAnsi="Book Antiqua"/>
          <w:bCs/>
          <w:iCs/>
          <w:szCs w:val="24"/>
          <w:lang w:val="es-ES"/>
        </w:rPr>
        <w:t xml:space="preserve"> vistas </w:t>
      </w:r>
      <w:r w:rsidR="00FE1861">
        <w:rPr>
          <w:rFonts w:ascii="Book Antiqua" w:hAnsi="Book Antiqua"/>
          <w:bCs/>
          <w:iCs/>
          <w:szCs w:val="24"/>
          <w:lang w:val="es-ES"/>
        </w:rPr>
        <w:t>públicas</w:t>
      </w:r>
      <w:r w:rsidR="009E093A">
        <w:rPr>
          <w:rFonts w:ascii="Book Antiqua" w:hAnsi="Book Antiqua"/>
          <w:bCs/>
          <w:iCs/>
          <w:szCs w:val="24"/>
          <w:lang w:val="es-ES"/>
        </w:rPr>
        <w:t xml:space="preserve">, y </w:t>
      </w:r>
      <w:r w:rsidRPr="005665D9">
        <w:rPr>
          <w:rFonts w:ascii="Book Antiqua" w:hAnsi="Book Antiqua"/>
          <w:bCs/>
          <w:iCs/>
          <w:szCs w:val="24"/>
          <w:lang w:val="es-ES"/>
        </w:rPr>
        <w:t xml:space="preserve">se </w:t>
      </w:r>
      <w:r>
        <w:rPr>
          <w:rFonts w:ascii="Book Antiqua" w:hAnsi="Book Antiqua"/>
          <w:bCs/>
          <w:iCs/>
          <w:szCs w:val="24"/>
          <w:lang w:val="es-ES"/>
        </w:rPr>
        <w:t>utilizó la posición mediante memorial de las siguientes agencias:</w:t>
      </w:r>
      <w:bookmarkStart w:id="1" w:name="_Hlk195509733"/>
      <w:r w:rsidR="00252693" w:rsidRPr="00FE1861">
        <w:rPr>
          <w:rFonts w:ascii="Book Antiqua" w:hAnsi="Book Antiqua"/>
          <w:lang w:val="es-ES"/>
        </w:rPr>
        <w:t xml:space="preserve"> </w:t>
      </w:r>
    </w:p>
    <w:bookmarkEnd w:id="1"/>
    <w:p w14:paraId="4E07448E" w14:textId="0D175645" w:rsidR="00252693" w:rsidRDefault="00953576" w:rsidP="004B4D67">
      <w:pPr>
        <w:pStyle w:val="ListParagraph"/>
        <w:numPr>
          <w:ilvl w:val="0"/>
          <w:numId w:val="13"/>
        </w:numPr>
        <w:spacing w:after="100" w:afterAutospacing="1"/>
        <w:rPr>
          <w:rFonts w:ascii="Book Antiqua" w:hAnsi="Book Antiqua"/>
        </w:rPr>
      </w:pPr>
      <w:r>
        <w:rPr>
          <w:rFonts w:ascii="Book Antiqua" w:hAnsi="Book Antiqua"/>
        </w:rPr>
        <w:t xml:space="preserve">Administración de Servicios Generales (ASG) </w:t>
      </w:r>
    </w:p>
    <w:p w14:paraId="67F4E7A5" w14:textId="52301E5A" w:rsidR="00953576" w:rsidRDefault="00953576" w:rsidP="004B4D67">
      <w:pPr>
        <w:pStyle w:val="ListParagraph"/>
        <w:numPr>
          <w:ilvl w:val="0"/>
          <w:numId w:val="13"/>
        </w:numPr>
        <w:spacing w:after="100" w:afterAutospacing="1"/>
        <w:rPr>
          <w:rFonts w:ascii="Book Antiqua" w:hAnsi="Book Antiqua"/>
        </w:rPr>
      </w:pPr>
      <w:r>
        <w:rPr>
          <w:rFonts w:ascii="Book Antiqua" w:hAnsi="Book Antiqua"/>
        </w:rPr>
        <w:t xml:space="preserve">Asociación de Alcaldes de Puerto Rico (AAPR) </w:t>
      </w:r>
    </w:p>
    <w:p w14:paraId="2A5773DA" w14:textId="7A0D369C" w:rsidR="00953576" w:rsidRDefault="00953576" w:rsidP="004B4D67">
      <w:pPr>
        <w:pStyle w:val="ListParagraph"/>
        <w:numPr>
          <w:ilvl w:val="0"/>
          <w:numId w:val="13"/>
        </w:numPr>
        <w:spacing w:after="100" w:afterAutospacing="1"/>
        <w:rPr>
          <w:rFonts w:ascii="Book Antiqua" w:hAnsi="Book Antiqua"/>
        </w:rPr>
      </w:pPr>
      <w:r>
        <w:rPr>
          <w:rFonts w:ascii="Book Antiqua" w:hAnsi="Book Antiqua"/>
        </w:rPr>
        <w:t>Centro de Recaudación de Ingresos Municipales (CRIM)</w:t>
      </w:r>
    </w:p>
    <w:p w14:paraId="6A2896C7" w14:textId="0B413395" w:rsidR="007B284B" w:rsidRDefault="007B284B" w:rsidP="004B4D67">
      <w:pPr>
        <w:pStyle w:val="ListParagraph"/>
        <w:numPr>
          <w:ilvl w:val="0"/>
          <w:numId w:val="13"/>
        </w:numPr>
        <w:spacing w:after="100" w:afterAutospacing="1"/>
        <w:rPr>
          <w:rFonts w:ascii="Book Antiqua" w:hAnsi="Book Antiqua"/>
        </w:rPr>
      </w:pPr>
      <w:r>
        <w:rPr>
          <w:rFonts w:ascii="Book Antiqua" w:hAnsi="Book Antiqua"/>
        </w:rPr>
        <w:t xml:space="preserve">Departamento de Transportación y Obras Publicas (DTOP) </w:t>
      </w:r>
    </w:p>
    <w:p w14:paraId="4DFF32F2" w14:textId="0058CFCD" w:rsidR="00953576" w:rsidRDefault="00953576" w:rsidP="004B4D67">
      <w:pPr>
        <w:pStyle w:val="ListParagraph"/>
        <w:numPr>
          <w:ilvl w:val="0"/>
          <w:numId w:val="13"/>
        </w:numPr>
        <w:spacing w:after="100" w:afterAutospacing="1"/>
        <w:rPr>
          <w:rFonts w:ascii="Book Antiqua" w:hAnsi="Book Antiqua"/>
        </w:rPr>
      </w:pPr>
      <w:r>
        <w:rPr>
          <w:rFonts w:ascii="Book Antiqua" w:hAnsi="Book Antiqua"/>
        </w:rPr>
        <w:t xml:space="preserve">Oficina de Presupuesto de la Asamblea Legislativa (OPAL) </w:t>
      </w:r>
    </w:p>
    <w:p w14:paraId="51EB2F62" w14:textId="304B85D6" w:rsidR="00415E27" w:rsidRPr="00415E27" w:rsidRDefault="00415E27" w:rsidP="00415E27">
      <w:pPr>
        <w:pStyle w:val="NormalWeb"/>
        <w:jc w:val="both"/>
        <w:rPr>
          <w:rFonts w:ascii="Book Antiqua" w:hAnsi="Book Antiqua"/>
        </w:rPr>
      </w:pPr>
      <w:r w:rsidRPr="00415E27">
        <w:rPr>
          <w:rFonts w:ascii="Book Antiqua" w:hAnsi="Book Antiqua"/>
        </w:rPr>
        <w:t>La</w:t>
      </w:r>
      <w:r w:rsidRPr="00415E27">
        <w:rPr>
          <w:rFonts w:ascii="Book Antiqua" w:hAnsi="Book Antiqua"/>
          <w:i/>
          <w:iCs/>
        </w:rPr>
        <w:t xml:space="preserve"> </w:t>
      </w:r>
      <w:r w:rsidRPr="00415E27">
        <w:rPr>
          <w:rStyle w:val="Strong"/>
          <w:rFonts w:ascii="Book Antiqua" w:hAnsi="Book Antiqua"/>
          <w:i/>
          <w:iCs/>
        </w:rPr>
        <w:t>Administración de Servicios Generales (ASG)</w:t>
      </w:r>
      <w:r w:rsidRPr="00415E27">
        <w:rPr>
          <w:rFonts w:ascii="Book Antiqua" w:hAnsi="Book Antiqua"/>
        </w:rPr>
        <w:t xml:space="preserve">, mediante </w:t>
      </w:r>
      <w:r w:rsidRPr="00415E27">
        <w:rPr>
          <w:rStyle w:val="Strong"/>
          <w:rFonts w:ascii="Book Antiqua" w:hAnsi="Book Antiqua"/>
        </w:rPr>
        <w:t>memorial presentado el 12 de mayo de 2025</w:t>
      </w:r>
      <w:r w:rsidRPr="00415E27">
        <w:rPr>
          <w:rFonts w:ascii="Book Antiqua" w:hAnsi="Book Antiqua"/>
        </w:rPr>
        <w:t xml:space="preserve"> y suscrito por su </w:t>
      </w:r>
      <w:r w:rsidR="00CF4C09">
        <w:rPr>
          <w:rFonts w:ascii="Book Antiqua" w:hAnsi="Book Antiqua"/>
        </w:rPr>
        <w:t>a</w:t>
      </w:r>
      <w:r w:rsidRPr="00415E27">
        <w:rPr>
          <w:rFonts w:ascii="Book Antiqua" w:hAnsi="Book Antiqua"/>
        </w:rPr>
        <w:t xml:space="preserve">dministradora y </w:t>
      </w:r>
      <w:r w:rsidR="00CF4C09">
        <w:rPr>
          <w:rFonts w:ascii="Book Antiqua" w:hAnsi="Book Antiqua"/>
        </w:rPr>
        <w:t>p</w:t>
      </w:r>
      <w:r w:rsidRPr="00415E27">
        <w:rPr>
          <w:rFonts w:ascii="Book Antiqua" w:hAnsi="Book Antiqua"/>
        </w:rPr>
        <w:t xml:space="preserve">rincipal </w:t>
      </w:r>
      <w:r w:rsidR="00CF4C09">
        <w:rPr>
          <w:rFonts w:ascii="Book Antiqua" w:hAnsi="Book Antiqua"/>
        </w:rPr>
        <w:t>o</w:t>
      </w:r>
      <w:r w:rsidRPr="00415E27">
        <w:rPr>
          <w:rFonts w:ascii="Book Antiqua" w:hAnsi="Book Antiqua"/>
        </w:rPr>
        <w:t xml:space="preserve">ficial de </w:t>
      </w:r>
      <w:r w:rsidR="00CF4C09">
        <w:rPr>
          <w:rFonts w:ascii="Book Antiqua" w:hAnsi="Book Antiqua"/>
        </w:rPr>
        <w:t>c</w:t>
      </w:r>
      <w:r w:rsidRPr="00415E27">
        <w:rPr>
          <w:rFonts w:ascii="Book Antiqua" w:hAnsi="Book Antiqua"/>
        </w:rPr>
        <w:t xml:space="preserve">ompras, la </w:t>
      </w:r>
      <w:r w:rsidRPr="00415E27">
        <w:rPr>
          <w:rStyle w:val="Strong"/>
          <w:rFonts w:ascii="Book Antiqua" w:hAnsi="Book Antiqua"/>
        </w:rPr>
        <w:t>Lcd</w:t>
      </w:r>
      <w:r>
        <w:rPr>
          <w:rStyle w:val="Strong"/>
          <w:rFonts w:ascii="Book Antiqua" w:hAnsi="Book Antiqua"/>
        </w:rPr>
        <w:t>a.</w:t>
      </w:r>
      <w:r w:rsidRPr="00415E27">
        <w:rPr>
          <w:rStyle w:val="Strong"/>
          <w:rFonts w:ascii="Book Antiqua" w:hAnsi="Book Antiqua"/>
        </w:rPr>
        <w:t xml:space="preserve"> Karla G. Mercado Rivera</w:t>
      </w:r>
      <w:r w:rsidRPr="00415E27">
        <w:rPr>
          <w:rFonts w:ascii="Book Antiqua" w:hAnsi="Book Antiqua"/>
        </w:rPr>
        <w:t xml:space="preserve">, expresó su posición en torno al </w:t>
      </w:r>
      <w:r w:rsidRPr="00415E27">
        <w:rPr>
          <w:rStyle w:val="Strong"/>
          <w:rFonts w:ascii="Book Antiqua" w:hAnsi="Book Antiqua"/>
        </w:rPr>
        <w:t>Proyecto de la Cámara 557</w:t>
      </w:r>
      <w:r w:rsidRPr="00415E27">
        <w:rPr>
          <w:rFonts w:ascii="Book Antiqua" w:hAnsi="Book Antiqua"/>
        </w:rPr>
        <w:t xml:space="preserve">. En el documento, la ASG contextualiza su función a raíz de la aprobación de la </w:t>
      </w:r>
      <w:r w:rsidRPr="00415E27">
        <w:rPr>
          <w:rStyle w:val="Strong"/>
          <w:rFonts w:ascii="Book Antiqua" w:hAnsi="Book Antiqua"/>
        </w:rPr>
        <w:t>Ley Núm. 73-2019</w:t>
      </w:r>
      <w:r w:rsidRPr="00415E27">
        <w:rPr>
          <w:rFonts w:ascii="Book Antiqua" w:hAnsi="Book Antiqua"/>
        </w:rPr>
        <w:t xml:space="preserve">, conocida como la </w:t>
      </w:r>
      <w:r w:rsidRPr="00415E27">
        <w:rPr>
          <w:rStyle w:val="Emphasis"/>
          <w:rFonts w:ascii="Book Antiqua" w:eastAsia="Batang" w:hAnsi="Book Antiqua"/>
        </w:rPr>
        <w:t>Ley de la Administración de Servicios Generales para la Centralización de las Compras del Gobierno de Puerto Rico de 2019</w:t>
      </w:r>
      <w:r w:rsidRPr="00415E27">
        <w:rPr>
          <w:rFonts w:ascii="Book Antiqua" w:hAnsi="Book Antiqua"/>
        </w:rPr>
        <w:t xml:space="preserve">, mediante la cual se le designó como </w:t>
      </w:r>
      <w:r w:rsidRPr="00415E27">
        <w:rPr>
          <w:rStyle w:val="Strong"/>
          <w:rFonts w:ascii="Book Antiqua" w:hAnsi="Book Antiqua"/>
        </w:rPr>
        <w:t>comprador centralizado para la mayoría de los componentes de la Rama Ejecutiva</w:t>
      </w:r>
      <w:r w:rsidRPr="00415E27">
        <w:rPr>
          <w:rFonts w:ascii="Book Antiqua" w:hAnsi="Book Antiqua"/>
        </w:rPr>
        <w:t xml:space="preserve">. Asimismo, se estableció que hay entidades exentas, como los </w:t>
      </w:r>
      <w:r w:rsidRPr="00415E27">
        <w:rPr>
          <w:rStyle w:val="Strong"/>
          <w:rFonts w:ascii="Book Antiqua" w:hAnsi="Book Antiqua"/>
        </w:rPr>
        <w:t>municipios</w:t>
      </w:r>
      <w:r w:rsidRPr="00415E27">
        <w:rPr>
          <w:rFonts w:ascii="Book Antiqua" w:hAnsi="Book Antiqua"/>
        </w:rPr>
        <w:t xml:space="preserve">, que </w:t>
      </w:r>
      <w:r w:rsidRPr="00415E27">
        <w:rPr>
          <w:rStyle w:val="Strong"/>
          <w:rFonts w:ascii="Book Antiqua" w:hAnsi="Book Antiqua"/>
        </w:rPr>
        <w:t>no están obligadas a realizar sus compras a través de ASG</w:t>
      </w:r>
      <w:r w:rsidRPr="00415E27">
        <w:rPr>
          <w:rFonts w:ascii="Book Antiqua" w:hAnsi="Book Antiqua"/>
        </w:rPr>
        <w:t>, a menos que voluntariamente opten por someterse a sus procesos.</w:t>
      </w:r>
    </w:p>
    <w:p w14:paraId="4685B0E5" w14:textId="77777777" w:rsidR="00415E27" w:rsidRPr="00415E27" w:rsidRDefault="00415E27" w:rsidP="00415E27">
      <w:pPr>
        <w:pStyle w:val="NormalWeb"/>
        <w:jc w:val="both"/>
        <w:rPr>
          <w:rFonts w:ascii="Book Antiqua" w:hAnsi="Book Antiqua"/>
        </w:rPr>
      </w:pPr>
      <w:r w:rsidRPr="00415E27">
        <w:rPr>
          <w:rFonts w:ascii="Book Antiqua" w:hAnsi="Book Antiqua"/>
        </w:rPr>
        <w:t xml:space="preserve">La ASG aclaró que, </w:t>
      </w:r>
      <w:r w:rsidRPr="00415E27">
        <w:rPr>
          <w:rStyle w:val="Strong"/>
          <w:rFonts w:ascii="Book Antiqua" w:hAnsi="Book Antiqua"/>
        </w:rPr>
        <w:t>bajo el marco jurídico vigente</w:t>
      </w:r>
      <w:r w:rsidRPr="00415E27">
        <w:rPr>
          <w:rFonts w:ascii="Book Antiqua" w:hAnsi="Book Antiqua"/>
        </w:rPr>
        <w:t xml:space="preserve">, los municipios </w:t>
      </w:r>
      <w:r w:rsidRPr="00415E27">
        <w:rPr>
          <w:rStyle w:val="Strong"/>
          <w:rFonts w:ascii="Book Antiqua" w:hAnsi="Book Antiqua"/>
        </w:rPr>
        <w:t>no están sujetos a su fiscalización ni a sus métodos de adquisición</w:t>
      </w:r>
      <w:r w:rsidRPr="00415E27">
        <w:rPr>
          <w:rFonts w:ascii="Book Antiqua" w:hAnsi="Book Antiqua"/>
        </w:rPr>
        <w:t xml:space="preserve">, siendo la fuente normativa principal para los gobiernos municipales la </w:t>
      </w:r>
      <w:r w:rsidRPr="00415E27">
        <w:rPr>
          <w:rStyle w:val="Strong"/>
          <w:rFonts w:ascii="Book Antiqua" w:hAnsi="Book Antiqua"/>
        </w:rPr>
        <w:t>Ley Núm. 107-2020, Código Municipal de Puerto Rico</w:t>
      </w:r>
      <w:r w:rsidRPr="00415E27">
        <w:rPr>
          <w:rFonts w:ascii="Book Antiqua" w:hAnsi="Book Antiqua"/>
        </w:rPr>
        <w:t xml:space="preserve">, cuyo Capítulo IV regula la adquisición y disposición de bienes muebles e inmuebles. Aun </w:t>
      </w:r>
      <w:r w:rsidRPr="00415E27">
        <w:rPr>
          <w:rFonts w:ascii="Book Antiqua" w:hAnsi="Book Antiqua"/>
        </w:rPr>
        <w:lastRenderedPageBreak/>
        <w:t xml:space="preserve">reconociendo que no tiene jurisdicción directa sobre los procesos adquisitivos municipales, la ASG expresó su disponibilidad para </w:t>
      </w:r>
      <w:r w:rsidRPr="00415E27">
        <w:rPr>
          <w:rStyle w:val="Strong"/>
          <w:rFonts w:ascii="Book Antiqua" w:hAnsi="Book Antiqua"/>
        </w:rPr>
        <w:t>colaborar y ofrecer su peritaje</w:t>
      </w:r>
      <w:r w:rsidRPr="00415E27">
        <w:rPr>
          <w:rFonts w:ascii="Book Antiqua" w:hAnsi="Book Antiqua"/>
        </w:rPr>
        <w:t xml:space="preserve"> cuando se evalúen medidas legislativas dirigidas a mejorar la gestión pública en esta materia.</w:t>
      </w:r>
    </w:p>
    <w:p w14:paraId="09C04BAC" w14:textId="79ACCD97" w:rsidR="00415E27" w:rsidRPr="00415E27" w:rsidRDefault="00415E27" w:rsidP="00415E27">
      <w:pPr>
        <w:pStyle w:val="NormalWeb"/>
        <w:jc w:val="both"/>
        <w:rPr>
          <w:rFonts w:ascii="Book Antiqua" w:hAnsi="Book Antiqua"/>
        </w:rPr>
      </w:pPr>
      <w:r w:rsidRPr="00415E27">
        <w:rPr>
          <w:rFonts w:ascii="Book Antiqua" w:hAnsi="Book Antiqua"/>
        </w:rPr>
        <w:t xml:space="preserve">En cuanto al contenido del P. de la C. 557, la ASG </w:t>
      </w:r>
      <w:r w:rsidRPr="00415E27">
        <w:rPr>
          <w:rStyle w:val="Strong"/>
          <w:rFonts w:ascii="Book Antiqua" w:hAnsi="Book Antiqua"/>
        </w:rPr>
        <w:t>no expresó objeción</w:t>
      </w:r>
      <w:r w:rsidRPr="00415E27">
        <w:rPr>
          <w:rFonts w:ascii="Book Antiqua" w:hAnsi="Book Antiqua"/>
        </w:rPr>
        <w:t xml:space="preserve"> con la enmienda propuesta. No obstante, </w:t>
      </w:r>
      <w:r w:rsidRPr="00415E27">
        <w:rPr>
          <w:rStyle w:val="Strong"/>
          <w:rFonts w:ascii="Book Antiqua" w:hAnsi="Book Antiqua"/>
        </w:rPr>
        <w:t>recomendó atender con mayor detenimiento el lenguaje empleado</w:t>
      </w:r>
      <w:r w:rsidRPr="00415E27">
        <w:rPr>
          <w:rFonts w:ascii="Book Antiqua" w:hAnsi="Book Antiqua"/>
        </w:rPr>
        <w:t xml:space="preserve">, para asegurar que la exención del requisito de subasta pública no sea utilizada como un </w:t>
      </w:r>
      <w:r w:rsidRPr="00415E27">
        <w:rPr>
          <w:rStyle w:val="Strong"/>
          <w:rFonts w:ascii="Book Antiqua" w:hAnsi="Book Antiqua"/>
        </w:rPr>
        <w:t>subterfugio para evadir los controles que deben regir las transacciones municipales</w:t>
      </w:r>
      <w:r w:rsidRPr="00415E27">
        <w:rPr>
          <w:rFonts w:ascii="Book Antiqua" w:hAnsi="Book Antiqua"/>
        </w:rPr>
        <w:t xml:space="preserve">. Específicamente, la agencia sugiere que </w:t>
      </w:r>
      <w:r w:rsidRPr="00415E27">
        <w:rPr>
          <w:rStyle w:val="Strong"/>
          <w:rFonts w:ascii="Book Antiqua" w:hAnsi="Book Antiqua"/>
        </w:rPr>
        <w:t>el valor inferior a $5,000.00 sea un requisito indispensable para toda propiedad mueble sujeta a enajenación bajo este artículo</w:t>
      </w:r>
      <w:r w:rsidRPr="00415E27">
        <w:rPr>
          <w:rFonts w:ascii="Book Antiqua" w:hAnsi="Book Antiqua"/>
        </w:rPr>
        <w:t xml:space="preserve">, y que no se presente como una alternativa a la categoría de “chatarra”, cuya determinación, advirtieron, </w:t>
      </w:r>
      <w:r w:rsidRPr="00415E27">
        <w:rPr>
          <w:rStyle w:val="Strong"/>
          <w:rFonts w:ascii="Book Antiqua" w:hAnsi="Book Antiqua"/>
        </w:rPr>
        <w:t>dependería de un juicio subjetivo sobre la condición del bien</w:t>
      </w:r>
      <w:r w:rsidRPr="00415E27">
        <w:rPr>
          <w:rFonts w:ascii="Book Antiqua" w:hAnsi="Book Antiqua"/>
        </w:rPr>
        <w:t>, lo cual podría debilitar la transparencia y la rendición de cuentas.</w:t>
      </w:r>
    </w:p>
    <w:p w14:paraId="1BCC363D" w14:textId="13CFC17D" w:rsidR="00AD7C3F" w:rsidRPr="00AD7C3F" w:rsidRDefault="00AD7C3F" w:rsidP="00AD7C3F">
      <w:pPr>
        <w:pStyle w:val="NormalWeb"/>
        <w:jc w:val="both"/>
        <w:rPr>
          <w:rFonts w:ascii="Book Antiqua" w:hAnsi="Book Antiqua"/>
        </w:rPr>
      </w:pPr>
      <w:r w:rsidRPr="00AD7C3F">
        <w:rPr>
          <w:rFonts w:ascii="Book Antiqua" w:hAnsi="Book Antiqua"/>
        </w:rPr>
        <w:t xml:space="preserve">La </w:t>
      </w:r>
      <w:r w:rsidRPr="00415E27">
        <w:rPr>
          <w:rStyle w:val="Strong"/>
          <w:rFonts w:ascii="Book Antiqua" w:hAnsi="Book Antiqua"/>
          <w:i/>
          <w:iCs/>
        </w:rPr>
        <w:t xml:space="preserve">Asociación de </w:t>
      </w:r>
      <w:proofErr w:type="gramStart"/>
      <w:r w:rsidRPr="00415E27">
        <w:rPr>
          <w:rStyle w:val="Strong"/>
          <w:rFonts w:ascii="Book Antiqua" w:hAnsi="Book Antiqua"/>
          <w:i/>
          <w:iCs/>
        </w:rPr>
        <w:t>Alcaldes</w:t>
      </w:r>
      <w:proofErr w:type="gramEnd"/>
      <w:r w:rsidRPr="00415E27">
        <w:rPr>
          <w:rStyle w:val="Strong"/>
          <w:rFonts w:ascii="Book Antiqua" w:hAnsi="Book Antiqua"/>
          <w:i/>
          <w:iCs/>
        </w:rPr>
        <w:t xml:space="preserve"> de Puerto Rico (AAPR)</w:t>
      </w:r>
      <w:r w:rsidRPr="00415E27">
        <w:rPr>
          <w:rFonts w:ascii="Book Antiqua" w:hAnsi="Book Antiqua"/>
          <w:i/>
          <w:iCs/>
        </w:rPr>
        <w:t xml:space="preserve">, </w:t>
      </w:r>
      <w:r w:rsidRPr="00AD7C3F">
        <w:rPr>
          <w:rFonts w:ascii="Book Antiqua" w:hAnsi="Book Antiqua"/>
        </w:rPr>
        <w:t xml:space="preserve">mediante </w:t>
      </w:r>
      <w:r w:rsidRPr="00AD7C3F">
        <w:rPr>
          <w:rStyle w:val="Strong"/>
          <w:rFonts w:ascii="Book Antiqua" w:hAnsi="Book Antiqua"/>
        </w:rPr>
        <w:t>memorial presentado el 2 de mayo de 2025</w:t>
      </w:r>
      <w:r w:rsidRPr="00AD7C3F">
        <w:rPr>
          <w:rFonts w:ascii="Book Antiqua" w:hAnsi="Book Antiqua"/>
        </w:rPr>
        <w:t xml:space="preserve"> y suscrito por su </w:t>
      </w:r>
      <w:r w:rsidR="00A67B16" w:rsidRPr="00A67B16">
        <w:rPr>
          <w:rStyle w:val="Strong"/>
          <w:rFonts w:ascii="Book Antiqua" w:hAnsi="Book Antiqua"/>
          <w:b w:val="0"/>
          <w:bCs w:val="0"/>
        </w:rPr>
        <w:t>directora ejecutiva</w:t>
      </w:r>
      <w:r w:rsidRPr="00AD7C3F">
        <w:rPr>
          <w:rStyle w:val="Strong"/>
          <w:rFonts w:ascii="Book Antiqua" w:hAnsi="Book Antiqua"/>
        </w:rPr>
        <w:t xml:space="preserve">, Verónica Rodríguez </w:t>
      </w:r>
      <w:r w:rsidR="00A67B16" w:rsidRPr="00A67B16">
        <w:rPr>
          <w:rStyle w:val="Strong"/>
          <w:rFonts w:ascii="Book Antiqua" w:hAnsi="Book Antiqua"/>
        </w:rPr>
        <w:t>Irizarry</w:t>
      </w:r>
      <w:r w:rsidRPr="00A67B16">
        <w:rPr>
          <w:rFonts w:ascii="Book Antiqua" w:hAnsi="Book Antiqua"/>
        </w:rPr>
        <w:t>,</w:t>
      </w:r>
      <w:r w:rsidRPr="00AD7C3F">
        <w:rPr>
          <w:rFonts w:ascii="Book Antiqua" w:hAnsi="Book Antiqua"/>
        </w:rPr>
        <w:t xml:space="preserve"> expresó su posición en torno al </w:t>
      </w:r>
      <w:r w:rsidRPr="00AD7C3F">
        <w:rPr>
          <w:rStyle w:val="Strong"/>
          <w:rFonts w:ascii="Book Antiqua" w:hAnsi="Book Antiqua"/>
        </w:rPr>
        <w:t>Proyecto de la Cámara 557</w:t>
      </w:r>
      <w:r w:rsidRPr="00AD7C3F">
        <w:rPr>
          <w:rFonts w:ascii="Book Antiqua" w:hAnsi="Book Antiqua"/>
        </w:rPr>
        <w:t xml:space="preserve">. Aunque se resume el contenido de la medida y se reconoce su intención, la Asociación </w:t>
      </w:r>
      <w:r w:rsidRPr="00AD7C3F">
        <w:rPr>
          <w:rStyle w:val="Strong"/>
          <w:rFonts w:ascii="Book Antiqua" w:hAnsi="Book Antiqua"/>
        </w:rPr>
        <w:t>no endosa el Proyecto en su forma actual</w:t>
      </w:r>
      <w:r w:rsidRPr="00AD7C3F">
        <w:rPr>
          <w:rFonts w:ascii="Book Antiqua" w:hAnsi="Book Antiqua"/>
        </w:rPr>
        <w:t xml:space="preserve"> y expresó </w:t>
      </w:r>
      <w:r w:rsidRPr="00AD7C3F">
        <w:rPr>
          <w:rStyle w:val="Strong"/>
          <w:rFonts w:ascii="Book Antiqua" w:hAnsi="Book Antiqua"/>
        </w:rPr>
        <w:t>reservas significativas respecto a su redacción</w:t>
      </w:r>
      <w:r w:rsidRPr="00AD7C3F">
        <w:rPr>
          <w:rFonts w:ascii="Book Antiqua" w:hAnsi="Book Antiqua"/>
        </w:rPr>
        <w:t>. En particular, señalan que la medida no aclara aspectos fundamentales que podrían atentar contra una sana administración pública, tales como: ¿Qué funcionario determina que un bien está en desuso y debe ser vendido? ¿Quién autoriza su disposición? ¿Qué funcionario determina la tasación para fines contributivos? ¿Quién establece el valor real del bien mueble a ser vendido? ¿Cómo se llevará a cabo el proceso de venta y quién lo realizará?</w:t>
      </w:r>
    </w:p>
    <w:p w14:paraId="71FEE02A" w14:textId="4E5DD53A" w:rsidR="00AD7C3F" w:rsidRDefault="00AD7C3F" w:rsidP="00AD7C3F">
      <w:pPr>
        <w:pStyle w:val="NormalWeb"/>
        <w:jc w:val="both"/>
        <w:rPr>
          <w:rFonts w:ascii="Book Antiqua" w:hAnsi="Book Antiqua"/>
        </w:rPr>
      </w:pPr>
      <w:r w:rsidRPr="00AD7C3F">
        <w:rPr>
          <w:rFonts w:ascii="Book Antiqua" w:hAnsi="Book Antiqua"/>
        </w:rPr>
        <w:t xml:space="preserve">Asimismo, la AAPR advierte que permitir la venta directa a un comprador sin mediar proceso de subasta o competencia </w:t>
      </w:r>
      <w:r w:rsidRPr="00AD7C3F">
        <w:rPr>
          <w:rStyle w:val="Strong"/>
          <w:rFonts w:ascii="Book Antiqua" w:hAnsi="Book Antiqua"/>
        </w:rPr>
        <w:t>podría prestarse a prácticas poco transparentes</w:t>
      </w:r>
      <w:r w:rsidRPr="00AD7C3F">
        <w:rPr>
          <w:rFonts w:ascii="Book Antiqua" w:hAnsi="Book Antiqua"/>
        </w:rPr>
        <w:t xml:space="preserve">, facilitando que compradores habituales o inescrupulosos adquieran estos bienes en detrimento del interés público. Este tipo de proceso, sin los debidos controles, </w:t>
      </w:r>
      <w:r w:rsidRPr="00AD7C3F">
        <w:rPr>
          <w:rStyle w:val="Strong"/>
          <w:rFonts w:ascii="Book Antiqua" w:hAnsi="Book Antiqua"/>
        </w:rPr>
        <w:t>podría dar lugar a señalamientos por parte de la Oficina del Contralor</w:t>
      </w:r>
      <w:r w:rsidRPr="00AD7C3F">
        <w:rPr>
          <w:rFonts w:ascii="Book Antiqua" w:hAnsi="Book Antiqua"/>
        </w:rPr>
        <w:t xml:space="preserve">, particularmente en cuanto al procedimiento utilizado y la cualificación del funcionario encargado de la venta. Por tal razón, sugieren que, al menos, se considere </w:t>
      </w:r>
      <w:r w:rsidRPr="00AD7C3F">
        <w:rPr>
          <w:rStyle w:val="Strong"/>
          <w:rFonts w:ascii="Book Antiqua" w:hAnsi="Book Antiqua"/>
        </w:rPr>
        <w:t>solicitar propuestas de venta a un mínimo de tres (3) compradores debidamente registrados en el Registro de Licitadores</w:t>
      </w:r>
      <w:r w:rsidRPr="00AD7C3F">
        <w:rPr>
          <w:rFonts w:ascii="Book Antiqua" w:hAnsi="Book Antiqua"/>
        </w:rPr>
        <w:t xml:space="preserve">, según el renglón aplicable. Con base en estas preocupaciones, la Asociación concluyó que </w:t>
      </w:r>
      <w:r w:rsidRPr="00AD7C3F">
        <w:rPr>
          <w:rStyle w:val="Strong"/>
          <w:rFonts w:ascii="Book Antiqua" w:hAnsi="Book Antiqua"/>
        </w:rPr>
        <w:t xml:space="preserve">no endosa el </w:t>
      </w:r>
      <w:r w:rsidR="00A67B16">
        <w:rPr>
          <w:rStyle w:val="Strong"/>
          <w:rFonts w:ascii="Book Antiqua" w:hAnsi="Book Antiqua"/>
        </w:rPr>
        <w:t>p</w:t>
      </w:r>
      <w:r w:rsidRPr="00AD7C3F">
        <w:rPr>
          <w:rStyle w:val="Strong"/>
          <w:rFonts w:ascii="Book Antiqua" w:hAnsi="Book Antiqua"/>
        </w:rPr>
        <w:t>royecto mientras permanezca redactado en sus términos actuales</w:t>
      </w:r>
      <w:r w:rsidRPr="00AD7C3F">
        <w:rPr>
          <w:rFonts w:ascii="Book Antiqua" w:hAnsi="Book Antiqua"/>
        </w:rPr>
        <w:t>.</w:t>
      </w:r>
    </w:p>
    <w:p w14:paraId="36C2A0E0" w14:textId="17470A3A" w:rsidR="00AD7C3F" w:rsidRPr="00AD7C3F" w:rsidRDefault="00AD7C3F" w:rsidP="00AD7C3F">
      <w:pPr>
        <w:pStyle w:val="NormalWeb"/>
        <w:jc w:val="both"/>
        <w:rPr>
          <w:rFonts w:ascii="Book Antiqua" w:hAnsi="Book Antiqua"/>
        </w:rPr>
      </w:pPr>
      <w:r w:rsidRPr="00AD7C3F">
        <w:rPr>
          <w:rFonts w:ascii="Book Antiqua" w:hAnsi="Book Antiqua"/>
        </w:rPr>
        <w:t xml:space="preserve">El </w:t>
      </w:r>
      <w:r w:rsidR="00A67B16" w:rsidRPr="00A67B16">
        <w:rPr>
          <w:rStyle w:val="Strong"/>
          <w:rFonts w:ascii="Book Antiqua" w:hAnsi="Book Antiqua"/>
          <w:b w:val="0"/>
          <w:bCs w:val="0"/>
        </w:rPr>
        <w:t>d</w:t>
      </w:r>
      <w:r w:rsidRPr="00A67B16">
        <w:rPr>
          <w:rStyle w:val="Strong"/>
          <w:rFonts w:ascii="Book Antiqua" w:hAnsi="Book Antiqua"/>
          <w:b w:val="0"/>
          <w:bCs w:val="0"/>
        </w:rPr>
        <w:t xml:space="preserve">irector </w:t>
      </w:r>
      <w:r w:rsidR="00A67B16" w:rsidRPr="00A67B16">
        <w:rPr>
          <w:rStyle w:val="Strong"/>
          <w:rFonts w:ascii="Book Antiqua" w:hAnsi="Book Antiqua"/>
          <w:b w:val="0"/>
          <w:bCs w:val="0"/>
        </w:rPr>
        <w:t>e</w:t>
      </w:r>
      <w:r w:rsidRPr="00A67B16">
        <w:rPr>
          <w:rStyle w:val="Strong"/>
          <w:rFonts w:ascii="Book Antiqua" w:hAnsi="Book Antiqua"/>
          <w:b w:val="0"/>
          <w:bCs w:val="0"/>
        </w:rPr>
        <w:t>jecutivo</w:t>
      </w:r>
      <w:r w:rsidRPr="00AD7C3F">
        <w:rPr>
          <w:rStyle w:val="Strong"/>
          <w:rFonts w:ascii="Book Antiqua" w:hAnsi="Book Antiqua"/>
          <w:b w:val="0"/>
          <w:bCs w:val="0"/>
        </w:rPr>
        <w:t xml:space="preserve"> del </w:t>
      </w:r>
      <w:r w:rsidRPr="00415E27">
        <w:rPr>
          <w:rStyle w:val="Strong"/>
          <w:rFonts w:ascii="Book Antiqua" w:hAnsi="Book Antiqua"/>
          <w:i/>
          <w:iCs/>
        </w:rPr>
        <w:t>Centro de Recaudación de Ingresos Municipales (CRIM)</w:t>
      </w:r>
      <w:r w:rsidRPr="00415E27">
        <w:rPr>
          <w:rFonts w:ascii="Book Antiqua" w:hAnsi="Book Antiqua"/>
          <w:i/>
          <w:iCs/>
        </w:rPr>
        <w:t xml:space="preserve">, </w:t>
      </w:r>
      <w:r w:rsidRPr="00AD7C3F">
        <w:rPr>
          <w:rStyle w:val="Strong"/>
          <w:rFonts w:ascii="Book Antiqua" w:hAnsi="Book Antiqua"/>
        </w:rPr>
        <w:t xml:space="preserve">Reinaldo J. Paniagua </w:t>
      </w:r>
      <w:proofErr w:type="spellStart"/>
      <w:r w:rsidRPr="00AD7C3F">
        <w:rPr>
          <w:rStyle w:val="Strong"/>
          <w:rFonts w:ascii="Book Antiqua" w:hAnsi="Book Antiqua"/>
        </w:rPr>
        <w:t>Látimer</w:t>
      </w:r>
      <w:proofErr w:type="spellEnd"/>
      <w:r w:rsidRPr="00AD7C3F">
        <w:rPr>
          <w:rFonts w:ascii="Book Antiqua" w:hAnsi="Book Antiqua"/>
        </w:rPr>
        <w:t xml:space="preserve">, compareció mediante </w:t>
      </w:r>
      <w:r w:rsidRPr="00AD7C3F">
        <w:rPr>
          <w:rStyle w:val="Strong"/>
          <w:rFonts w:ascii="Book Antiqua" w:hAnsi="Book Antiqua"/>
        </w:rPr>
        <w:t>memorial presentado el 19 de mayo de 2025</w:t>
      </w:r>
      <w:r w:rsidRPr="00AD7C3F">
        <w:rPr>
          <w:rFonts w:ascii="Book Antiqua" w:hAnsi="Book Antiqua"/>
        </w:rPr>
        <w:t xml:space="preserve">. En el mismo, expresó que el CRIM es la entidad encargada de ofrecer servicios fiscales a los municipios, y cuya responsabilidad primaria incluye </w:t>
      </w:r>
      <w:r w:rsidRPr="00AD7C3F">
        <w:rPr>
          <w:rStyle w:val="Strong"/>
          <w:rFonts w:ascii="Book Antiqua" w:hAnsi="Book Antiqua"/>
        </w:rPr>
        <w:t>la tasación, imposición, cobro, recibo y distribución de los fondos públicos</w:t>
      </w:r>
      <w:r w:rsidRPr="00AD7C3F">
        <w:rPr>
          <w:rFonts w:ascii="Book Antiqua" w:hAnsi="Book Antiqua"/>
        </w:rPr>
        <w:t xml:space="preserve"> provenientes de la </w:t>
      </w:r>
      <w:r w:rsidRPr="00AD7C3F">
        <w:rPr>
          <w:rFonts w:ascii="Book Antiqua" w:hAnsi="Book Antiqua"/>
        </w:rPr>
        <w:lastRenderedPageBreak/>
        <w:t xml:space="preserve">contribución sobre la propiedad mueble e inmueble, conforme a la </w:t>
      </w:r>
      <w:r w:rsidRPr="00AD7C3F">
        <w:rPr>
          <w:rStyle w:val="Strong"/>
          <w:rFonts w:ascii="Book Antiqua" w:hAnsi="Book Antiqua"/>
        </w:rPr>
        <w:t>Ley Núm. 107 de 13 de agosto de 2020</w:t>
      </w:r>
      <w:r w:rsidRPr="00AD7C3F">
        <w:rPr>
          <w:rFonts w:ascii="Book Antiqua" w:hAnsi="Book Antiqua"/>
        </w:rPr>
        <w:t xml:space="preserve">, según enmendada, conocida como el </w:t>
      </w:r>
      <w:r w:rsidRPr="00AD7C3F">
        <w:rPr>
          <w:rStyle w:val="Strong"/>
          <w:rFonts w:ascii="Book Antiqua" w:hAnsi="Book Antiqua"/>
        </w:rPr>
        <w:t>“Código Municipal de Puerto Rico”</w:t>
      </w:r>
      <w:r w:rsidRPr="00AD7C3F">
        <w:rPr>
          <w:rFonts w:ascii="Book Antiqua" w:hAnsi="Book Antiqua"/>
        </w:rPr>
        <w:t>.</w:t>
      </w:r>
    </w:p>
    <w:p w14:paraId="68102784" w14:textId="6DD4E67B" w:rsidR="00AD7C3F" w:rsidRDefault="00AD7C3F" w:rsidP="007B284B">
      <w:pPr>
        <w:pStyle w:val="NormalWeb"/>
        <w:jc w:val="both"/>
        <w:rPr>
          <w:rFonts w:ascii="Book Antiqua" w:hAnsi="Book Antiqua"/>
        </w:rPr>
      </w:pPr>
      <w:r w:rsidRPr="00AD7C3F">
        <w:rPr>
          <w:rFonts w:ascii="Book Antiqua" w:hAnsi="Book Antiqua"/>
        </w:rPr>
        <w:t xml:space="preserve">A estos efectos, el CRIM indicó que </w:t>
      </w:r>
      <w:r w:rsidRPr="00AD7C3F">
        <w:rPr>
          <w:rStyle w:val="Strong"/>
          <w:rFonts w:ascii="Book Antiqua" w:hAnsi="Book Antiqua"/>
        </w:rPr>
        <w:t>el Proyecto de la Cámara 557 no guarda relación con las funciones que le han sido delegadas</w:t>
      </w:r>
      <w:r w:rsidRPr="00AD7C3F">
        <w:rPr>
          <w:rFonts w:ascii="Book Antiqua" w:hAnsi="Book Antiqua"/>
        </w:rPr>
        <w:t xml:space="preserve"> en torno a la tasación, imposición y cobro de contribuciones sobre propiedad mueble o inmueble. Por consiguiente, la agencia informó que </w:t>
      </w:r>
      <w:r w:rsidRPr="00AD7C3F">
        <w:rPr>
          <w:rStyle w:val="Strong"/>
          <w:rFonts w:ascii="Book Antiqua" w:hAnsi="Book Antiqua"/>
        </w:rPr>
        <w:t>no endosa ni tiene observaciones sobre la medida</w:t>
      </w:r>
      <w:r w:rsidRPr="00AD7C3F">
        <w:rPr>
          <w:rFonts w:ascii="Book Antiqua" w:hAnsi="Book Antiqua"/>
        </w:rPr>
        <w:t>, dado que su contenido no afecta ni interfiere con los procesos fiscales bajo la jurisdicción del CRIM.</w:t>
      </w:r>
    </w:p>
    <w:p w14:paraId="36F8C084" w14:textId="2B9C3A70" w:rsidR="007B284B" w:rsidRPr="007B284B" w:rsidRDefault="007B284B" w:rsidP="007B284B">
      <w:pPr>
        <w:pStyle w:val="NormalWeb"/>
        <w:jc w:val="both"/>
        <w:rPr>
          <w:rFonts w:ascii="Book Antiqua" w:hAnsi="Book Antiqua"/>
        </w:rPr>
      </w:pPr>
      <w:r w:rsidRPr="007B284B">
        <w:rPr>
          <w:rFonts w:ascii="Book Antiqua" w:hAnsi="Book Antiqua"/>
        </w:rPr>
        <w:t xml:space="preserve">El </w:t>
      </w:r>
      <w:r w:rsidRPr="00415E27">
        <w:rPr>
          <w:rStyle w:val="Strong"/>
          <w:rFonts w:ascii="Book Antiqua" w:hAnsi="Book Antiqua"/>
          <w:i/>
          <w:iCs/>
        </w:rPr>
        <w:t>Departamento de Transportación y Obras Públicas (DTOP)</w:t>
      </w:r>
      <w:r w:rsidRPr="00415E27">
        <w:rPr>
          <w:rFonts w:ascii="Book Antiqua" w:hAnsi="Book Antiqua"/>
          <w:i/>
          <w:iCs/>
        </w:rPr>
        <w:t>,</w:t>
      </w:r>
      <w:r w:rsidRPr="007B284B">
        <w:rPr>
          <w:rFonts w:ascii="Book Antiqua" w:hAnsi="Book Antiqua"/>
        </w:rPr>
        <w:t xml:space="preserve"> mediante memorial explicativo </w:t>
      </w:r>
      <w:r w:rsidR="00A67B16">
        <w:rPr>
          <w:rFonts w:ascii="Book Antiqua" w:hAnsi="Book Antiqua"/>
        </w:rPr>
        <w:t>con fecha</w:t>
      </w:r>
      <w:r w:rsidRPr="007B284B">
        <w:rPr>
          <w:rFonts w:ascii="Book Antiqua" w:hAnsi="Book Antiqua"/>
        </w:rPr>
        <w:t xml:space="preserve"> </w:t>
      </w:r>
      <w:r w:rsidR="00A67B16">
        <w:rPr>
          <w:rFonts w:ascii="Book Antiqua" w:hAnsi="Book Antiqua"/>
        </w:rPr>
        <w:t>d</w:t>
      </w:r>
      <w:r w:rsidRPr="007B284B">
        <w:rPr>
          <w:rFonts w:ascii="Book Antiqua" w:hAnsi="Book Antiqua"/>
        </w:rPr>
        <w:t xml:space="preserve">el </w:t>
      </w:r>
      <w:r w:rsidRPr="007B284B">
        <w:rPr>
          <w:rStyle w:val="Strong"/>
          <w:rFonts w:ascii="Book Antiqua" w:hAnsi="Book Antiqua"/>
        </w:rPr>
        <w:t>14 de mayo de 2025</w:t>
      </w:r>
      <w:r w:rsidRPr="007B284B">
        <w:rPr>
          <w:rFonts w:ascii="Book Antiqua" w:hAnsi="Book Antiqua"/>
        </w:rPr>
        <w:t xml:space="preserve"> y suscrito por su </w:t>
      </w:r>
      <w:r w:rsidR="00A67B16">
        <w:rPr>
          <w:rFonts w:ascii="Book Antiqua" w:hAnsi="Book Antiqua"/>
        </w:rPr>
        <w:t>s</w:t>
      </w:r>
      <w:r w:rsidRPr="00A67B16">
        <w:rPr>
          <w:rFonts w:ascii="Book Antiqua" w:hAnsi="Book Antiqua"/>
        </w:rPr>
        <w:t>ecretario</w:t>
      </w:r>
      <w:r w:rsidRPr="007B284B">
        <w:rPr>
          <w:rFonts w:ascii="Book Antiqua" w:hAnsi="Book Antiqua"/>
        </w:rPr>
        <w:t xml:space="preserve">, el </w:t>
      </w:r>
      <w:r w:rsidRPr="007B284B">
        <w:rPr>
          <w:rStyle w:val="Strong"/>
          <w:rFonts w:ascii="Book Antiqua" w:hAnsi="Book Antiqua"/>
        </w:rPr>
        <w:t>Dr. Edwin E. González Montalvo</w:t>
      </w:r>
      <w:r w:rsidRPr="007B284B">
        <w:rPr>
          <w:rFonts w:ascii="Book Antiqua" w:hAnsi="Book Antiqua"/>
        </w:rPr>
        <w:t xml:space="preserve">, expresó su posición oficial respecto al </w:t>
      </w:r>
      <w:r w:rsidRPr="007B284B">
        <w:rPr>
          <w:rStyle w:val="Strong"/>
          <w:rFonts w:ascii="Book Antiqua" w:hAnsi="Book Antiqua"/>
        </w:rPr>
        <w:t>Proyecto de la Cámara 557</w:t>
      </w:r>
      <w:r w:rsidRPr="007B284B">
        <w:rPr>
          <w:rFonts w:ascii="Book Antiqua" w:hAnsi="Book Antiqua"/>
        </w:rPr>
        <w:t>. Tras realizar el análisis correspondiente, el DTOP</w:t>
      </w:r>
      <w:r>
        <w:rPr>
          <w:rFonts w:ascii="Book Antiqua" w:hAnsi="Book Antiqua"/>
        </w:rPr>
        <w:t xml:space="preserve">, resume </w:t>
      </w:r>
      <w:r w:rsidR="00E53603">
        <w:rPr>
          <w:rFonts w:ascii="Book Antiqua" w:hAnsi="Book Antiqua"/>
        </w:rPr>
        <w:t>los propósitos</w:t>
      </w:r>
      <w:r>
        <w:rPr>
          <w:rFonts w:ascii="Book Antiqua" w:hAnsi="Book Antiqua"/>
        </w:rPr>
        <w:t xml:space="preserve"> de la medida y expresan </w:t>
      </w:r>
      <w:r w:rsidRPr="007B284B">
        <w:rPr>
          <w:rFonts w:ascii="Book Antiqua" w:hAnsi="Book Antiqua"/>
        </w:rPr>
        <w:t xml:space="preserve">que su </w:t>
      </w:r>
      <w:r w:rsidR="00E53603" w:rsidRPr="007B284B">
        <w:rPr>
          <w:rFonts w:ascii="Book Antiqua" w:hAnsi="Book Antiqua"/>
        </w:rPr>
        <w:t>propósito</w:t>
      </w:r>
      <w:r w:rsidRPr="007B284B">
        <w:rPr>
          <w:rFonts w:ascii="Book Antiqua" w:hAnsi="Book Antiqua"/>
        </w:rPr>
        <w:t xml:space="preserve"> </w:t>
      </w:r>
      <w:r w:rsidR="00E53603" w:rsidRPr="007B284B">
        <w:rPr>
          <w:rFonts w:ascii="Book Antiqua" w:hAnsi="Book Antiqua"/>
        </w:rPr>
        <w:t>está</w:t>
      </w:r>
      <w:r w:rsidRPr="007B284B">
        <w:rPr>
          <w:rFonts w:ascii="Book Antiqua" w:hAnsi="Book Antiqua"/>
        </w:rPr>
        <w:t xml:space="preserve"> dirigido a agilizar el proceso de decomisar</w:t>
      </w:r>
      <w:r>
        <w:rPr>
          <w:rFonts w:ascii="Book Antiqua" w:hAnsi="Book Antiqua"/>
        </w:rPr>
        <w:t xml:space="preserve"> </w:t>
      </w:r>
      <w:r w:rsidRPr="007B284B">
        <w:rPr>
          <w:rFonts w:ascii="Book Antiqua" w:hAnsi="Book Antiqua"/>
        </w:rPr>
        <w:t>aquellos bienes muebles en desuso por los municipios.</w:t>
      </w:r>
      <w:r>
        <w:rPr>
          <w:rFonts w:ascii="Book Antiqua" w:hAnsi="Book Antiqua"/>
        </w:rPr>
        <w:t xml:space="preserve"> El DTOP culmina indicando</w:t>
      </w:r>
      <w:r w:rsidRPr="007B284B">
        <w:rPr>
          <w:rFonts w:ascii="Book Antiqua" w:hAnsi="Book Antiqua"/>
        </w:rPr>
        <w:t xml:space="preserve"> que </w:t>
      </w:r>
      <w:r>
        <w:rPr>
          <w:rStyle w:val="Strong"/>
          <w:rFonts w:ascii="Book Antiqua" w:hAnsi="Book Antiqua"/>
        </w:rPr>
        <w:t>favorece</w:t>
      </w:r>
      <w:r w:rsidRPr="007B284B">
        <w:rPr>
          <w:rStyle w:val="Strong"/>
          <w:rFonts w:ascii="Book Antiqua" w:hAnsi="Book Antiqua"/>
        </w:rPr>
        <w:t xml:space="preserve"> la aprobación de la medida</w:t>
      </w:r>
      <w:r w:rsidRPr="007B284B">
        <w:rPr>
          <w:rFonts w:ascii="Book Antiqua" w:hAnsi="Book Antiqua"/>
        </w:rPr>
        <w:t>.</w:t>
      </w:r>
      <w:r>
        <w:rPr>
          <w:rFonts w:ascii="Book Antiqua" w:hAnsi="Book Antiqua"/>
        </w:rPr>
        <w:t xml:space="preserve"> </w:t>
      </w:r>
      <w:r w:rsidRPr="007B284B">
        <w:rPr>
          <w:rFonts w:ascii="Book Antiqua" w:hAnsi="Book Antiqua"/>
        </w:rPr>
        <w:t xml:space="preserve"> </w:t>
      </w:r>
    </w:p>
    <w:p w14:paraId="4AD78954" w14:textId="434487D5" w:rsidR="007B284B" w:rsidRPr="007B284B" w:rsidRDefault="007B284B" w:rsidP="007B284B">
      <w:pPr>
        <w:pStyle w:val="NormalWeb"/>
        <w:jc w:val="both"/>
        <w:rPr>
          <w:rFonts w:ascii="Book Antiqua" w:hAnsi="Book Antiqua"/>
        </w:rPr>
      </w:pPr>
      <w:r w:rsidRPr="007B284B">
        <w:rPr>
          <w:rFonts w:ascii="Book Antiqua" w:hAnsi="Book Antiqua"/>
        </w:rPr>
        <w:t xml:space="preserve">La </w:t>
      </w:r>
      <w:r w:rsidRPr="00415E27">
        <w:rPr>
          <w:rStyle w:val="Strong"/>
          <w:rFonts w:ascii="Book Antiqua" w:hAnsi="Book Antiqua"/>
          <w:i/>
          <w:iCs/>
        </w:rPr>
        <w:t>Oficina de Presupuesto de la Asamblea Legislativa (OPAL)</w:t>
      </w:r>
      <w:r w:rsidRPr="00415E27">
        <w:rPr>
          <w:rFonts w:ascii="Book Antiqua" w:hAnsi="Book Antiqua"/>
          <w:i/>
          <w:iCs/>
        </w:rPr>
        <w:t>,</w:t>
      </w:r>
      <w:r w:rsidRPr="007B284B">
        <w:rPr>
          <w:rFonts w:ascii="Book Antiqua" w:hAnsi="Book Antiqua"/>
        </w:rPr>
        <w:t xml:space="preserve"> mediante el </w:t>
      </w:r>
      <w:r w:rsidRPr="007B284B">
        <w:rPr>
          <w:rStyle w:val="Strong"/>
          <w:rFonts w:ascii="Book Antiqua" w:hAnsi="Book Antiqua"/>
        </w:rPr>
        <w:t>Informe 2025-175</w:t>
      </w:r>
      <w:r w:rsidRPr="007B284B">
        <w:rPr>
          <w:rFonts w:ascii="Book Antiqua" w:hAnsi="Book Antiqua"/>
        </w:rPr>
        <w:t xml:space="preserve"> de </w:t>
      </w:r>
      <w:r w:rsidRPr="007B284B">
        <w:rPr>
          <w:rStyle w:val="Strong"/>
          <w:rFonts w:ascii="Book Antiqua" w:hAnsi="Book Antiqua"/>
        </w:rPr>
        <w:t>mayo de 2025</w:t>
      </w:r>
      <w:r w:rsidRPr="007B284B">
        <w:rPr>
          <w:rFonts w:ascii="Book Antiqua" w:hAnsi="Book Antiqua"/>
        </w:rPr>
        <w:t xml:space="preserve">, evaluó el efecto fiscal del </w:t>
      </w:r>
      <w:r w:rsidRPr="007B284B">
        <w:rPr>
          <w:rStyle w:val="Strong"/>
          <w:rFonts w:ascii="Book Antiqua" w:hAnsi="Book Antiqua"/>
        </w:rPr>
        <w:t>Proyecto de la Cámara 557</w:t>
      </w:r>
      <w:r w:rsidRPr="007B284B">
        <w:rPr>
          <w:rFonts w:ascii="Book Antiqua" w:hAnsi="Book Antiqua"/>
        </w:rPr>
        <w:t xml:space="preserve">, el cual propone enmendar el </w:t>
      </w:r>
      <w:r w:rsidRPr="007B284B">
        <w:rPr>
          <w:rStyle w:val="Strong"/>
          <w:rFonts w:ascii="Book Antiqua" w:hAnsi="Book Antiqua"/>
        </w:rPr>
        <w:t>Código Municipal de Puerto Rico</w:t>
      </w:r>
      <w:r w:rsidRPr="007B284B">
        <w:rPr>
          <w:rFonts w:ascii="Book Antiqua" w:hAnsi="Book Antiqua"/>
        </w:rPr>
        <w:t xml:space="preserve"> para permitir que los municipios puedan vender directamente, sin necesidad de subasta pública, vehículos, maquinaria u otros bienes muebles valorados en menos de </w:t>
      </w:r>
      <w:r w:rsidRPr="007B284B">
        <w:rPr>
          <w:rStyle w:val="Strong"/>
          <w:rFonts w:ascii="Book Antiqua" w:hAnsi="Book Antiqua"/>
        </w:rPr>
        <w:t>cinco mil dólares ($5,000.00)</w:t>
      </w:r>
      <w:r w:rsidRPr="007B284B">
        <w:rPr>
          <w:rFonts w:ascii="Book Antiqua" w:hAnsi="Book Antiqua"/>
        </w:rPr>
        <w:t>, siempre que estos no funcionen, estén en desuso o hayan sido declarados como “chatarra”.</w:t>
      </w:r>
    </w:p>
    <w:p w14:paraId="49BC25C5" w14:textId="77777777" w:rsidR="007B284B" w:rsidRPr="007B284B" w:rsidRDefault="007B284B" w:rsidP="007B284B">
      <w:pPr>
        <w:pStyle w:val="NormalWeb"/>
        <w:jc w:val="both"/>
        <w:rPr>
          <w:rFonts w:ascii="Book Antiqua" w:hAnsi="Book Antiqua"/>
        </w:rPr>
      </w:pPr>
      <w:r w:rsidRPr="007B284B">
        <w:rPr>
          <w:rFonts w:ascii="Book Antiqua" w:hAnsi="Book Antiqua"/>
        </w:rPr>
        <w:t xml:space="preserve">Según la OPAL, el P. de la C. 557 </w:t>
      </w:r>
      <w:r w:rsidRPr="007B284B">
        <w:rPr>
          <w:rStyle w:val="Strong"/>
          <w:rFonts w:ascii="Book Antiqua" w:hAnsi="Book Antiqua"/>
        </w:rPr>
        <w:t>no tendría un efecto fiscal sobre el Fondo General</w:t>
      </w:r>
      <w:r w:rsidRPr="007B284B">
        <w:rPr>
          <w:rFonts w:ascii="Book Antiqua" w:hAnsi="Book Antiqua"/>
        </w:rPr>
        <w:t xml:space="preserve">, ya que la enmienda propuesta </w:t>
      </w:r>
      <w:r w:rsidRPr="007B284B">
        <w:rPr>
          <w:rStyle w:val="Strong"/>
          <w:rFonts w:ascii="Book Antiqua" w:hAnsi="Book Antiqua"/>
        </w:rPr>
        <w:t>no conlleva una erogación de fondos públicos</w:t>
      </w:r>
      <w:r w:rsidRPr="007B284B">
        <w:rPr>
          <w:rFonts w:ascii="Book Antiqua" w:hAnsi="Book Antiqua"/>
        </w:rPr>
        <w:t xml:space="preserve">. Si bien se contempla una posible exención al requisito de subasta pública, se estima que cualquier impacto fiscal sería </w:t>
      </w:r>
      <w:r w:rsidRPr="007B284B">
        <w:rPr>
          <w:rStyle w:val="Strong"/>
          <w:rFonts w:ascii="Book Antiqua" w:hAnsi="Book Antiqua"/>
        </w:rPr>
        <w:t>mínimo y no sustancial</w:t>
      </w:r>
      <w:r w:rsidRPr="007B284B">
        <w:rPr>
          <w:rFonts w:ascii="Book Antiqua" w:hAnsi="Book Antiqua"/>
        </w:rPr>
        <w:t xml:space="preserve">. Por el contrario, se proyecta que la aprobación de esta medida podría incluso tener </w:t>
      </w:r>
      <w:r w:rsidRPr="007B284B">
        <w:rPr>
          <w:rStyle w:val="Strong"/>
          <w:rFonts w:ascii="Book Antiqua" w:hAnsi="Book Antiqua"/>
        </w:rPr>
        <w:t>un efecto económico positivo</w:t>
      </w:r>
      <w:r w:rsidRPr="007B284B">
        <w:rPr>
          <w:rFonts w:ascii="Book Antiqua" w:hAnsi="Book Antiqua"/>
        </w:rPr>
        <w:t>, al facilitar la liquidación de ciertos bienes de poco valor, generando ahorros en costos operacionales para los municipios.</w:t>
      </w:r>
    </w:p>
    <w:p w14:paraId="5201D0A1" w14:textId="07772850" w:rsidR="007B284B" w:rsidRPr="007B284B" w:rsidRDefault="00A67B16" w:rsidP="007B284B">
      <w:pPr>
        <w:pStyle w:val="NormalWeb"/>
        <w:jc w:val="both"/>
        <w:rPr>
          <w:rFonts w:ascii="Book Antiqua" w:hAnsi="Book Antiqua"/>
        </w:rPr>
      </w:pPr>
      <w:r>
        <w:rPr>
          <w:rFonts w:ascii="Book Antiqua" w:hAnsi="Book Antiqua"/>
        </w:rPr>
        <w:t>Además</w:t>
      </w:r>
      <w:r w:rsidR="007B284B" w:rsidRPr="007B284B">
        <w:rPr>
          <w:rFonts w:ascii="Book Antiqua" w:hAnsi="Book Antiqua"/>
        </w:rPr>
        <w:t xml:space="preserve">, la OPAL resaltó que esta enmienda permitiría </w:t>
      </w:r>
      <w:r w:rsidR="007B284B" w:rsidRPr="007B284B">
        <w:rPr>
          <w:rStyle w:val="Strong"/>
          <w:rFonts w:ascii="Book Antiqua" w:hAnsi="Book Antiqua"/>
        </w:rPr>
        <w:t>agilizar el proceso de disposición de bienes obsoletos</w:t>
      </w:r>
      <w:r w:rsidR="007B284B" w:rsidRPr="007B284B">
        <w:rPr>
          <w:rFonts w:ascii="Book Antiqua" w:hAnsi="Book Antiqua"/>
        </w:rPr>
        <w:t xml:space="preserve"> o en desuso, especialmente aquellos clasificados como “chatarra”. Asimismo, la inclusión de una definición clara de “chatarra” en el Código Municipal contribuiría a uniformar criterios y prácticas en la administración de los bienes muebles municipales.</w:t>
      </w:r>
    </w:p>
    <w:p w14:paraId="2AAD9711" w14:textId="423C0089" w:rsidR="007B284B" w:rsidRPr="007B284B" w:rsidRDefault="007B284B" w:rsidP="004B4D67">
      <w:pPr>
        <w:pStyle w:val="NormalWeb"/>
        <w:spacing w:before="0" w:beforeAutospacing="0" w:after="0" w:afterAutospacing="0"/>
        <w:jc w:val="both"/>
        <w:rPr>
          <w:rFonts w:ascii="Book Antiqua" w:hAnsi="Book Antiqua"/>
        </w:rPr>
      </w:pPr>
      <w:r w:rsidRPr="007B284B">
        <w:rPr>
          <w:rFonts w:ascii="Book Antiqua" w:hAnsi="Book Antiqua"/>
        </w:rPr>
        <w:t xml:space="preserve">No obstante, la OPAL llamó la atención sobre una posible inconsistencia normativa. Específicamente, señaló que el </w:t>
      </w:r>
      <w:r w:rsidRPr="007B284B">
        <w:rPr>
          <w:rStyle w:val="Strong"/>
          <w:rFonts w:ascii="Book Antiqua" w:hAnsi="Book Antiqua"/>
        </w:rPr>
        <w:t>inciso (c) del Artículo 2.021 de la Ley Núm. 107-2020</w:t>
      </w:r>
      <w:r w:rsidRPr="007B284B">
        <w:rPr>
          <w:rFonts w:ascii="Book Antiqua" w:hAnsi="Book Antiqua"/>
        </w:rPr>
        <w:t xml:space="preserve"> ya permite la venta, sin subasta pública, de unidades de propiedad mueble valoradas en </w:t>
      </w:r>
      <w:r w:rsidRPr="007B284B">
        <w:rPr>
          <w:rStyle w:val="Strong"/>
          <w:rFonts w:ascii="Book Antiqua" w:hAnsi="Book Antiqua"/>
        </w:rPr>
        <w:t xml:space="preserve">mil </w:t>
      </w:r>
      <w:r w:rsidRPr="007B284B">
        <w:rPr>
          <w:rStyle w:val="Strong"/>
          <w:rFonts w:ascii="Book Antiqua" w:hAnsi="Book Antiqua"/>
        </w:rPr>
        <w:lastRenderedPageBreak/>
        <w:t>dólares ($1,000) o menos</w:t>
      </w:r>
      <w:r w:rsidRPr="007B284B">
        <w:rPr>
          <w:rFonts w:ascii="Book Antiqua" w:hAnsi="Book Antiqua"/>
        </w:rPr>
        <w:t xml:space="preserve">, siempre que dicha venta sea aprobada por la mayoría absoluta de la Legislatura Municipal. Dicha disposición </w:t>
      </w:r>
      <w:r w:rsidRPr="007B284B">
        <w:rPr>
          <w:rStyle w:val="Strong"/>
          <w:rFonts w:ascii="Book Antiqua" w:hAnsi="Book Antiqua"/>
        </w:rPr>
        <w:t>no es modificada expresamente</w:t>
      </w:r>
      <w:r w:rsidRPr="007B284B">
        <w:rPr>
          <w:rFonts w:ascii="Book Antiqua" w:hAnsi="Book Antiqua"/>
        </w:rPr>
        <w:t xml:space="preserve"> por el </w:t>
      </w:r>
      <w:r w:rsidR="004F5FDB">
        <w:rPr>
          <w:rFonts w:ascii="Book Antiqua" w:hAnsi="Book Antiqua"/>
        </w:rPr>
        <w:t xml:space="preserve">    </w:t>
      </w:r>
      <w:r w:rsidRPr="007B284B">
        <w:rPr>
          <w:rFonts w:ascii="Book Antiqua" w:hAnsi="Book Antiqua"/>
        </w:rPr>
        <w:t xml:space="preserve">P. de la C. 557, por lo que podría entenderse que queda </w:t>
      </w:r>
      <w:r w:rsidRPr="007B284B">
        <w:rPr>
          <w:rStyle w:val="Strong"/>
          <w:rFonts w:ascii="Book Antiqua" w:hAnsi="Book Antiqua"/>
        </w:rPr>
        <w:t>derogada implícitamente</w:t>
      </w:r>
      <w:r w:rsidRPr="007B284B">
        <w:rPr>
          <w:rFonts w:ascii="Book Antiqua" w:hAnsi="Book Antiqua"/>
        </w:rPr>
        <w:t>, generando potencial ambigüedad legal.</w:t>
      </w:r>
    </w:p>
    <w:p w14:paraId="24B954BF" w14:textId="77777777" w:rsidR="004B4D67" w:rsidRDefault="004B4D67" w:rsidP="004B4D67">
      <w:pPr>
        <w:pStyle w:val="NormalWeb"/>
        <w:spacing w:before="0" w:beforeAutospacing="0" w:after="0" w:afterAutospacing="0"/>
        <w:jc w:val="both"/>
        <w:rPr>
          <w:rFonts w:ascii="Book Antiqua" w:hAnsi="Book Antiqua"/>
        </w:rPr>
      </w:pPr>
    </w:p>
    <w:p w14:paraId="60893433" w14:textId="093DD8F8" w:rsidR="007B284B" w:rsidRPr="007B284B" w:rsidRDefault="007B284B" w:rsidP="004B4D67">
      <w:pPr>
        <w:pStyle w:val="NormalWeb"/>
        <w:spacing w:before="0" w:beforeAutospacing="0" w:after="0" w:afterAutospacing="0"/>
        <w:jc w:val="both"/>
        <w:rPr>
          <w:rFonts w:ascii="Book Antiqua" w:hAnsi="Book Antiqua"/>
        </w:rPr>
      </w:pPr>
      <w:r w:rsidRPr="007B284B">
        <w:rPr>
          <w:rFonts w:ascii="Book Antiqua" w:hAnsi="Book Antiqua"/>
        </w:rPr>
        <w:t xml:space="preserve">Finalmente, OPAL indicó que, aunque la medida describe su cláusula de retroactividad en la Sección 7, en realidad dicha disposición se encuentra en la </w:t>
      </w:r>
      <w:r w:rsidRPr="007B284B">
        <w:rPr>
          <w:rStyle w:val="Strong"/>
          <w:rFonts w:ascii="Book Antiqua" w:hAnsi="Book Antiqua"/>
        </w:rPr>
        <w:t>Sección 6 del texto legislativo</w:t>
      </w:r>
      <w:r w:rsidRPr="007B284B">
        <w:rPr>
          <w:rFonts w:ascii="Book Antiqua" w:hAnsi="Book Antiqua"/>
        </w:rPr>
        <w:t>. Esta aclaración técnica es importante para efectos de interpretación y cumplimiento.</w:t>
      </w:r>
    </w:p>
    <w:p w14:paraId="5251051C" w14:textId="77777777" w:rsidR="004B4D67" w:rsidRDefault="004B4D67" w:rsidP="004B4D67">
      <w:pPr>
        <w:pStyle w:val="NormalWeb"/>
        <w:spacing w:before="0" w:beforeAutospacing="0" w:after="0" w:afterAutospacing="0"/>
        <w:jc w:val="both"/>
        <w:rPr>
          <w:rFonts w:ascii="Book Antiqua" w:hAnsi="Book Antiqua"/>
        </w:rPr>
      </w:pPr>
    </w:p>
    <w:p w14:paraId="0AA47E3E" w14:textId="323FBD61" w:rsidR="007B284B" w:rsidRPr="007B284B" w:rsidRDefault="007B284B" w:rsidP="004B4D67">
      <w:pPr>
        <w:pStyle w:val="NormalWeb"/>
        <w:spacing w:before="0" w:beforeAutospacing="0" w:after="0" w:afterAutospacing="0"/>
        <w:jc w:val="both"/>
        <w:rPr>
          <w:rFonts w:ascii="Book Antiqua" w:hAnsi="Book Antiqua"/>
        </w:rPr>
      </w:pPr>
      <w:r w:rsidRPr="007B284B">
        <w:rPr>
          <w:rFonts w:ascii="Book Antiqua" w:hAnsi="Book Antiqua"/>
        </w:rPr>
        <w:t xml:space="preserve">En resumen, OPAL </w:t>
      </w:r>
      <w:r w:rsidRPr="007B284B">
        <w:rPr>
          <w:rStyle w:val="Strong"/>
          <w:rFonts w:ascii="Book Antiqua" w:hAnsi="Book Antiqua"/>
        </w:rPr>
        <w:t>no identificó impactos fiscales negativos</w:t>
      </w:r>
      <w:r w:rsidRPr="007B284B">
        <w:rPr>
          <w:rFonts w:ascii="Book Antiqua" w:hAnsi="Book Antiqua"/>
        </w:rPr>
        <w:t xml:space="preserve"> asociados a la medida, validó su potencial eficiencia administrativa y recomendó atender los aspectos de técnica legislativa señalados para evitar conflictos normativos con disposiciones vigentes del Código Municipal.</w:t>
      </w:r>
    </w:p>
    <w:p w14:paraId="6481BA7C" w14:textId="455447CE" w:rsidR="001C6904" w:rsidRDefault="00214189" w:rsidP="004B4D67">
      <w:pPr>
        <w:jc w:val="center"/>
        <w:rPr>
          <w:rFonts w:ascii="Book Antiqua" w:hAnsi="Book Antiqua"/>
          <w:b/>
          <w:i/>
          <w:smallCaps/>
          <w:szCs w:val="24"/>
          <w:lang w:val="es-ES_tradnl"/>
        </w:rPr>
      </w:pPr>
      <w:r>
        <w:rPr>
          <w:rFonts w:ascii="Book Antiqua" w:hAnsi="Book Antiqua"/>
          <w:b/>
          <w:i/>
          <w:smallCaps/>
          <w:szCs w:val="24"/>
          <w:lang w:val="es-ES_tradnl"/>
        </w:rPr>
        <w:t>Enmiendas Recomendadas</w:t>
      </w:r>
    </w:p>
    <w:p w14:paraId="746CF9B5" w14:textId="77777777" w:rsidR="004B4D67" w:rsidRPr="00276C3E" w:rsidRDefault="004B4D67" w:rsidP="004B4D67">
      <w:pPr>
        <w:jc w:val="center"/>
        <w:rPr>
          <w:rFonts w:ascii="Book Antiqua" w:hAnsi="Book Antiqua"/>
          <w:b/>
          <w:i/>
          <w:smallCaps/>
          <w:szCs w:val="24"/>
          <w:lang w:val="es-ES_tradnl"/>
        </w:rPr>
      </w:pPr>
    </w:p>
    <w:p w14:paraId="7056E7C1" w14:textId="19A006AB" w:rsidR="00EE6494" w:rsidRDefault="00EE6494" w:rsidP="004B4D67">
      <w:pPr>
        <w:pStyle w:val="NormalWeb"/>
        <w:spacing w:before="0" w:beforeAutospacing="0" w:after="0" w:afterAutospacing="0"/>
        <w:jc w:val="both"/>
        <w:rPr>
          <w:rFonts w:ascii="Book Antiqua" w:hAnsi="Book Antiqua"/>
        </w:rPr>
      </w:pPr>
      <w:r w:rsidRPr="00EE6494">
        <w:rPr>
          <w:rFonts w:ascii="Book Antiqua" w:hAnsi="Book Antiqua"/>
        </w:rPr>
        <w:t xml:space="preserve">Como parte del análisis legislativo y el proceso de evaluación del Proyecto de </w:t>
      </w:r>
      <w:r w:rsidR="004F5FDB">
        <w:rPr>
          <w:rFonts w:ascii="Book Antiqua" w:hAnsi="Book Antiqua"/>
        </w:rPr>
        <w:t xml:space="preserve">                          </w:t>
      </w:r>
      <w:r w:rsidRPr="00EE6494">
        <w:rPr>
          <w:rFonts w:ascii="Book Antiqua" w:hAnsi="Book Antiqua"/>
        </w:rPr>
        <w:t xml:space="preserve">la Cámara 557, esta Comisión atendió las observaciones y reservas expresadas por la </w:t>
      </w:r>
      <w:r w:rsidRPr="00EE6494">
        <w:rPr>
          <w:rStyle w:val="Strong"/>
          <w:rFonts w:ascii="Book Antiqua" w:hAnsi="Book Antiqua"/>
        </w:rPr>
        <w:t>AAPR</w:t>
      </w:r>
      <w:r w:rsidRPr="00EE6494">
        <w:rPr>
          <w:rFonts w:ascii="Book Antiqua" w:hAnsi="Book Antiqua"/>
        </w:rPr>
        <w:t>, en torno a la necesidad de clarificar quién tendría la autoridad y responsabilidad en el proceso de venta de los bienes muebles en desuso o catalogados como “chatarra”. En respuesta a dichas preocupaciones, se incorporó el siguiente lenguaje en el texto enmendado del proyecto:</w:t>
      </w:r>
    </w:p>
    <w:p w14:paraId="5105BCCA" w14:textId="77777777" w:rsidR="00EE6494" w:rsidRPr="00EE6494" w:rsidRDefault="00EE6494" w:rsidP="00EE6494">
      <w:pPr>
        <w:pStyle w:val="NormalWeb"/>
        <w:ind w:left="720"/>
        <w:rPr>
          <w:rFonts w:ascii="Book Antiqua" w:hAnsi="Book Antiqua"/>
        </w:rPr>
      </w:pPr>
      <w:r w:rsidRPr="00EE6494">
        <w:rPr>
          <w:rFonts w:ascii="Book Antiqua" w:hAnsi="Book Antiqua"/>
        </w:rPr>
        <w:t xml:space="preserve">“Para fines de esta disposición, el </w:t>
      </w:r>
      <w:proofErr w:type="gramStart"/>
      <w:r w:rsidRPr="00EE6494">
        <w:rPr>
          <w:rFonts w:ascii="Book Antiqua" w:hAnsi="Book Antiqua"/>
        </w:rPr>
        <w:t>Alcalde</w:t>
      </w:r>
      <w:proofErr w:type="gramEnd"/>
      <w:r w:rsidRPr="00EE6494">
        <w:rPr>
          <w:rFonts w:ascii="Book Antiqua" w:hAnsi="Book Antiqua"/>
        </w:rPr>
        <w:t xml:space="preserve"> será responsable de:</w:t>
      </w:r>
      <w:r w:rsidRPr="00EE6494">
        <w:rPr>
          <w:rFonts w:ascii="Book Antiqua" w:hAnsi="Book Antiqua"/>
        </w:rPr>
        <w:br/>
        <w:t>i. Asignar el personal o contratar servicios para llevar a cabo la tasación;</w:t>
      </w:r>
      <w:r w:rsidRPr="00EE6494">
        <w:rPr>
          <w:rFonts w:ascii="Book Antiqua" w:hAnsi="Book Antiqua"/>
        </w:rPr>
        <w:br/>
      </w:r>
      <w:proofErr w:type="spellStart"/>
      <w:r w:rsidRPr="00EE6494">
        <w:rPr>
          <w:rFonts w:ascii="Book Antiqua" w:hAnsi="Book Antiqua"/>
        </w:rPr>
        <w:t>ii</w:t>
      </w:r>
      <w:proofErr w:type="spellEnd"/>
      <w:r w:rsidRPr="00EE6494">
        <w:rPr>
          <w:rFonts w:ascii="Book Antiqua" w:hAnsi="Book Antiqua"/>
        </w:rPr>
        <w:t>. Autorizar la disposición de dichos bienes;</w:t>
      </w:r>
      <w:r w:rsidRPr="00EE6494">
        <w:rPr>
          <w:rFonts w:ascii="Book Antiqua" w:hAnsi="Book Antiqua"/>
        </w:rPr>
        <w:br/>
      </w:r>
      <w:proofErr w:type="spellStart"/>
      <w:r w:rsidRPr="00EE6494">
        <w:rPr>
          <w:rFonts w:ascii="Book Antiqua" w:hAnsi="Book Antiqua"/>
        </w:rPr>
        <w:t>iii</w:t>
      </w:r>
      <w:proofErr w:type="spellEnd"/>
      <w:r w:rsidRPr="00EE6494">
        <w:rPr>
          <w:rFonts w:ascii="Book Antiqua" w:hAnsi="Book Antiqua"/>
        </w:rPr>
        <w:t>. Adoptar un proceso de competencia para la venta, que incluya, pero sin limitarse, la publicación de los bienes a vender.”</w:t>
      </w:r>
    </w:p>
    <w:p w14:paraId="64287DF4" w14:textId="57388CD3" w:rsidR="00EE6494" w:rsidRPr="00EE6494" w:rsidRDefault="00EE6494" w:rsidP="00EE6494">
      <w:pPr>
        <w:pStyle w:val="NormalWeb"/>
        <w:jc w:val="both"/>
        <w:rPr>
          <w:rFonts w:ascii="Book Antiqua" w:hAnsi="Book Antiqua"/>
        </w:rPr>
      </w:pPr>
      <w:r w:rsidRPr="00EE6494">
        <w:rPr>
          <w:rFonts w:ascii="Book Antiqua" w:hAnsi="Book Antiqua"/>
        </w:rPr>
        <w:t xml:space="preserve">Esta disposición busca garantizar </w:t>
      </w:r>
      <w:r w:rsidRPr="00EE6494">
        <w:rPr>
          <w:rStyle w:val="Strong"/>
          <w:rFonts w:ascii="Book Antiqua" w:hAnsi="Book Antiqua"/>
        </w:rPr>
        <w:t>transparencia, y responsabilidad administrativa</w:t>
      </w:r>
      <w:r w:rsidRPr="00EE6494">
        <w:rPr>
          <w:rFonts w:ascii="Book Antiqua" w:hAnsi="Book Antiqua"/>
        </w:rPr>
        <w:t>, promoviendo un marco mínimo de competencia que atienda los riesgos señalados por la AAPR, al tiempo que permite a los municipios disponer de bienes de escaso valor de manera ágil y eficiente.</w:t>
      </w:r>
    </w:p>
    <w:p w14:paraId="0074DB0D" w14:textId="256D7F6B" w:rsidR="00EE6494" w:rsidRDefault="00EE6494" w:rsidP="004F5FDB">
      <w:pPr>
        <w:pStyle w:val="NormalWeb"/>
        <w:spacing w:before="0" w:beforeAutospacing="0" w:after="0" w:afterAutospacing="0"/>
        <w:jc w:val="both"/>
        <w:rPr>
          <w:rFonts w:ascii="Book Antiqua" w:hAnsi="Book Antiqua"/>
        </w:rPr>
      </w:pPr>
      <w:r w:rsidRPr="00EE6494">
        <w:rPr>
          <w:rFonts w:ascii="Book Antiqua" w:hAnsi="Book Antiqua"/>
        </w:rPr>
        <w:t xml:space="preserve">De igual forma, se acogió la observación de la </w:t>
      </w:r>
      <w:r w:rsidRPr="00EE6494">
        <w:rPr>
          <w:rStyle w:val="Strong"/>
          <w:rFonts w:ascii="Book Antiqua" w:hAnsi="Book Antiqua"/>
        </w:rPr>
        <w:t>OPAL</w:t>
      </w:r>
      <w:r w:rsidRPr="00EE6494">
        <w:rPr>
          <w:rFonts w:ascii="Book Antiqua" w:hAnsi="Book Antiqua"/>
        </w:rPr>
        <w:t xml:space="preserve"> respecto a una posible inconsistencia normativa entre el nuevo lenguaje propuesto y el inciso (c) del Artículo 2.021 de la </w:t>
      </w:r>
      <w:r w:rsidR="009851F3">
        <w:rPr>
          <w:rFonts w:ascii="Book Antiqua" w:hAnsi="Book Antiqua"/>
        </w:rPr>
        <w:t xml:space="preserve">            </w:t>
      </w:r>
      <w:r w:rsidRPr="00EE6494">
        <w:rPr>
          <w:rFonts w:ascii="Book Antiqua" w:hAnsi="Book Antiqua"/>
        </w:rPr>
        <w:t>Ley</w:t>
      </w:r>
      <w:r w:rsidR="009851F3">
        <w:rPr>
          <w:rFonts w:ascii="Book Antiqua" w:hAnsi="Book Antiqua"/>
        </w:rPr>
        <w:t xml:space="preserve"> </w:t>
      </w:r>
      <w:r w:rsidRPr="00EE6494">
        <w:rPr>
          <w:rFonts w:ascii="Book Antiqua" w:hAnsi="Book Antiqua"/>
        </w:rPr>
        <w:t>Núm.</w:t>
      </w:r>
      <w:r w:rsidR="009851F3">
        <w:rPr>
          <w:rFonts w:ascii="Book Antiqua" w:hAnsi="Book Antiqua"/>
        </w:rPr>
        <w:t xml:space="preserve"> </w:t>
      </w:r>
      <w:r w:rsidRPr="00EE6494">
        <w:rPr>
          <w:rFonts w:ascii="Book Antiqua" w:hAnsi="Book Antiqua"/>
        </w:rPr>
        <w:t xml:space="preserve">107-2020. En atención a ello, se enmendó el proyecto para </w:t>
      </w:r>
      <w:r w:rsidRPr="00EE6494">
        <w:rPr>
          <w:rStyle w:val="Strong"/>
          <w:rFonts w:ascii="Book Antiqua" w:hAnsi="Book Antiqua"/>
        </w:rPr>
        <w:t>incorporar correctamente el texto vigente</w:t>
      </w:r>
      <w:r w:rsidRPr="00EE6494">
        <w:rPr>
          <w:rFonts w:ascii="Book Antiqua" w:hAnsi="Book Antiqua"/>
        </w:rPr>
        <w:t xml:space="preserve"> del mencionado artículo, lo cual asegura coherencia con el marco legal actual y evita cualquier interpretación que sugiera una derogación implícita no deseada. Esta corrección responde al señalamiento técnico planteado por OPAL y refuerza la legitimidad del proceso legislativo, facilitando su aplicación a nivel municipal.</w:t>
      </w:r>
    </w:p>
    <w:p w14:paraId="1E043A4C" w14:textId="3B03C914" w:rsidR="00EE6494" w:rsidRPr="00EE6494" w:rsidRDefault="00EE6494" w:rsidP="00EE6494">
      <w:pPr>
        <w:pStyle w:val="NormalWeb"/>
        <w:jc w:val="both"/>
        <w:rPr>
          <w:rFonts w:ascii="Book Antiqua" w:hAnsi="Book Antiqua"/>
        </w:rPr>
      </w:pPr>
      <w:r w:rsidRPr="00A67B16">
        <w:rPr>
          <w:rFonts w:ascii="Book Antiqua" w:hAnsi="Book Antiqua"/>
        </w:rPr>
        <w:lastRenderedPageBreak/>
        <w:t>Ad</w:t>
      </w:r>
      <w:r w:rsidR="00A67B16">
        <w:rPr>
          <w:rFonts w:ascii="Book Antiqua" w:hAnsi="Book Antiqua"/>
        </w:rPr>
        <w:t>emás</w:t>
      </w:r>
      <w:r w:rsidRPr="00A67B16">
        <w:rPr>
          <w:rFonts w:ascii="Book Antiqua" w:hAnsi="Book Antiqua"/>
        </w:rPr>
        <w:t>,</w:t>
      </w:r>
      <w:r w:rsidRPr="00EE6494">
        <w:rPr>
          <w:rFonts w:ascii="Book Antiqua" w:hAnsi="Book Antiqua"/>
        </w:rPr>
        <w:t xml:space="preserve"> y conforme al análisis detallado de esta Comisión junto al insumo recibido de las agencias consultadas, se procedió a </w:t>
      </w:r>
      <w:r w:rsidRPr="00EE6494">
        <w:rPr>
          <w:rStyle w:val="Strong"/>
          <w:rFonts w:ascii="Book Antiqua" w:hAnsi="Book Antiqua"/>
        </w:rPr>
        <w:t>eliminar la Sección 7</w:t>
      </w:r>
      <w:r w:rsidRPr="00EE6494">
        <w:rPr>
          <w:rFonts w:ascii="Book Antiqua" w:hAnsi="Book Antiqua"/>
        </w:rPr>
        <w:t xml:space="preserve"> del proyecto original, que disponía que la ley tendría carácter retroactivo.</w:t>
      </w:r>
      <w:r w:rsidR="009851F3">
        <w:rPr>
          <w:rFonts w:ascii="Book Antiqua" w:hAnsi="Book Antiqua"/>
        </w:rPr>
        <w:t xml:space="preserve"> </w:t>
      </w:r>
      <w:r w:rsidRPr="00EE6494">
        <w:rPr>
          <w:rFonts w:ascii="Book Antiqua" w:hAnsi="Book Antiqua"/>
        </w:rPr>
        <w:t>Esta decisión se basó en una evaluación jurídica y técnica que concluyó que la inclusión de una cláusula de retroactividad</w:t>
      </w:r>
      <w:r>
        <w:rPr>
          <w:rFonts w:ascii="Book Antiqua" w:hAnsi="Book Antiqua"/>
        </w:rPr>
        <w:t xml:space="preserve"> </w:t>
      </w:r>
      <w:r w:rsidRPr="00EE6494">
        <w:rPr>
          <w:rFonts w:ascii="Book Antiqua" w:hAnsi="Book Antiqua"/>
        </w:rPr>
        <w:t xml:space="preserve">podía dar lugar a </w:t>
      </w:r>
      <w:r w:rsidRPr="00EE6494">
        <w:rPr>
          <w:rStyle w:val="Strong"/>
          <w:rFonts w:ascii="Book Antiqua" w:hAnsi="Book Antiqua"/>
        </w:rPr>
        <w:t>ambigüedades legales o interpretaciones conflictivas</w:t>
      </w:r>
      <w:r w:rsidRPr="00EE6494">
        <w:rPr>
          <w:rFonts w:ascii="Book Antiqua" w:hAnsi="Book Antiqua"/>
        </w:rPr>
        <w:t xml:space="preserve"> respecto a actos administrativos pasados realizados por los municipios.</w:t>
      </w:r>
    </w:p>
    <w:p w14:paraId="233D2E69" w14:textId="1F81AF45" w:rsidR="00EE6494" w:rsidRPr="00EE6494" w:rsidRDefault="00EE6494" w:rsidP="00EE6494">
      <w:pPr>
        <w:pStyle w:val="NormalWeb"/>
        <w:jc w:val="both"/>
        <w:rPr>
          <w:rFonts w:ascii="Book Antiqua" w:hAnsi="Book Antiqua"/>
        </w:rPr>
      </w:pPr>
      <w:r w:rsidRPr="00EE6494">
        <w:rPr>
          <w:rFonts w:ascii="Book Antiqua" w:hAnsi="Book Antiqua"/>
        </w:rPr>
        <w:t xml:space="preserve">En efecto, la OPAL también señaló una inconsistencia en la numeración del articulado, ya que el texto legislativo ubicaba erróneamente la cláusula de retroactividad en la Sección 6, a pesar de que en la exposición de motivos se refería a la Sección 7. En lugar de corregir esa discrepancia técnica, esta Comisión optó por suprimir la cláusula de manera definitiva, reafirmando así el principio general de </w:t>
      </w:r>
      <w:r w:rsidRPr="00EE6494">
        <w:rPr>
          <w:rStyle w:val="Strong"/>
          <w:rFonts w:ascii="Book Antiqua" w:hAnsi="Book Antiqua"/>
        </w:rPr>
        <w:t>irretroactividad de las leyes</w:t>
      </w:r>
      <w:r w:rsidRPr="00EE6494">
        <w:rPr>
          <w:rFonts w:ascii="Book Antiqua" w:hAnsi="Book Antiqua"/>
        </w:rPr>
        <w:t>, salvo justificación expresa y razona</w:t>
      </w:r>
      <w:r>
        <w:rPr>
          <w:rFonts w:ascii="Book Antiqua" w:hAnsi="Book Antiqua"/>
        </w:rPr>
        <w:t>ble</w:t>
      </w:r>
      <w:r w:rsidRPr="00EE6494">
        <w:rPr>
          <w:rFonts w:ascii="Book Antiqua" w:hAnsi="Book Antiqua"/>
        </w:rPr>
        <w:t>, lo cual no</w:t>
      </w:r>
      <w:r>
        <w:rPr>
          <w:rFonts w:ascii="Book Antiqua" w:hAnsi="Book Antiqua"/>
        </w:rPr>
        <w:t xml:space="preserve"> debería</w:t>
      </w:r>
      <w:r w:rsidRPr="00EE6494">
        <w:rPr>
          <w:rFonts w:ascii="Book Antiqua" w:hAnsi="Book Antiqua"/>
        </w:rPr>
        <w:t xml:space="preserve"> aplica</w:t>
      </w:r>
      <w:r>
        <w:rPr>
          <w:rFonts w:ascii="Book Antiqua" w:hAnsi="Book Antiqua"/>
        </w:rPr>
        <w:t>r</w:t>
      </w:r>
      <w:r w:rsidRPr="00EE6494">
        <w:rPr>
          <w:rFonts w:ascii="Book Antiqua" w:hAnsi="Book Antiqua"/>
        </w:rPr>
        <w:t xml:space="preserve"> en este caso.</w:t>
      </w:r>
    </w:p>
    <w:p w14:paraId="7D2A24FB" w14:textId="31422B9E" w:rsidR="00EE6494" w:rsidRPr="00EE6494" w:rsidRDefault="00EE6494" w:rsidP="00EE6494">
      <w:pPr>
        <w:pStyle w:val="NormalWeb"/>
        <w:jc w:val="both"/>
        <w:rPr>
          <w:rFonts w:ascii="Book Antiqua" w:hAnsi="Book Antiqua"/>
        </w:rPr>
      </w:pPr>
      <w:r w:rsidRPr="00EE6494">
        <w:rPr>
          <w:rFonts w:ascii="Book Antiqua" w:hAnsi="Book Antiqua"/>
        </w:rPr>
        <w:t xml:space="preserve">En conjunto, estas enmiendas atienden las preocupaciones sustantivas presentadas por los deponentes, fortalecen el rigor técnico y normativo del articulado, y promueven un balance adecuado entre la </w:t>
      </w:r>
      <w:r w:rsidRPr="00EE6494">
        <w:rPr>
          <w:rStyle w:val="Strong"/>
          <w:rFonts w:ascii="Book Antiqua" w:hAnsi="Book Antiqua"/>
        </w:rPr>
        <w:t xml:space="preserve">eficiencia administrativa y el debido proceso </w:t>
      </w:r>
      <w:r>
        <w:rPr>
          <w:rStyle w:val="Strong"/>
          <w:rFonts w:ascii="Book Antiqua" w:hAnsi="Book Antiqua"/>
        </w:rPr>
        <w:t>de ley</w:t>
      </w:r>
      <w:r w:rsidRPr="00EE6494">
        <w:rPr>
          <w:rFonts w:ascii="Book Antiqua" w:hAnsi="Book Antiqua"/>
        </w:rPr>
        <w:t xml:space="preserve"> en la disposición de propiedad municipal.</w:t>
      </w:r>
    </w:p>
    <w:p w14:paraId="3010DBD8" w14:textId="01467850" w:rsidR="008B131A" w:rsidRDefault="004000AE" w:rsidP="00EE6494">
      <w:pPr>
        <w:jc w:val="center"/>
        <w:rPr>
          <w:rFonts w:ascii="Book Antiqua" w:hAnsi="Book Antiqua"/>
          <w:b/>
          <w:i/>
          <w:smallCaps/>
          <w:szCs w:val="24"/>
          <w:lang w:val="es-ES_tradnl"/>
        </w:rPr>
      </w:pPr>
      <w:r>
        <w:rPr>
          <w:rFonts w:ascii="Book Antiqua" w:hAnsi="Book Antiqua"/>
          <w:b/>
          <w:i/>
          <w:smallCaps/>
          <w:szCs w:val="24"/>
          <w:lang w:val="es-ES_tradnl"/>
        </w:rPr>
        <w:t xml:space="preserve">Análisis </w:t>
      </w:r>
      <w:r w:rsidR="00C646DB">
        <w:rPr>
          <w:rFonts w:ascii="Book Antiqua" w:hAnsi="Book Antiqua"/>
          <w:b/>
          <w:i/>
          <w:smallCaps/>
          <w:szCs w:val="24"/>
          <w:lang w:val="es-ES_tradnl"/>
        </w:rPr>
        <w:t>De la Medida</w:t>
      </w:r>
    </w:p>
    <w:p w14:paraId="4F47CC1A" w14:textId="77777777" w:rsidR="004B4D67" w:rsidRPr="00EE6494" w:rsidRDefault="004B4D67" w:rsidP="00EE6494">
      <w:pPr>
        <w:jc w:val="center"/>
        <w:rPr>
          <w:rFonts w:ascii="Book Antiqua" w:hAnsi="Book Antiqua"/>
          <w:b/>
          <w:i/>
          <w:smallCaps/>
          <w:szCs w:val="24"/>
          <w:lang w:val="es-ES_tradnl"/>
        </w:rPr>
      </w:pPr>
    </w:p>
    <w:p w14:paraId="318AED5A" w14:textId="2AB9AC5A" w:rsidR="00EE6494" w:rsidRPr="00EE6494" w:rsidRDefault="00EE6494" w:rsidP="004B4D67">
      <w:pPr>
        <w:pStyle w:val="NormalWeb"/>
        <w:spacing w:before="0" w:beforeAutospacing="0" w:after="0" w:afterAutospacing="0"/>
        <w:jc w:val="both"/>
        <w:rPr>
          <w:rFonts w:ascii="Book Antiqua" w:hAnsi="Book Antiqua"/>
        </w:rPr>
      </w:pPr>
      <w:r w:rsidRPr="00EE6494">
        <w:rPr>
          <w:rFonts w:ascii="Book Antiqua" w:hAnsi="Book Antiqua"/>
        </w:rPr>
        <w:t xml:space="preserve">El Proyecto de la Cámara 557 propone una enmienda prudente y necesaria al </w:t>
      </w:r>
      <w:r w:rsidRPr="00EE6494">
        <w:rPr>
          <w:rStyle w:val="Emphasis"/>
          <w:rFonts w:ascii="Book Antiqua" w:eastAsia="Batang" w:hAnsi="Book Antiqua"/>
        </w:rPr>
        <w:t>Código Municipal de Puerto Rico</w:t>
      </w:r>
      <w:r>
        <w:rPr>
          <w:rFonts w:ascii="Book Antiqua" w:hAnsi="Book Antiqua"/>
        </w:rPr>
        <w:t xml:space="preserve">, </w:t>
      </w:r>
      <w:r w:rsidRPr="00EE6494">
        <w:rPr>
          <w:rFonts w:ascii="Book Antiqua" w:hAnsi="Book Antiqua"/>
        </w:rPr>
        <w:t>con el fin de facultar a los municipios a disponer directamente de ciertos bienes muebles en desuso —como vehículos de motor, maquinaria o equipos— cuando estos no estén en funcionamiento y hayan sido tasados, para fines contributivos, en menos de cinco mil dólares ($5,000.00). Esta propuesta legislativa responde a una necesidad operacional apremiante y está anclada en principios de eficiencia, responsabilidad fiscal y buena administración pública.</w:t>
      </w:r>
    </w:p>
    <w:p w14:paraId="7DEC2A16" w14:textId="77777777" w:rsidR="004B4D67" w:rsidRDefault="004B4D67" w:rsidP="004B4D67">
      <w:pPr>
        <w:pStyle w:val="NormalWeb"/>
        <w:spacing w:before="0" w:beforeAutospacing="0" w:after="0" w:afterAutospacing="0"/>
        <w:jc w:val="both"/>
        <w:rPr>
          <w:rFonts w:ascii="Book Antiqua" w:hAnsi="Book Antiqua"/>
        </w:rPr>
      </w:pPr>
    </w:p>
    <w:p w14:paraId="39C057B5" w14:textId="1C5B8438" w:rsidR="00EE6494" w:rsidRPr="00EE6494" w:rsidRDefault="00EE6494" w:rsidP="004B4D67">
      <w:pPr>
        <w:pStyle w:val="NormalWeb"/>
        <w:spacing w:before="0" w:beforeAutospacing="0" w:after="0" w:afterAutospacing="0"/>
        <w:jc w:val="both"/>
        <w:rPr>
          <w:rFonts w:ascii="Book Antiqua" w:hAnsi="Book Antiqua"/>
        </w:rPr>
      </w:pPr>
      <w:r>
        <w:rPr>
          <w:rFonts w:ascii="Book Antiqua" w:hAnsi="Book Antiqua"/>
        </w:rPr>
        <w:t>Según surge de la investigación legislativa llevada a cabo por esta Comisión, a</w:t>
      </w:r>
      <w:r w:rsidRPr="00EE6494">
        <w:rPr>
          <w:rFonts w:ascii="Book Antiqua" w:hAnsi="Book Antiqua"/>
        </w:rPr>
        <w:t xml:space="preserve">ctualmente, el Artículo 2.021 del Código Municipal establece los procedimientos y excepciones para la venta de propiedad mueble.  </w:t>
      </w:r>
      <w:r>
        <w:rPr>
          <w:rFonts w:ascii="Book Antiqua" w:hAnsi="Book Antiqua"/>
        </w:rPr>
        <w:t>S</w:t>
      </w:r>
      <w:r w:rsidRPr="00EE6494">
        <w:rPr>
          <w:rFonts w:ascii="Book Antiqua" w:hAnsi="Book Antiqua"/>
        </w:rPr>
        <w:t>u inciso (c) limita esa excepción a bienes valorados en mil dólares ($1,000.00) o menos, lo que en la práctica representa una barrera ineficiente y obsoleta para los municipios, quienes enfrentan costos desproporcionados al intentar disponer de bienes de poco valor mediante el riguroso proceso de subasta pública</w:t>
      </w:r>
      <w:r>
        <w:rPr>
          <w:rFonts w:ascii="Book Antiqua" w:hAnsi="Book Antiqua"/>
        </w:rPr>
        <w:t>.</w:t>
      </w:r>
    </w:p>
    <w:p w14:paraId="6BB0FABB" w14:textId="77777777" w:rsidR="004B4D67" w:rsidRDefault="004B4D67" w:rsidP="004B4D67">
      <w:pPr>
        <w:pStyle w:val="NormalWeb"/>
        <w:spacing w:before="0" w:beforeAutospacing="0" w:after="0" w:afterAutospacing="0"/>
        <w:jc w:val="both"/>
        <w:rPr>
          <w:rFonts w:ascii="Book Antiqua" w:hAnsi="Book Antiqua"/>
        </w:rPr>
      </w:pPr>
    </w:p>
    <w:p w14:paraId="22F19592" w14:textId="681794B6" w:rsidR="00EE6494" w:rsidRPr="00EE6494" w:rsidRDefault="00EE6494" w:rsidP="004B4D67">
      <w:pPr>
        <w:pStyle w:val="NormalWeb"/>
        <w:spacing w:before="0" w:beforeAutospacing="0" w:after="0" w:afterAutospacing="0"/>
        <w:jc w:val="both"/>
        <w:rPr>
          <w:rFonts w:ascii="Book Antiqua" w:hAnsi="Book Antiqua"/>
        </w:rPr>
      </w:pPr>
      <w:r w:rsidRPr="00EE6494">
        <w:rPr>
          <w:rFonts w:ascii="Book Antiqua" w:hAnsi="Book Antiqua"/>
        </w:rPr>
        <w:t xml:space="preserve">La justificación de esta medida cobra especial relevancia al considerar el contexto fiscal y logístico que enfrentan los municipios. Muchos gobiernos municipales acumulan bienes obsoletos o irrecuperables sin mecanismos expeditos para su disposición, lo que genera acumulación innecesaria, deterioro de instalaciones, riesgos de seguridad, y costos adicionales de almacenaje o mantenimiento. La facultad de realizar ventas directas bajo criterios claros y fiscalizables —como los propuestos en este proyecto— representa una </w:t>
      </w:r>
      <w:r w:rsidRPr="00EE6494">
        <w:rPr>
          <w:rFonts w:ascii="Book Antiqua" w:hAnsi="Book Antiqua"/>
        </w:rPr>
        <w:lastRenderedPageBreak/>
        <w:t xml:space="preserve">herramienta clave para </w:t>
      </w:r>
      <w:r w:rsidRPr="00EE6494">
        <w:rPr>
          <w:rStyle w:val="Strong"/>
          <w:rFonts w:ascii="Book Antiqua" w:hAnsi="Book Antiqua"/>
        </w:rPr>
        <w:t>promover la liquidez municipal</w:t>
      </w:r>
      <w:r w:rsidRPr="00EE6494">
        <w:rPr>
          <w:rFonts w:ascii="Book Antiqua" w:hAnsi="Book Antiqua"/>
        </w:rPr>
        <w:t>, agilizar la gestión de inventarios, y fomentar la utilización eficiente de los recursos públicos.</w:t>
      </w:r>
    </w:p>
    <w:p w14:paraId="2903BB36" w14:textId="5C65F328" w:rsidR="00EE6494" w:rsidRPr="00EE6494" w:rsidRDefault="00EE6494" w:rsidP="004B4D67">
      <w:pPr>
        <w:pStyle w:val="NormalWeb"/>
        <w:spacing w:before="0" w:beforeAutospacing="0" w:after="0" w:afterAutospacing="0"/>
        <w:jc w:val="both"/>
        <w:rPr>
          <w:rFonts w:ascii="Book Antiqua" w:hAnsi="Book Antiqua"/>
        </w:rPr>
      </w:pPr>
      <w:r w:rsidRPr="00EE6494">
        <w:rPr>
          <w:rFonts w:ascii="Book Antiqua" w:hAnsi="Book Antiqua"/>
        </w:rPr>
        <w:t>Además, lejos de debilitar los controles institucionales, el proyecto</w:t>
      </w:r>
      <w:r>
        <w:rPr>
          <w:rFonts w:ascii="Book Antiqua" w:hAnsi="Book Antiqua"/>
        </w:rPr>
        <w:t>, tal como enmendado,</w:t>
      </w:r>
      <w:r w:rsidRPr="00EE6494">
        <w:rPr>
          <w:rFonts w:ascii="Book Antiqua" w:hAnsi="Book Antiqua"/>
        </w:rPr>
        <w:t xml:space="preserve"> incorpora una serie de salvaguardas que refuerzan la transparencia y la rendición de cuentas. Entre ellas, destaca la imposición de deberes específicos al Alcalde o la Alcaldesa como funcionario responsable de: (1) designar personal o contratar tasadores, (2) autorizar formalmente la disposición de los bienes, y (3) establecer un mecanismo de competencia que incluya la debida publicación de los activos disponibles. Estas disposiciones aseguran que la medida no será utilizada como una vía de evasión al proceso de subasta pública, sino como una excepción regulada, documentada y sujeta a supervisión institucional y ciudadana.</w:t>
      </w:r>
    </w:p>
    <w:p w14:paraId="527C1BD2" w14:textId="77777777" w:rsidR="004B4D67" w:rsidRDefault="004B4D67" w:rsidP="004B4D67">
      <w:pPr>
        <w:pStyle w:val="NormalWeb"/>
        <w:spacing w:before="0" w:beforeAutospacing="0" w:after="0" w:afterAutospacing="0"/>
        <w:jc w:val="both"/>
        <w:rPr>
          <w:rFonts w:ascii="Book Antiqua" w:hAnsi="Book Antiqua"/>
        </w:rPr>
      </w:pPr>
    </w:p>
    <w:p w14:paraId="0F31D0CD" w14:textId="08AC3BBB" w:rsidR="00EE6494" w:rsidRPr="00EE6494" w:rsidRDefault="00EE6494" w:rsidP="004B4D67">
      <w:pPr>
        <w:pStyle w:val="NormalWeb"/>
        <w:spacing w:before="0" w:beforeAutospacing="0" w:after="0" w:afterAutospacing="0"/>
        <w:jc w:val="both"/>
        <w:rPr>
          <w:rFonts w:ascii="Book Antiqua" w:hAnsi="Book Antiqua"/>
        </w:rPr>
      </w:pPr>
      <w:r w:rsidRPr="00EE6494">
        <w:rPr>
          <w:rFonts w:ascii="Book Antiqua" w:hAnsi="Book Antiqua"/>
        </w:rPr>
        <w:t xml:space="preserve">Cabe destacar que esta enmienda se inserta armónicamente dentro de la política pública ya establecida por la </w:t>
      </w:r>
      <w:r w:rsidRPr="00EE6494">
        <w:rPr>
          <w:rStyle w:val="Strong"/>
          <w:rFonts w:ascii="Book Antiqua" w:hAnsi="Book Antiqua"/>
        </w:rPr>
        <w:t>Ley Núm. 73-2019</w:t>
      </w:r>
      <w:r w:rsidRPr="00EE6494">
        <w:rPr>
          <w:rFonts w:ascii="Book Antiqua" w:hAnsi="Book Antiqua"/>
        </w:rPr>
        <w:t xml:space="preserve">, conocida como la </w:t>
      </w:r>
      <w:r w:rsidRPr="00EE6494">
        <w:rPr>
          <w:rStyle w:val="Emphasis"/>
          <w:rFonts w:ascii="Book Antiqua" w:eastAsia="Batang" w:hAnsi="Book Antiqua"/>
        </w:rPr>
        <w:t>Ley de la Administración de Servicios Generales para la Centralización de las Compras del Gobierno de Puerto Rico de 2019</w:t>
      </w:r>
      <w:r w:rsidRPr="00EE6494">
        <w:rPr>
          <w:rFonts w:ascii="Book Antiqua" w:hAnsi="Book Antiqua"/>
        </w:rPr>
        <w:t>, en la cual se reconocen expresamente las funciones descentralizadas de los municipios y se excluye a estos del mandato de operar bajo los parámetros de la Administración de Servicios Generales (ASG), salvo que lo hagan de forma voluntaria. Esta autonomía municipal, reconocida por ley, justifica que el Código Municipal contenga un andamiaje normativo propio, ágil y adaptado a sus realidades operacionales.</w:t>
      </w:r>
    </w:p>
    <w:p w14:paraId="18474EB0" w14:textId="77777777" w:rsidR="004B4D67" w:rsidRDefault="004B4D67" w:rsidP="004B4D67">
      <w:pPr>
        <w:pStyle w:val="NormalWeb"/>
        <w:spacing w:before="0" w:beforeAutospacing="0" w:after="0" w:afterAutospacing="0"/>
        <w:jc w:val="both"/>
        <w:rPr>
          <w:rFonts w:ascii="Book Antiqua" w:hAnsi="Book Antiqua"/>
        </w:rPr>
      </w:pPr>
    </w:p>
    <w:p w14:paraId="0523F535" w14:textId="7E442B8A" w:rsidR="00EE6494" w:rsidRPr="00EE6494" w:rsidRDefault="00EE6494" w:rsidP="004B4D67">
      <w:pPr>
        <w:pStyle w:val="NormalWeb"/>
        <w:spacing w:before="0" w:beforeAutospacing="0" w:after="0" w:afterAutospacing="0"/>
        <w:jc w:val="both"/>
        <w:rPr>
          <w:rFonts w:ascii="Book Antiqua" w:hAnsi="Book Antiqua"/>
        </w:rPr>
      </w:pPr>
      <w:r w:rsidRPr="00EE6494">
        <w:rPr>
          <w:rFonts w:ascii="Book Antiqua" w:hAnsi="Book Antiqua"/>
        </w:rPr>
        <w:t xml:space="preserve">El beneficio adicional de esta medida se traduce, además, en </w:t>
      </w:r>
      <w:r w:rsidRPr="00EE6494">
        <w:rPr>
          <w:rStyle w:val="Strong"/>
          <w:rFonts w:ascii="Book Antiqua" w:hAnsi="Book Antiqua"/>
        </w:rPr>
        <w:t>potenciales ingresos para los municipios</w:t>
      </w:r>
      <w:r w:rsidRPr="00EE6494">
        <w:rPr>
          <w:rFonts w:ascii="Book Antiqua" w:hAnsi="Book Antiqua"/>
        </w:rPr>
        <w:t xml:space="preserve">, a través de la venta de bienes que de otro modo se degradarían o serían descartados sin valor. Desde </w:t>
      </w:r>
      <w:r>
        <w:rPr>
          <w:rFonts w:ascii="Book Antiqua" w:hAnsi="Book Antiqua"/>
        </w:rPr>
        <w:t>el punto de vista</w:t>
      </w:r>
      <w:r w:rsidRPr="00EE6494">
        <w:rPr>
          <w:rFonts w:ascii="Book Antiqua" w:hAnsi="Book Antiqua"/>
        </w:rPr>
        <w:t xml:space="preserve"> fiscal y de política pública, esta disposición también contribuye a optimizar el uso del erario, reducir el gasto administrativo innecesario y acelerar procesos de reorganización o limpieza de activos.</w:t>
      </w:r>
    </w:p>
    <w:p w14:paraId="2C09154D" w14:textId="77777777" w:rsidR="004B4D67" w:rsidRDefault="004B4D67" w:rsidP="004B4D67">
      <w:pPr>
        <w:jc w:val="center"/>
        <w:rPr>
          <w:rFonts w:ascii="Book Antiqua" w:hAnsi="Book Antiqua"/>
          <w:b/>
          <w:i/>
          <w:smallCaps/>
          <w:szCs w:val="24"/>
          <w:lang w:val="es-ES_tradnl"/>
        </w:rPr>
      </w:pPr>
    </w:p>
    <w:p w14:paraId="27A555E9" w14:textId="02A26BAA" w:rsidR="00A85717" w:rsidRPr="00A76B51" w:rsidRDefault="00F04A9A" w:rsidP="004B4D67">
      <w:pPr>
        <w:jc w:val="center"/>
        <w:rPr>
          <w:rFonts w:ascii="Book Antiqua" w:hAnsi="Book Antiqua"/>
          <w:b/>
          <w:i/>
          <w:smallCaps/>
          <w:szCs w:val="24"/>
          <w:lang w:val="es-ES_tradnl"/>
        </w:rPr>
      </w:pPr>
      <w:r>
        <w:rPr>
          <w:rFonts w:ascii="Book Antiqua" w:hAnsi="Book Antiqua"/>
          <w:b/>
          <w:i/>
          <w:smallCaps/>
          <w:szCs w:val="24"/>
          <w:lang w:val="es-ES_tradnl"/>
        </w:rPr>
        <w:t xml:space="preserve">Impacto Fiscal </w:t>
      </w:r>
    </w:p>
    <w:p w14:paraId="4E995367" w14:textId="77777777" w:rsidR="00A76B51" w:rsidRDefault="00A76B51" w:rsidP="004B4D67">
      <w:pPr>
        <w:rPr>
          <w:rFonts w:ascii="Book Antiqua" w:hAnsi="Book Antiqua"/>
          <w:b/>
          <w:i/>
          <w:smallCaps/>
          <w:szCs w:val="24"/>
          <w:lang w:val="es-ES_tradnl"/>
        </w:rPr>
      </w:pPr>
    </w:p>
    <w:p w14:paraId="43EDFE48" w14:textId="307048AC" w:rsidR="00103ADD" w:rsidRPr="00F04A9A" w:rsidRDefault="00A76B51" w:rsidP="004B4D67">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7012</w:t>
      </w:r>
      <w:r w:rsidR="00A67B16" w:rsidRPr="001D0ABB">
        <w:rPr>
          <w:rFonts w:ascii="Book Antiqua" w:hAnsi="Book Antiqua"/>
          <w:lang w:val="es-ES_tradnl"/>
        </w:rPr>
        <w:t xml:space="preserve">) </w:t>
      </w:r>
      <w:r w:rsidR="00A67B16" w:rsidRPr="00F04A9A">
        <w:rPr>
          <w:rFonts w:ascii="Book Antiqua" w:hAnsi="Book Antiqua"/>
          <w:lang w:val="es-ES_tradnl"/>
        </w:rPr>
        <w:t>supra</w:t>
      </w:r>
      <w:r w:rsidRPr="00953576">
        <w:rPr>
          <w:rFonts w:ascii="Book Antiqua" w:hAnsi="Book Antiqua"/>
          <w:i/>
          <w:iCs/>
          <w:lang w:val="es-ES_tradnl"/>
        </w:rPr>
        <w:t>,</w:t>
      </w:r>
      <w:r w:rsidRPr="00F04A9A">
        <w:rPr>
          <w:rFonts w:ascii="Book Antiqua" w:hAnsi="Book Antiqua"/>
          <w:lang w:val="es-ES_tradnl"/>
        </w:rPr>
        <w:t xml:space="preserve"> conocida como “Código Municipal de Puerto Rico</w:t>
      </w:r>
      <w:r w:rsidR="00DD3A6C">
        <w:rPr>
          <w:rFonts w:ascii="Book Antiqua" w:hAnsi="Book Antiqua"/>
          <w:lang w:val="es-ES_tradnl"/>
        </w:rPr>
        <w:t>,</w:t>
      </w:r>
      <w:r w:rsidR="00953576">
        <w:rPr>
          <w:rFonts w:ascii="Book Antiqua" w:hAnsi="Book Antiqua"/>
          <w:lang w:val="es-ES_tradnl"/>
        </w:rPr>
        <w:t xml:space="preserve"> y según se desprende del Informe de la OPAL 2025-175,</w:t>
      </w:r>
      <w:r w:rsidRPr="00F04A9A">
        <w:rPr>
          <w:rFonts w:ascii="Book Antiqua" w:hAnsi="Book Antiqua"/>
          <w:lang w:val="es-ES_tradnl"/>
        </w:rPr>
        <w:t xml:space="preserve"> la Comisión de Asuntos Municipales certifica que la pieza legislativa bajo </w:t>
      </w:r>
      <w:r w:rsidRPr="00A67B16">
        <w:rPr>
          <w:rFonts w:ascii="Book Antiqua" w:hAnsi="Book Antiqua"/>
          <w:lang w:val="es-ES_tradnl"/>
        </w:rPr>
        <w:t>an</w:t>
      </w:r>
      <w:r w:rsidR="00A67B16">
        <w:rPr>
          <w:rFonts w:ascii="Book Antiqua" w:hAnsi="Book Antiqua"/>
          <w:lang w:val="es-ES_tradnl"/>
        </w:rPr>
        <w:t>á</w:t>
      </w:r>
      <w:r w:rsidRPr="00A67B16">
        <w:rPr>
          <w:rFonts w:ascii="Book Antiqua" w:hAnsi="Book Antiqua"/>
          <w:lang w:val="es-ES_tradnl"/>
        </w:rPr>
        <w:t>lisis</w:t>
      </w:r>
      <w:r w:rsidRPr="00F04A9A">
        <w:rPr>
          <w:rFonts w:ascii="Book Antiqua" w:hAnsi="Book Antiqua"/>
          <w:lang w:val="es-ES_tradnl"/>
        </w:rPr>
        <w:t xml:space="preserve">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r w:rsidR="00103ADD">
        <w:rPr>
          <w:rFonts w:ascii="Book Antiqua" w:hAnsi="Book Antiqua"/>
          <w:lang w:val="es-ES_tradnl"/>
        </w:rPr>
        <w:t>.</w:t>
      </w:r>
    </w:p>
    <w:p w14:paraId="16A2BF2C" w14:textId="77777777" w:rsidR="00276C3E" w:rsidRDefault="00276C3E" w:rsidP="00FE1861">
      <w:pPr>
        <w:rPr>
          <w:rFonts w:ascii="Book Antiqua" w:hAnsi="Book Antiqua"/>
          <w:b/>
          <w:i/>
          <w:smallCaps/>
          <w:szCs w:val="24"/>
          <w:lang w:val="es-ES_tradnl"/>
        </w:rPr>
      </w:pPr>
    </w:p>
    <w:p w14:paraId="64E4266F" w14:textId="6C6DE2A6" w:rsidR="004000AE"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023EA0EE" w14:textId="0AFB796C" w:rsidR="00EE6494" w:rsidRPr="00760D4D" w:rsidRDefault="00EE6494" w:rsidP="004000AE">
      <w:pPr>
        <w:jc w:val="center"/>
        <w:rPr>
          <w:rFonts w:ascii="Book Antiqua" w:hAnsi="Book Antiqua"/>
          <w:b/>
          <w:i/>
          <w:smallCaps/>
          <w:szCs w:val="24"/>
          <w:lang w:val="es-ES_tradnl"/>
        </w:rPr>
      </w:pPr>
    </w:p>
    <w:p w14:paraId="4862ED69" w14:textId="77777777" w:rsidR="00EE6494" w:rsidRDefault="00EE6494" w:rsidP="004000AE">
      <w:pPr>
        <w:jc w:val="both"/>
        <w:rPr>
          <w:rFonts w:ascii="Book Antiqua" w:eastAsia="Times New Roman" w:hAnsi="Book Antiqua"/>
          <w:szCs w:val="24"/>
          <w:lang w:val="es-PR" w:eastAsia="es-PR"/>
        </w:rPr>
      </w:pPr>
      <w:r w:rsidRPr="00EE6494">
        <w:rPr>
          <w:rFonts w:ascii="Book Antiqua" w:eastAsia="Times New Roman" w:hAnsi="Book Antiqua"/>
          <w:szCs w:val="24"/>
          <w:lang w:val="es-PR" w:eastAsia="es-PR"/>
        </w:rPr>
        <w:t>En síntesis, el P. de la C. 557 armoniza con los principios de eficiencia, transparencia y descentralización que rigen el ordenamiento jurídico municipal. Su aprobación permitiría a los gobiernos municipales atender una problemática recurrente mediante mecanismos más razonables y costo-efectivos, sin menoscabar el deber de rendición de cuentas ni los controles institucionales que deben regir toda transacción pública.</w:t>
      </w:r>
    </w:p>
    <w:p w14:paraId="6640753B" w14:textId="77777777" w:rsidR="00EE6494" w:rsidRDefault="00EE6494" w:rsidP="004000AE">
      <w:pPr>
        <w:jc w:val="both"/>
        <w:rPr>
          <w:rFonts w:ascii="Book Antiqua" w:eastAsia="Times New Roman" w:hAnsi="Book Antiqua"/>
          <w:szCs w:val="24"/>
          <w:lang w:val="es-PR" w:eastAsia="es-PR"/>
        </w:rPr>
      </w:pPr>
    </w:p>
    <w:p w14:paraId="693ABEB6" w14:textId="163ABBB9" w:rsidR="0076466B" w:rsidRDefault="0076466B" w:rsidP="004000AE">
      <w:pPr>
        <w:jc w:val="both"/>
        <w:rPr>
          <w:rFonts w:ascii="Book Antiqua" w:hAnsi="Book Antiqua" w:cs="Arial"/>
          <w:lang w:val="es-ES"/>
        </w:rPr>
      </w:pPr>
      <w:r>
        <w:rPr>
          <w:rFonts w:ascii="Book Antiqua" w:hAnsi="Book Antiqua" w:cs="Arial"/>
          <w:lang w:val="es-ES"/>
        </w:rPr>
        <w:lastRenderedPageBreak/>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953576">
        <w:rPr>
          <w:rFonts w:ascii="Book Antiqua" w:hAnsi="Book Antiqua" w:cs="Arial"/>
          <w:lang w:val="es-ES"/>
        </w:rPr>
        <w:t>557</w:t>
      </w:r>
      <w:r>
        <w:rPr>
          <w:rFonts w:ascii="Book Antiqua" w:hAnsi="Book Antiqua" w:cs="Arial"/>
          <w:lang w:val="es-ES"/>
        </w:rPr>
        <w:t>, con las enmiendas que se incluyen en el entirillado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7CFF6" w14:textId="77777777" w:rsidR="00B921EB" w:rsidRDefault="00B921EB" w:rsidP="006705DD">
      <w:r>
        <w:separator/>
      </w:r>
    </w:p>
  </w:endnote>
  <w:endnote w:type="continuationSeparator" w:id="0">
    <w:p w14:paraId="273B0945" w14:textId="77777777" w:rsidR="00B921EB" w:rsidRDefault="00B921EB"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060AA" w14:textId="77777777" w:rsidR="00B921EB" w:rsidRDefault="00B921EB" w:rsidP="006705DD">
      <w:r>
        <w:separator/>
      </w:r>
    </w:p>
  </w:footnote>
  <w:footnote w:type="continuationSeparator" w:id="0">
    <w:p w14:paraId="356F5D34" w14:textId="77777777" w:rsidR="00B921EB" w:rsidRDefault="00B921EB" w:rsidP="006705DD">
      <w:r>
        <w:continuationSeparator/>
      </w:r>
    </w:p>
  </w:footnote>
  <w:footnote w:id="1">
    <w:p w14:paraId="0DF0E55C" w14:textId="45F6250A" w:rsidR="00953576" w:rsidRPr="006E5E0A" w:rsidRDefault="00953576" w:rsidP="00953576">
      <w:pPr>
        <w:pStyle w:val="FootnoteText"/>
        <w:jc w:val="both"/>
        <w:rPr>
          <w:rFonts w:ascii="Book Antiqua" w:hAnsi="Book Antiqua"/>
          <w:sz w:val="20"/>
          <w:szCs w:val="20"/>
          <w:lang w:val="en-US"/>
        </w:rPr>
      </w:pPr>
      <w:r w:rsidRPr="00415E27">
        <w:rPr>
          <w:rStyle w:val="FootnoteReference"/>
          <w:rFonts w:ascii="Book Antiqua" w:hAnsi="Book Antiqua"/>
          <w:sz w:val="20"/>
          <w:szCs w:val="20"/>
        </w:rPr>
        <w:footnoteRef/>
      </w:r>
      <w:r w:rsidRPr="00415E27">
        <w:rPr>
          <w:rFonts w:ascii="Book Antiqua" w:hAnsi="Book Antiqua"/>
          <w:sz w:val="20"/>
          <w:szCs w:val="20"/>
        </w:rPr>
        <w:t xml:space="preserve"> </w:t>
      </w:r>
      <w:r w:rsidR="00241786">
        <w:rPr>
          <w:rFonts w:ascii="Book Antiqua" w:hAnsi="Book Antiqua"/>
          <w:sz w:val="20"/>
          <w:szCs w:val="20"/>
        </w:rPr>
        <w:t xml:space="preserve">  </w:t>
      </w:r>
      <w:r w:rsidRPr="00415E27">
        <w:rPr>
          <w:rFonts w:ascii="Book Antiqua" w:hAnsi="Book Antiqua"/>
          <w:sz w:val="20"/>
          <w:szCs w:val="20"/>
        </w:rPr>
        <w:t xml:space="preserve">Véase, Ley Núm. 107-2020, según enmendada, conocida como “Código Municipal de Puerto Rico”, Art. </w:t>
      </w:r>
      <w:r w:rsidR="00241786">
        <w:rPr>
          <w:rFonts w:ascii="Book Antiqua" w:hAnsi="Book Antiqua"/>
          <w:sz w:val="20"/>
          <w:szCs w:val="20"/>
        </w:rPr>
        <w:t xml:space="preserve">  </w:t>
      </w:r>
      <w:r w:rsidRPr="006E5E0A">
        <w:rPr>
          <w:rFonts w:ascii="Book Antiqua" w:hAnsi="Book Antiqua"/>
          <w:sz w:val="20"/>
          <w:szCs w:val="20"/>
          <w:lang w:val="en-US"/>
        </w:rPr>
        <w:t xml:space="preserve">2.025(a)(2), sec. 21 LPRA 7190(a)(2). </w:t>
      </w:r>
    </w:p>
  </w:footnote>
  <w:footnote w:id="2">
    <w:p w14:paraId="6D9BB563" w14:textId="0680AB38" w:rsidR="00953576" w:rsidRPr="00415E27" w:rsidRDefault="00953576" w:rsidP="00953576">
      <w:pPr>
        <w:pStyle w:val="FootnoteText"/>
        <w:rPr>
          <w:rFonts w:ascii="Book Antiqua" w:hAnsi="Book Antiqua"/>
          <w:sz w:val="20"/>
          <w:szCs w:val="20"/>
          <w:lang w:val="en-US"/>
        </w:rPr>
      </w:pPr>
      <w:r w:rsidRPr="00415E27">
        <w:rPr>
          <w:rStyle w:val="FootnoteReference"/>
          <w:rFonts w:ascii="Book Antiqua" w:hAnsi="Book Antiqua"/>
          <w:sz w:val="20"/>
          <w:szCs w:val="20"/>
        </w:rPr>
        <w:footnoteRef/>
      </w:r>
      <w:r w:rsidRPr="00415E27">
        <w:rPr>
          <w:rFonts w:ascii="Book Antiqua" w:hAnsi="Book Antiqua"/>
          <w:sz w:val="20"/>
          <w:szCs w:val="20"/>
          <w:lang w:val="en-US"/>
        </w:rPr>
        <w:t xml:space="preserve"> </w:t>
      </w:r>
      <w:r w:rsidR="00241786">
        <w:rPr>
          <w:rFonts w:ascii="Book Antiqua" w:hAnsi="Book Antiqua"/>
          <w:sz w:val="20"/>
          <w:szCs w:val="20"/>
          <w:lang w:val="en-US"/>
        </w:rPr>
        <w:t xml:space="preserve">  </w:t>
      </w:r>
      <w:r w:rsidRPr="00415E27">
        <w:rPr>
          <w:rFonts w:ascii="Book Antiqua" w:hAnsi="Book Antiqua"/>
          <w:sz w:val="20"/>
          <w:szCs w:val="20"/>
          <w:lang w:val="en-US"/>
        </w:rPr>
        <w:t>Id., Art. 2.021, 21 LPRA sec. 7186</w:t>
      </w:r>
    </w:p>
  </w:footnote>
  <w:footnote w:id="3">
    <w:p w14:paraId="098A954C" w14:textId="58A6C6D0" w:rsidR="00953576" w:rsidRPr="00415E27" w:rsidRDefault="00953576" w:rsidP="00953576">
      <w:pPr>
        <w:pStyle w:val="FootnoteText"/>
        <w:rPr>
          <w:rFonts w:ascii="Book Antiqua" w:hAnsi="Book Antiqua"/>
          <w:sz w:val="20"/>
          <w:szCs w:val="20"/>
          <w:lang w:val="en-US"/>
        </w:rPr>
      </w:pPr>
      <w:r w:rsidRPr="00415E27">
        <w:rPr>
          <w:rStyle w:val="FootnoteReference"/>
          <w:rFonts w:ascii="Book Antiqua" w:hAnsi="Book Antiqua"/>
          <w:sz w:val="20"/>
          <w:szCs w:val="20"/>
        </w:rPr>
        <w:footnoteRef/>
      </w:r>
      <w:r w:rsidRPr="00415E27">
        <w:rPr>
          <w:rFonts w:ascii="Book Antiqua" w:hAnsi="Book Antiqua"/>
          <w:sz w:val="20"/>
          <w:szCs w:val="20"/>
          <w:lang w:val="en-US"/>
        </w:rPr>
        <w:t xml:space="preserve"> </w:t>
      </w:r>
      <w:r w:rsidR="004F5FDB">
        <w:rPr>
          <w:rFonts w:ascii="Book Antiqua" w:hAnsi="Book Antiqua"/>
          <w:sz w:val="20"/>
          <w:szCs w:val="20"/>
          <w:lang w:val="en-US"/>
        </w:rPr>
        <w:t xml:space="preserve"> </w:t>
      </w:r>
      <w:r w:rsidRPr="00415E27">
        <w:rPr>
          <w:rFonts w:ascii="Book Antiqua" w:hAnsi="Book Antiqua"/>
          <w:sz w:val="20"/>
          <w:szCs w:val="20"/>
          <w:lang w:val="en-US"/>
        </w:rPr>
        <w:t>Id., Art. 2.035, 21 LPRA sec. 7211.</w:t>
      </w:r>
    </w:p>
  </w:footnote>
  <w:footnote w:id="4">
    <w:p w14:paraId="248E41AE" w14:textId="7A504D0F" w:rsidR="00953576" w:rsidRPr="00415E27" w:rsidRDefault="00953576" w:rsidP="00953576">
      <w:pPr>
        <w:pStyle w:val="FootnoteText"/>
        <w:rPr>
          <w:rFonts w:ascii="Book Antiqua" w:hAnsi="Book Antiqua"/>
          <w:sz w:val="20"/>
          <w:szCs w:val="20"/>
          <w:lang w:val="en-US"/>
        </w:rPr>
      </w:pPr>
      <w:r w:rsidRPr="00415E27">
        <w:rPr>
          <w:rStyle w:val="FootnoteReference"/>
          <w:rFonts w:ascii="Book Antiqua" w:hAnsi="Book Antiqua"/>
          <w:sz w:val="20"/>
          <w:szCs w:val="20"/>
        </w:rPr>
        <w:footnoteRef/>
      </w:r>
      <w:r w:rsidRPr="00415E27">
        <w:rPr>
          <w:rFonts w:ascii="Book Antiqua" w:hAnsi="Book Antiqua"/>
          <w:sz w:val="20"/>
          <w:szCs w:val="20"/>
          <w:lang w:val="en-US"/>
        </w:rPr>
        <w:t xml:space="preserve"> </w:t>
      </w:r>
      <w:r w:rsidR="004F5FDB">
        <w:rPr>
          <w:rFonts w:ascii="Book Antiqua" w:hAnsi="Book Antiqua"/>
          <w:sz w:val="20"/>
          <w:szCs w:val="20"/>
          <w:lang w:val="en-US"/>
        </w:rPr>
        <w:t xml:space="preserve"> </w:t>
      </w:r>
      <w:r w:rsidRPr="00415E27">
        <w:rPr>
          <w:rFonts w:ascii="Book Antiqua" w:hAnsi="Book Antiqua"/>
          <w:sz w:val="20"/>
          <w:szCs w:val="20"/>
          <w:lang w:val="en-US"/>
        </w:rPr>
        <w:t>Id., Art. 2.035(a), 21 LPRA sec. 7211(a).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3D2FBF43"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0245A3">
      <w:rPr>
        <w:rStyle w:val="PageNumber"/>
        <w:rFonts w:ascii="Book Antiqua" w:hAnsi="Book Antiqua"/>
        <w:i/>
        <w:sz w:val="22"/>
        <w:szCs w:val="22"/>
        <w:lang w:val="es-PR"/>
      </w:rPr>
      <w:t>5</w:t>
    </w:r>
    <w:r w:rsidR="00953576">
      <w:rPr>
        <w:rStyle w:val="PageNumber"/>
        <w:rFonts w:ascii="Book Antiqua" w:hAnsi="Book Antiqua"/>
        <w:i/>
        <w:sz w:val="22"/>
        <w:szCs w:val="22"/>
        <w:lang w:val="es-PR"/>
      </w:rPr>
      <w:t>57</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18"/>
  </w:num>
  <w:num w:numId="3" w16cid:durableId="150217024">
    <w:abstractNumId w:val="20"/>
  </w:num>
  <w:num w:numId="4" w16cid:durableId="1144077218">
    <w:abstractNumId w:val="13"/>
  </w:num>
  <w:num w:numId="5" w16cid:durableId="1391071492">
    <w:abstractNumId w:val="23"/>
  </w:num>
  <w:num w:numId="6" w16cid:durableId="1887521205">
    <w:abstractNumId w:val="22"/>
  </w:num>
  <w:num w:numId="7" w16cid:durableId="1720008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7"/>
  </w:num>
  <w:num w:numId="9" w16cid:durableId="978419079">
    <w:abstractNumId w:val="12"/>
  </w:num>
  <w:num w:numId="10" w16cid:durableId="1431662367">
    <w:abstractNumId w:val="8"/>
  </w:num>
  <w:num w:numId="11" w16cid:durableId="745687741">
    <w:abstractNumId w:val="11"/>
  </w:num>
  <w:num w:numId="12" w16cid:durableId="788547495">
    <w:abstractNumId w:val="25"/>
  </w:num>
  <w:num w:numId="13" w16cid:durableId="953445716">
    <w:abstractNumId w:val="24"/>
  </w:num>
  <w:num w:numId="14" w16cid:durableId="194583800">
    <w:abstractNumId w:val="9"/>
  </w:num>
  <w:num w:numId="15" w16cid:durableId="523634993">
    <w:abstractNumId w:val="5"/>
  </w:num>
  <w:num w:numId="16" w16cid:durableId="640503561">
    <w:abstractNumId w:val="14"/>
  </w:num>
  <w:num w:numId="17" w16cid:durableId="558250333">
    <w:abstractNumId w:val="10"/>
  </w:num>
  <w:num w:numId="18" w16cid:durableId="544635036">
    <w:abstractNumId w:val="27"/>
  </w:num>
  <w:num w:numId="19" w16cid:durableId="328294607">
    <w:abstractNumId w:val="26"/>
  </w:num>
  <w:num w:numId="20" w16cid:durableId="1746873194">
    <w:abstractNumId w:val="6"/>
  </w:num>
  <w:num w:numId="21" w16cid:durableId="796483149">
    <w:abstractNumId w:val="15"/>
  </w:num>
  <w:num w:numId="22" w16cid:durableId="2005666296">
    <w:abstractNumId w:val="3"/>
  </w:num>
  <w:num w:numId="23" w16cid:durableId="1935046073">
    <w:abstractNumId w:val="21"/>
  </w:num>
  <w:num w:numId="24" w16cid:durableId="1003436762">
    <w:abstractNumId w:val="2"/>
  </w:num>
  <w:num w:numId="25" w16cid:durableId="363680753">
    <w:abstractNumId w:val="7"/>
  </w:num>
  <w:num w:numId="26" w16cid:durableId="819734833">
    <w:abstractNumId w:val="19"/>
  </w:num>
  <w:num w:numId="27" w16cid:durableId="319966295">
    <w:abstractNumId w:val="0"/>
  </w:num>
  <w:num w:numId="28" w16cid:durableId="1320692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40D4F"/>
    <w:rsid w:val="0004232E"/>
    <w:rsid w:val="00046F97"/>
    <w:rsid w:val="000549AC"/>
    <w:rsid w:val="00055E65"/>
    <w:rsid w:val="0006657A"/>
    <w:rsid w:val="000711C1"/>
    <w:rsid w:val="00075649"/>
    <w:rsid w:val="00084B35"/>
    <w:rsid w:val="000862D3"/>
    <w:rsid w:val="00093070"/>
    <w:rsid w:val="00093599"/>
    <w:rsid w:val="000A0DD0"/>
    <w:rsid w:val="000A3551"/>
    <w:rsid w:val="000A36B0"/>
    <w:rsid w:val="000A3926"/>
    <w:rsid w:val="000A3F06"/>
    <w:rsid w:val="000A55EE"/>
    <w:rsid w:val="000D4ACC"/>
    <w:rsid w:val="000E328C"/>
    <w:rsid w:val="00103081"/>
    <w:rsid w:val="00103ADD"/>
    <w:rsid w:val="00104793"/>
    <w:rsid w:val="00115CCE"/>
    <w:rsid w:val="00126B90"/>
    <w:rsid w:val="001319DA"/>
    <w:rsid w:val="0014633D"/>
    <w:rsid w:val="00147634"/>
    <w:rsid w:val="00163B5C"/>
    <w:rsid w:val="00165840"/>
    <w:rsid w:val="0017614C"/>
    <w:rsid w:val="00176B06"/>
    <w:rsid w:val="00182ED3"/>
    <w:rsid w:val="0018793D"/>
    <w:rsid w:val="0019634E"/>
    <w:rsid w:val="001A2FCD"/>
    <w:rsid w:val="001A3733"/>
    <w:rsid w:val="001A6010"/>
    <w:rsid w:val="001B612F"/>
    <w:rsid w:val="001C6904"/>
    <w:rsid w:val="001D0ABB"/>
    <w:rsid w:val="001E2BBC"/>
    <w:rsid w:val="001E51A0"/>
    <w:rsid w:val="001E58FE"/>
    <w:rsid w:val="00214189"/>
    <w:rsid w:val="002169FB"/>
    <w:rsid w:val="00222553"/>
    <w:rsid w:val="0022554E"/>
    <w:rsid w:val="0023264E"/>
    <w:rsid w:val="002360B5"/>
    <w:rsid w:val="002370D3"/>
    <w:rsid w:val="00241786"/>
    <w:rsid w:val="00244C04"/>
    <w:rsid w:val="00245609"/>
    <w:rsid w:val="00252693"/>
    <w:rsid w:val="00276BDD"/>
    <w:rsid w:val="00276C3E"/>
    <w:rsid w:val="002808F0"/>
    <w:rsid w:val="00281A3B"/>
    <w:rsid w:val="00290C4B"/>
    <w:rsid w:val="00296D3F"/>
    <w:rsid w:val="002B3B61"/>
    <w:rsid w:val="002D1D70"/>
    <w:rsid w:val="002D4B38"/>
    <w:rsid w:val="002F2860"/>
    <w:rsid w:val="002F58EB"/>
    <w:rsid w:val="002F60E4"/>
    <w:rsid w:val="00300512"/>
    <w:rsid w:val="00304C16"/>
    <w:rsid w:val="00327EDE"/>
    <w:rsid w:val="00330D59"/>
    <w:rsid w:val="003403CB"/>
    <w:rsid w:val="00352C61"/>
    <w:rsid w:val="00353DB9"/>
    <w:rsid w:val="00361144"/>
    <w:rsid w:val="00364DCF"/>
    <w:rsid w:val="003700E9"/>
    <w:rsid w:val="003822D7"/>
    <w:rsid w:val="00396560"/>
    <w:rsid w:val="00397AC7"/>
    <w:rsid w:val="003A69EF"/>
    <w:rsid w:val="003B644B"/>
    <w:rsid w:val="003B766F"/>
    <w:rsid w:val="003C1FA6"/>
    <w:rsid w:val="003D07D2"/>
    <w:rsid w:val="003F0372"/>
    <w:rsid w:val="003F2DE1"/>
    <w:rsid w:val="003F7352"/>
    <w:rsid w:val="003F7F49"/>
    <w:rsid w:val="004000AE"/>
    <w:rsid w:val="0040062C"/>
    <w:rsid w:val="00403A15"/>
    <w:rsid w:val="00415E27"/>
    <w:rsid w:val="0042474F"/>
    <w:rsid w:val="00437BDC"/>
    <w:rsid w:val="00440C62"/>
    <w:rsid w:val="00451E85"/>
    <w:rsid w:val="004538A3"/>
    <w:rsid w:val="00462A7C"/>
    <w:rsid w:val="004641B9"/>
    <w:rsid w:val="00465358"/>
    <w:rsid w:val="004663D5"/>
    <w:rsid w:val="004719B8"/>
    <w:rsid w:val="00473250"/>
    <w:rsid w:val="004733FF"/>
    <w:rsid w:val="00487F38"/>
    <w:rsid w:val="004A40A5"/>
    <w:rsid w:val="004B4D67"/>
    <w:rsid w:val="004C0E27"/>
    <w:rsid w:val="004D66E8"/>
    <w:rsid w:val="004D7CDB"/>
    <w:rsid w:val="004F0D7E"/>
    <w:rsid w:val="004F5FDB"/>
    <w:rsid w:val="0050015A"/>
    <w:rsid w:val="0050357A"/>
    <w:rsid w:val="005054AB"/>
    <w:rsid w:val="0052307A"/>
    <w:rsid w:val="00531976"/>
    <w:rsid w:val="00540C4E"/>
    <w:rsid w:val="005453CE"/>
    <w:rsid w:val="005616B3"/>
    <w:rsid w:val="00565C58"/>
    <w:rsid w:val="005670CC"/>
    <w:rsid w:val="00575591"/>
    <w:rsid w:val="00584F82"/>
    <w:rsid w:val="005852B6"/>
    <w:rsid w:val="005865D6"/>
    <w:rsid w:val="00592912"/>
    <w:rsid w:val="00594C0D"/>
    <w:rsid w:val="00597725"/>
    <w:rsid w:val="005C2A30"/>
    <w:rsid w:val="005C6005"/>
    <w:rsid w:val="005D4247"/>
    <w:rsid w:val="005E345A"/>
    <w:rsid w:val="005F2117"/>
    <w:rsid w:val="005F3B18"/>
    <w:rsid w:val="00610D55"/>
    <w:rsid w:val="00620546"/>
    <w:rsid w:val="00624B6C"/>
    <w:rsid w:val="00625848"/>
    <w:rsid w:val="00633B31"/>
    <w:rsid w:val="00642D73"/>
    <w:rsid w:val="00651F6C"/>
    <w:rsid w:val="00663552"/>
    <w:rsid w:val="006705DD"/>
    <w:rsid w:val="00677ADE"/>
    <w:rsid w:val="006A2E89"/>
    <w:rsid w:val="006A627D"/>
    <w:rsid w:val="006B0E23"/>
    <w:rsid w:val="006C6F08"/>
    <w:rsid w:val="006D2DAD"/>
    <w:rsid w:val="006E01C3"/>
    <w:rsid w:val="006E5E0A"/>
    <w:rsid w:val="00716D4F"/>
    <w:rsid w:val="007202AB"/>
    <w:rsid w:val="00726C66"/>
    <w:rsid w:val="0073521E"/>
    <w:rsid w:val="00744889"/>
    <w:rsid w:val="007526B6"/>
    <w:rsid w:val="00757B0E"/>
    <w:rsid w:val="0076466B"/>
    <w:rsid w:val="0076672E"/>
    <w:rsid w:val="00766BC6"/>
    <w:rsid w:val="007767FD"/>
    <w:rsid w:val="00787CC3"/>
    <w:rsid w:val="00796D86"/>
    <w:rsid w:val="007A3330"/>
    <w:rsid w:val="007A52BD"/>
    <w:rsid w:val="007B1F4C"/>
    <w:rsid w:val="007B284B"/>
    <w:rsid w:val="007B737C"/>
    <w:rsid w:val="007B75B4"/>
    <w:rsid w:val="007C1FB4"/>
    <w:rsid w:val="007C5402"/>
    <w:rsid w:val="007D483B"/>
    <w:rsid w:val="007D502B"/>
    <w:rsid w:val="0080494A"/>
    <w:rsid w:val="0083160D"/>
    <w:rsid w:val="00832BE1"/>
    <w:rsid w:val="00835666"/>
    <w:rsid w:val="00855DDC"/>
    <w:rsid w:val="008605D1"/>
    <w:rsid w:val="00866623"/>
    <w:rsid w:val="00873014"/>
    <w:rsid w:val="00874229"/>
    <w:rsid w:val="0087700A"/>
    <w:rsid w:val="008945B2"/>
    <w:rsid w:val="008A3BFF"/>
    <w:rsid w:val="008B131A"/>
    <w:rsid w:val="008B5837"/>
    <w:rsid w:val="008C4E1E"/>
    <w:rsid w:val="008D3AED"/>
    <w:rsid w:val="008E3FE1"/>
    <w:rsid w:val="008F3240"/>
    <w:rsid w:val="00916851"/>
    <w:rsid w:val="0091696B"/>
    <w:rsid w:val="009170EF"/>
    <w:rsid w:val="00920655"/>
    <w:rsid w:val="00944B6E"/>
    <w:rsid w:val="00950543"/>
    <w:rsid w:val="00953576"/>
    <w:rsid w:val="0095762D"/>
    <w:rsid w:val="00962828"/>
    <w:rsid w:val="0098155A"/>
    <w:rsid w:val="009851F3"/>
    <w:rsid w:val="00986544"/>
    <w:rsid w:val="00986838"/>
    <w:rsid w:val="009912EA"/>
    <w:rsid w:val="00995340"/>
    <w:rsid w:val="009A0D8D"/>
    <w:rsid w:val="009A24F9"/>
    <w:rsid w:val="009A375D"/>
    <w:rsid w:val="009A774E"/>
    <w:rsid w:val="009B27D0"/>
    <w:rsid w:val="009D7A6C"/>
    <w:rsid w:val="009D7AE4"/>
    <w:rsid w:val="009E093A"/>
    <w:rsid w:val="009E097D"/>
    <w:rsid w:val="009E291B"/>
    <w:rsid w:val="009F1CEE"/>
    <w:rsid w:val="00A00B79"/>
    <w:rsid w:val="00A06D24"/>
    <w:rsid w:val="00A2744F"/>
    <w:rsid w:val="00A30BC4"/>
    <w:rsid w:val="00A338D0"/>
    <w:rsid w:val="00A42BD2"/>
    <w:rsid w:val="00A51AED"/>
    <w:rsid w:val="00A56BC5"/>
    <w:rsid w:val="00A608EE"/>
    <w:rsid w:val="00A67B16"/>
    <w:rsid w:val="00A73459"/>
    <w:rsid w:val="00A76B51"/>
    <w:rsid w:val="00A85717"/>
    <w:rsid w:val="00AA4EE8"/>
    <w:rsid w:val="00AC0B45"/>
    <w:rsid w:val="00AD7C3F"/>
    <w:rsid w:val="00AE53C7"/>
    <w:rsid w:val="00AF630A"/>
    <w:rsid w:val="00B11907"/>
    <w:rsid w:val="00B34FF4"/>
    <w:rsid w:val="00B41353"/>
    <w:rsid w:val="00B41EA0"/>
    <w:rsid w:val="00B64DBC"/>
    <w:rsid w:val="00B656A1"/>
    <w:rsid w:val="00B66415"/>
    <w:rsid w:val="00B75683"/>
    <w:rsid w:val="00B76FC7"/>
    <w:rsid w:val="00B921EB"/>
    <w:rsid w:val="00B95434"/>
    <w:rsid w:val="00B958BB"/>
    <w:rsid w:val="00B97282"/>
    <w:rsid w:val="00BB04FE"/>
    <w:rsid w:val="00BC4AEA"/>
    <w:rsid w:val="00BE62B2"/>
    <w:rsid w:val="00BF2933"/>
    <w:rsid w:val="00C0097E"/>
    <w:rsid w:val="00C0489D"/>
    <w:rsid w:val="00C04CC4"/>
    <w:rsid w:val="00C05074"/>
    <w:rsid w:val="00C06BB6"/>
    <w:rsid w:val="00C20727"/>
    <w:rsid w:val="00C23448"/>
    <w:rsid w:val="00C364C6"/>
    <w:rsid w:val="00C445E0"/>
    <w:rsid w:val="00C54F93"/>
    <w:rsid w:val="00C55349"/>
    <w:rsid w:val="00C646DB"/>
    <w:rsid w:val="00C70147"/>
    <w:rsid w:val="00C72BDF"/>
    <w:rsid w:val="00C746E5"/>
    <w:rsid w:val="00C971D6"/>
    <w:rsid w:val="00CA25B9"/>
    <w:rsid w:val="00CA25DD"/>
    <w:rsid w:val="00CB59F2"/>
    <w:rsid w:val="00CC0AC2"/>
    <w:rsid w:val="00CC169F"/>
    <w:rsid w:val="00CD6F6C"/>
    <w:rsid w:val="00CD7998"/>
    <w:rsid w:val="00CD7C8F"/>
    <w:rsid w:val="00CE50B0"/>
    <w:rsid w:val="00CE6859"/>
    <w:rsid w:val="00CE7FD0"/>
    <w:rsid w:val="00CF3279"/>
    <w:rsid w:val="00CF40DD"/>
    <w:rsid w:val="00CF4C09"/>
    <w:rsid w:val="00D10164"/>
    <w:rsid w:val="00D36F4D"/>
    <w:rsid w:val="00D400B4"/>
    <w:rsid w:val="00D46E38"/>
    <w:rsid w:val="00D54D79"/>
    <w:rsid w:val="00D66F82"/>
    <w:rsid w:val="00D75329"/>
    <w:rsid w:val="00D905F2"/>
    <w:rsid w:val="00DA02ED"/>
    <w:rsid w:val="00DA09E1"/>
    <w:rsid w:val="00DA7015"/>
    <w:rsid w:val="00DB2939"/>
    <w:rsid w:val="00DD3A6C"/>
    <w:rsid w:val="00DE2021"/>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435A"/>
    <w:rsid w:val="00E8150B"/>
    <w:rsid w:val="00E87DFC"/>
    <w:rsid w:val="00E946CD"/>
    <w:rsid w:val="00EA0424"/>
    <w:rsid w:val="00EA1A07"/>
    <w:rsid w:val="00EA3EBA"/>
    <w:rsid w:val="00EA7DC1"/>
    <w:rsid w:val="00EB166E"/>
    <w:rsid w:val="00EB1E3E"/>
    <w:rsid w:val="00EC6777"/>
    <w:rsid w:val="00EC745B"/>
    <w:rsid w:val="00ED6D04"/>
    <w:rsid w:val="00EE5D67"/>
    <w:rsid w:val="00EE6494"/>
    <w:rsid w:val="00EF07C1"/>
    <w:rsid w:val="00F043A8"/>
    <w:rsid w:val="00F046BD"/>
    <w:rsid w:val="00F04A9A"/>
    <w:rsid w:val="00F11058"/>
    <w:rsid w:val="00F173C8"/>
    <w:rsid w:val="00F179C6"/>
    <w:rsid w:val="00F21142"/>
    <w:rsid w:val="00F44081"/>
    <w:rsid w:val="00F4737F"/>
    <w:rsid w:val="00F664B4"/>
    <w:rsid w:val="00FC11CC"/>
    <w:rsid w:val="00FC7A0C"/>
    <w:rsid w:val="00FD217D"/>
    <w:rsid w:val="00FE1861"/>
    <w:rsid w:val="00FE1D1F"/>
    <w:rsid w:val="00FE34F3"/>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2886</Words>
  <Characters>15991</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Kristal Rivera Sanchez</cp:lastModifiedBy>
  <cp:revision>2</cp:revision>
  <cp:lastPrinted>2025-06-17T17:50:00Z</cp:lastPrinted>
  <dcterms:created xsi:type="dcterms:W3CDTF">2025-06-19T17:34:00Z</dcterms:created>
  <dcterms:modified xsi:type="dcterms:W3CDTF">2025-06-19T17:34:00Z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