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C6483" w14:textId="0B7278CA" w:rsidR="00FF6BD2" w:rsidRDefault="00091A3E" w:rsidP="00DE3E58">
      <w:pPr>
        <w:jc w:val="center"/>
        <w:rPr>
          <w:rFonts w:ascii="Book Antiqua" w:hAnsi="Book Antiqua"/>
          <w:sz w:val="28"/>
          <w:lang w:val="es-ES_tradnl"/>
        </w:rPr>
      </w:pPr>
      <w:r>
        <w:rPr>
          <w:rFonts w:ascii="Book Antiqua" w:hAnsi="Book Antiqua"/>
          <w:sz w:val="28"/>
          <w:lang w:val="es-ES_tradnl"/>
        </w:rPr>
        <w:t xml:space="preserve">GOBIERNO </w:t>
      </w:r>
      <w:r w:rsidR="00B83485">
        <w:rPr>
          <w:rFonts w:ascii="Book Antiqua" w:hAnsi="Book Antiqua"/>
          <w:sz w:val="28"/>
          <w:lang w:val="es-ES_tradnl"/>
        </w:rPr>
        <w:t>DE PUERTO RICO</w:t>
      </w:r>
    </w:p>
    <w:p w14:paraId="64F8C024" w14:textId="77777777" w:rsidR="00B83485" w:rsidRPr="00DE3E58" w:rsidRDefault="00B83485" w:rsidP="00DE3E58">
      <w:pPr>
        <w:jc w:val="center"/>
        <w:rPr>
          <w:rFonts w:ascii="Book Antiqua" w:hAnsi="Book Antiqua"/>
          <w:lang w:val="es-ES_tradnl"/>
        </w:rPr>
      </w:pPr>
    </w:p>
    <w:p w14:paraId="35F01B04" w14:textId="36FB19D5" w:rsidR="00B83485" w:rsidRPr="00BD6D27" w:rsidRDefault="00F93792" w:rsidP="00DE3E58">
      <w:pPr>
        <w:pStyle w:val="Title2"/>
        <w:rPr>
          <w:rFonts w:ascii="Book Antiqua" w:hAnsi="Book Antiqua"/>
          <w:lang w:val="es-PR"/>
        </w:rPr>
      </w:pPr>
      <w:r w:rsidRPr="00BD6D27">
        <w:rPr>
          <w:rFonts w:ascii="Book Antiqua" w:hAnsi="Book Antiqua"/>
          <w:lang w:val="es-PR"/>
        </w:rPr>
        <w:t>20m</w:t>
      </w:r>
      <w:r w:rsidR="002812D6" w:rsidRPr="00BD6D27">
        <w:rPr>
          <w:rFonts w:ascii="Book Antiqua" w:hAnsi="Book Antiqua"/>
          <w:lang w:val="es-PR"/>
        </w:rPr>
        <w:t>a.</w:t>
      </w:r>
      <w:r w:rsidR="00B83485" w:rsidRPr="00BD6D27">
        <w:rPr>
          <w:rFonts w:ascii="Book Antiqua" w:hAnsi="Book Antiqua"/>
          <w:lang w:val="es-PR"/>
        </w:rPr>
        <w:tab/>
        <w:t>Asamblea</w:t>
      </w:r>
      <w:r w:rsidR="00B83485" w:rsidRPr="00BD6D27">
        <w:rPr>
          <w:rFonts w:ascii="Book Antiqua" w:hAnsi="Book Antiqua"/>
          <w:lang w:val="es-PR"/>
        </w:rPr>
        <w:tab/>
      </w:r>
      <w:r w:rsidRPr="00BD6D27">
        <w:rPr>
          <w:rFonts w:ascii="Book Antiqua" w:hAnsi="Book Antiqua"/>
          <w:lang w:val="es-PR"/>
        </w:rPr>
        <w:t>1r</w:t>
      </w:r>
      <w:r w:rsidR="002812D6" w:rsidRPr="00BD6D27">
        <w:rPr>
          <w:rFonts w:ascii="Book Antiqua" w:hAnsi="Book Antiqua"/>
          <w:lang w:val="es-PR"/>
        </w:rPr>
        <w:t>a.</w:t>
      </w:r>
      <w:r w:rsidR="00B83485" w:rsidRPr="00BD6D27">
        <w:rPr>
          <w:rFonts w:ascii="Book Antiqua" w:hAnsi="Book Antiqua"/>
          <w:lang w:val="es-PR"/>
        </w:rPr>
        <w:tab/>
        <w:t>Sesión</w:t>
      </w:r>
    </w:p>
    <w:p w14:paraId="57493E8B" w14:textId="77777777" w:rsidR="00B83485" w:rsidRPr="00BD6D27" w:rsidRDefault="00B83485" w:rsidP="00DE3E58">
      <w:pPr>
        <w:pStyle w:val="Title2"/>
        <w:rPr>
          <w:rFonts w:ascii="Book Antiqua" w:hAnsi="Book Antiqua"/>
          <w:lang w:val="es-PR"/>
        </w:rPr>
      </w:pPr>
      <w:r w:rsidRPr="00BD6D27">
        <w:rPr>
          <w:rFonts w:ascii="Book Antiqua" w:hAnsi="Book Antiqua"/>
          <w:lang w:val="es-PR"/>
        </w:rPr>
        <w:tab/>
        <w:t>Legislativa</w:t>
      </w:r>
      <w:r w:rsidRPr="00BD6D27">
        <w:rPr>
          <w:rFonts w:ascii="Book Antiqua" w:hAnsi="Book Antiqua"/>
          <w:lang w:val="es-PR"/>
        </w:rPr>
        <w:tab/>
      </w:r>
      <w:r w:rsidRPr="00BD6D27">
        <w:rPr>
          <w:rFonts w:ascii="Book Antiqua" w:hAnsi="Book Antiqua"/>
          <w:lang w:val="es-PR"/>
        </w:rPr>
        <w:tab/>
        <w:t>Ordinaria</w:t>
      </w:r>
    </w:p>
    <w:p w14:paraId="2FF14F63" w14:textId="77777777" w:rsidR="00B83485" w:rsidRPr="00BD6D27" w:rsidRDefault="00B83485" w:rsidP="00DE3E58">
      <w:pPr>
        <w:rPr>
          <w:lang w:val="es-PR"/>
        </w:rPr>
      </w:pPr>
    </w:p>
    <w:p w14:paraId="577F4A3A" w14:textId="77777777" w:rsidR="00B83485" w:rsidRDefault="00B83485" w:rsidP="00DE3E58">
      <w:pPr>
        <w:jc w:val="center"/>
        <w:rPr>
          <w:rFonts w:ascii="Book Antiqua" w:hAnsi="Book Antiqua"/>
          <w:b/>
          <w:sz w:val="36"/>
          <w:lang w:val="es-ES_tradnl"/>
        </w:rPr>
      </w:pPr>
      <w:r>
        <w:rPr>
          <w:rFonts w:ascii="Book Antiqua" w:hAnsi="Book Antiqua"/>
          <w:b/>
          <w:sz w:val="36"/>
          <w:lang w:val="es-ES_tradnl"/>
        </w:rPr>
        <w:t>CÁMARA DE REPRESENTANTES</w:t>
      </w:r>
    </w:p>
    <w:p w14:paraId="494F74ED" w14:textId="77777777" w:rsidR="00B83485" w:rsidRPr="00DE3E58" w:rsidRDefault="00B83485" w:rsidP="00DE3E58">
      <w:pPr>
        <w:jc w:val="center"/>
        <w:rPr>
          <w:rFonts w:ascii="Book Antiqua" w:hAnsi="Book Antiqua"/>
          <w:b/>
          <w:szCs w:val="24"/>
          <w:lang w:val="es-ES_tradnl"/>
        </w:rPr>
      </w:pPr>
    </w:p>
    <w:p w14:paraId="08458A7B" w14:textId="6EEE5711" w:rsidR="00B83485" w:rsidRDefault="00B83485" w:rsidP="00DE3E58">
      <w:pPr>
        <w:jc w:val="center"/>
        <w:rPr>
          <w:rFonts w:ascii="Book Antiqua" w:hAnsi="Book Antiqua"/>
          <w:b/>
          <w:sz w:val="52"/>
          <w:lang w:val="es-ES_tradnl"/>
        </w:rPr>
      </w:pPr>
      <w:r>
        <w:rPr>
          <w:rFonts w:ascii="Book Antiqua" w:hAnsi="Book Antiqua"/>
          <w:b/>
          <w:sz w:val="52"/>
          <w:lang w:val="es-ES_tradnl"/>
        </w:rPr>
        <w:t xml:space="preserve">R. C. de la C. </w:t>
      </w:r>
      <w:r w:rsidR="00A5166C">
        <w:rPr>
          <w:rFonts w:ascii="Book Antiqua" w:hAnsi="Book Antiqua"/>
          <w:b/>
          <w:sz w:val="52"/>
          <w:lang w:val="es-ES_tradnl"/>
        </w:rPr>
        <w:t>109</w:t>
      </w:r>
    </w:p>
    <w:p w14:paraId="6EDE571D" w14:textId="77777777" w:rsidR="00DE3E58" w:rsidRPr="00DE3E58" w:rsidRDefault="00DE3E58" w:rsidP="00DE3E58">
      <w:pPr>
        <w:jc w:val="center"/>
        <w:rPr>
          <w:rFonts w:ascii="Book Antiqua" w:hAnsi="Book Antiqua"/>
          <w:b/>
          <w:szCs w:val="24"/>
          <w:lang w:val="es-ES_tradnl"/>
        </w:rPr>
      </w:pPr>
    </w:p>
    <w:p w14:paraId="62C0E9D8" w14:textId="239F212E" w:rsidR="00B83485" w:rsidRDefault="00A5166C" w:rsidP="00DE3E58">
      <w:pPr>
        <w:jc w:val="center"/>
        <w:rPr>
          <w:rFonts w:ascii="Book Antiqua" w:hAnsi="Book Antiqua"/>
          <w:lang w:val="es-ES_tradnl"/>
        </w:rPr>
      </w:pPr>
      <w:r>
        <w:rPr>
          <w:rFonts w:ascii="Book Antiqua" w:hAnsi="Book Antiqua"/>
          <w:lang w:val="es-ES_tradnl"/>
        </w:rPr>
        <w:t xml:space="preserve">28 </w:t>
      </w:r>
      <w:r w:rsidR="00B83485">
        <w:rPr>
          <w:rFonts w:ascii="Book Antiqua" w:hAnsi="Book Antiqua"/>
          <w:lang w:val="es-ES_tradnl"/>
        </w:rPr>
        <w:t xml:space="preserve">DE </w:t>
      </w:r>
      <w:r w:rsidR="00F93792">
        <w:rPr>
          <w:rFonts w:ascii="Book Antiqua" w:hAnsi="Book Antiqua"/>
          <w:lang w:val="es-ES_tradnl"/>
        </w:rPr>
        <w:t>ABRIL</w:t>
      </w:r>
      <w:r w:rsidR="00B83485">
        <w:rPr>
          <w:rFonts w:ascii="Book Antiqua" w:hAnsi="Book Antiqua"/>
          <w:lang w:val="es-ES_tradnl"/>
        </w:rPr>
        <w:t xml:space="preserve"> DE 202</w:t>
      </w:r>
      <w:r w:rsidR="00F93792">
        <w:rPr>
          <w:rFonts w:ascii="Book Antiqua" w:hAnsi="Book Antiqua"/>
          <w:lang w:val="es-ES_tradnl"/>
        </w:rPr>
        <w:t>5</w:t>
      </w:r>
    </w:p>
    <w:p w14:paraId="1DD7FC7B" w14:textId="77777777" w:rsidR="00DE3E58" w:rsidRDefault="00DE3E58" w:rsidP="00DE3E58">
      <w:pPr>
        <w:jc w:val="center"/>
        <w:rPr>
          <w:rFonts w:ascii="Book Antiqua" w:hAnsi="Book Antiqua"/>
          <w:lang w:val="es-ES_tradnl"/>
        </w:rPr>
      </w:pPr>
    </w:p>
    <w:p w14:paraId="01FDBB93" w14:textId="7001CDE4" w:rsidR="00B83485" w:rsidRDefault="00B83485" w:rsidP="00DE3E58">
      <w:pPr>
        <w:jc w:val="center"/>
        <w:rPr>
          <w:rFonts w:ascii="Book Antiqua" w:hAnsi="Book Antiqua"/>
          <w:i/>
          <w:lang w:val="es-ES_tradnl"/>
        </w:rPr>
      </w:pPr>
      <w:r>
        <w:rPr>
          <w:rFonts w:ascii="Book Antiqua" w:hAnsi="Book Antiqua"/>
          <w:lang w:val="es-ES_tradnl"/>
        </w:rPr>
        <w:t xml:space="preserve">Presentada por </w:t>
      </w:r>
      <w:r w:rsidR="00BA50ED">
        <w:rPr>
          <w:rFonts w:ascii="Book Antiqua" w:hAnsi="Book Antiqua"/>
          <w:lang w:val="es-ES_tradnl"/>
        </w:rPr>
        <w:t>la</w:t>
      </w:r>
      <w:r>
        <w:rPr>
          <w:rFonts w:ascii="Book Antiqua" w:hAnsi="Book Antiqua"/>
          <w:lang w:val="es-ES_tradnl"/>
        </w:rPr>
        <w:t xml:space="preserve"> representante </w:t>
      </w:r>
      <w:r w:rsidR="00BA50ED">
        <w:rPr>
          <w:rFonts w:ascii="Book Antiqua" w:hAnsi="Book Antiqua"/>
          <w:i/>
          <w:lang w:val="es-ES_tradnl"/>
        </w:rPr>
        <w:t>Burgos Muñiz</w:t>
      </w:r>
    </w:p>
    <w:p w14:paraId="7E11B56A" w14:textId="77777777" w:rsidR="00DE3E58" w:rsidRDefault="00DE3E58" w:rsidP="00DE3E58">
      <w:pPr>
        <w:jc w:val="center"/>
        <w:rPr>
          <w:rFonts w:ascii="Book Antiqua" w:hAnsi="Book Antiqua"/>
          <w:lang w:val="es-ES_tradnl"/>
        </w:rPr>
      </w:pPr>
    </w:p>
    <w:p w14:paraId="08699A80" w14:textId="4E19A56A" w:rsidR="00B83485" w:rsidRDefault="00B83485" w:rsidP="00DE3E58">
      <w:pPr>
        <w:jc w:val="center"/>
        <w:rPr>
          <w:rFonts w:ascii="Book Antiqua" w:hAnsi="Book Antiqua"/>
          <w:lang w:val="es-ES_tradnl"/>
        </w:rPr>
      </w:pPr>
      <w:r>
        <w:rPr>
          <w:rFonts w:ascii="Book Antiqua" w:hAnsi="Book Antiqua"/>
          <w:lang w:val="es-ES_tradnl"/>
        </w:rPr>
        <w:t xml:space="preserve">Referida a </w:t>
      </w:r>
      <w:r w:rsidR="002812D6">
        <w:rPr>
          <w:rFonts w:ascii="Book Antiqua" w:hAnsi="Book Antiqua"/>
          <w:lang w:val="es-ES_tradnl"/>
        </w:rPr>
        <w:t xml:space="preserve">la Comisión </w:t>
      </w:r>
      <w:r w:rsidR="00BA50ED">
        <w:rPr>
          <w:rFonts w:ascii="Book Antiqua" w:hAnsi="Book Antiqua"/>
          <w:lang w:val="es-ES_tradnl"/>
        </w:rPr>
        <w:t xml:space="preserve">de </w:t>
      </w:r>
      <w:r w:rsidR="00BD6D27">
        <w:rPr>
          <w:rFonts w:ascii="Book Antiqua" w:hAnsi="Book Antiqua"/>
          <w:lang w:val="es-ES_tradnl"/>
        </w:rPr>
        <w:t>Salud</w:t>
      </w:r>
    </w:p>
    <w:p w14:paraId="5658D5C6" w14:textId="77777777" w:rsidR="00B83485" w:rsidRDefault="00B83485" w:rsidP="00DE3E58">
      <w:pPr>
        <w:jc w:val="both"/>
        <w:rPr>
          <w:rFonts w:ascii="Book Antiqua" w:hAnsi="Book Antiqua"/>
          <w:lang w:val="es-ES_tradnl"/>
        </w:rPr>
      </w:pPr>
    </w:p>
    <w:p w14:paraId="290DEC64" w14:textId="77777777" w:rsidR="00B83485" w:rsidRDefault="00B83485" w:rsidP="00DE3E58">
      <w:pPr>
        <w:jc w:val="center"/>
        <w:rPr>
          <w:rFonts w:ascii="Book Antiqua" w:hAnsi="Book Antiqua"/>
          <w:b/>
          <w:sz w:val="28"/>
          <w:lang w:val="es-ES_tradnl"/>
        </w:rPr>
      </w:pPr>
      <w:r>
        <w:rPr>
          <w:rFonts w:ascii="Book Antiqua" w:hAnsi="Book Antiqua"/>
          <w:b/>
          <w:sz w:val="28"/>
          <w:lang w:val="es-ES_tradnl"/>
        </w:rPr>
        <w:t>RESOLUCIÓN CONJUNTA</w:t>
      </w:r>
    </w:p>
    <w:p w14:paraId="16327B8B" w14:textId="77777777" w:rsidR="00B83485" w:rsidRDefault="00B83485" w:rsidP="00DE3E58">
      <w:pPr>
        <w:jc w:val="both"/>
        <w:rPr>
          <w:rFonts w:ascii="Book Antiqua" w:hAnsi="Book Antiqua"/>
          <w:lang w:val="es-ES_tradnl"/>
        </w:rPr>
      </w:pPr>
    </w:p>
    <w:p w14:paraId="29BA345A" w14:textId="70BC8EAD" w:rsidR="00B83485" w:rsidRDefault="00B83485" w:rsidP="00DE3E58">
      <w:pPr>
        <w:ind w:left="720" w:hanging="720"/>
        <w:jc w:val="both"/>
        <w:rPr>
          <w:rFonts w:ascii="Book Antiqua" w:hAnsi="Book Antiqua"/>
          <w:lang w:val="es-ES_tradnl"/>
        </w:rPr>
      </w:pPr>
      <w:r>
        <w:rPr>
          <w:rFonts w:ascii="Book Antiqua" w:hAnsi="Book Antiqua"/>
          <w:lang w:val="es-ES_tradnl"/>
        </w:rPr>
        <w:t xml:space="preserve">Para </w:t>
      </w:r>
      <w:r w:rsidRPr="00B83485">
        <w:rPr>
          <w:rFonts w:ascii="Book Antiqua" w:hAnsi="Book Antiqua"/>
          <w:lang w:val="es-ES_tradnl"/>
        </w:rPr>
        <w:t xml:space="preserve">ordenar al Departamento de Salud requerir créditos de educación continua a proveedores y profesionales de salud en temáticas de </w:t>
      </w:r>
      <w:r w:rsidR="00F93792">
        <w:rPr>
          <w:rFonts w:ascii="Book Antiqua" w:hAnsi="Book Antiqua"/>
          <w:lang w:val="es-ES_tradnl"/>
        </w:rPr>
        <w:t xml:space="preserve">concientización y sensibilidad con las personas </w:t>
      </w:r>
      <w:r w:rsidR="0091557D">
        <w:rPr>
          <w:rFonts w:ascii="Book Antiqua" w:hAnsi="Book Antiqua"/>
          <w:lang w:val="es-ES_tradnl"/>
        </w:rPr>
        <w:t>con</w:t>
      </w:r>
      <w:r w:rsidR="00F93792">
        <w:rPr>
          <w:rFonts w:ascii="Book Antiqua" w:hAnsi="Book Antiqua"/>
          <w:lang w:val="es-ES_tradnl"/>
        </w:rPr>
        <w:t xml:space="preserve"> discapacidad</w:t>
      </w:r>
      <w:r w:rsidR="0091557D">
        <w:rPr>
          <w:rFonts w:ascii="Book Antiqua" w:hAnsi="Book Antiqua"/>
          <w:lang w:val="es-ES_tradnl"/>
        </w:rPr>
        <w:t>es</w:t>
      </w:r>
      <w:r w:rsidR="00F93792">
        <w:rPr>
          <w:rFonts w:ascii="Book Antiqua" w:hAnsi="Book Antiqua"/>
          <w:lang w:val="es-ES_tradnl"/>
        </w:rPr>
        <w:t xml:space="preserve"> en todas sus</w:t>
      </w:r>
      <w:r w:rsidR="0091557D">
        <w:rPr>
          <w:rFonts w:ascii="Book Antiqua" w:hAnsi="Book Antiqua"/>
          <w:lang w:val="es-ES_tradnl"/>
        </w:rPr>
        <w:t xml:space="preserve"> modalidades</w:t>
      </w:r>
      <w:r w:rsidR="00F93792">
        <w:rPr>
          <w:rFonts w:ascii="Book Antiqua" w:hAnsi="Book Antiqua"/>
          <w:lang w:val="es-ES_tradnl"/>
        </w:rPr>
        <w:t xml:space="preserve">. </w:t>
      </w:r>
    </w:p>
    <w:p w14:paraId="677724A7" w14:textId="77777777" w:rsidR="008E1E9A" w:rsidRDefault="008E1E9A" w:rsidP="00DE3E58">
      <w:pPr>
        <w:ind w:left="360" w:hanging="360"/>
        <w:jc w:val="both"/>
        <w:rPr>
          <w:rFonts w:ascii="Book Antiqua" w:hAnsi="Book Antiqua"/>
          <w:lang w:val="es-ES_tradnl"/>
        </w:rPr>
      </w:pPr>
    </w:p>
    <w:p w14:paraId="60C61134" w14:textId="77777777" w:rsidR="00B83485" w:rsidRDefault="00B83485" w:rsidP="00DE3E58">
      <w:pPr>
        <w:ind w:firstLine="360"/>
        <w:jc w:val="center"/>
        <w:rPr>
          <w:rFonts w:ascii="Book Antiqua" w:hAnsi="Book Antiqua"/>
          <w:lang w:val="es-ES_tradnl"/>
        </w:rPr>
      </w:pPr>
      <w:r>
        <w:rPr>
          <w:rFonts w:ascii="Book Antiqua" w:hAnsi="Book Antiqua"/>
          <w:lang w:val="es-ES_tradnl"/>
        </w:rPr>
        <w:t>EXPOSICIÓN DE MOTIVOS</w:t>
      </w:r>
    </w:p>
    <w:p w14:paraId="298EDF5E" w14:textId="77777777" w:rsidR="008E1E9A" w:rsidRDefault="008E1E9A" w:rsidP="00DE3E58">
      <w:pPr>
        <w:ind w:firstLine="360"/>
        <w:jc w:val="both"/>
        <w:rPr>
          <w:rFonts w:ascii="Book Antiqua" w:hAnsi="Book Antiqua"/>
          <w:lang w:val="es-ES_tradnl"/>
        </w:rPr>
      </w:pPr>
    </w:p>
    <w:p w14:paraId="691BED11" w14:textId="3CB300E8" w:rsidR="00B83485" w:rsidRDefault="00B83485" w:rsidP="002812D6">
      <w:pPr>
        <w:ind w:firstLine="720"/>
        <w:jc w:val="both"/>
        <w:rPr>
          <w:rFonts w:ascii="Book Antiqua" w:hAnsi="Book Antiqua"/>
          <w:lang w:val="es-ES_tradnl"/>
        </w:rPr>
      </w:pPr>
      <w:r w:rsidRPr="00B83485">
        <w:rPr>
          <w:rFonts w:ascii="Book Antiqua" w:hAnsi="Book Antiqua"/>
          <w:lang w:val="es-ES_tradnl"/>
        </w:rPr>
        <w:t xml:space="preserve">La formación profesional es un proceso constante de adquisición de conocimiento, siendo este último cambiante y determinado por un contexto socio histórico particular. La calidad de los servicios, la atención y el trato a pacientes y clientes depende de la preparación ética y académica con la que cuentan los profesionales. La reglamentación que rige las prácticas de los proveedores de salud tiene el potencial de garantizar que los servicios ofrecidos sean cada vez más </w:t>
      </w:r>
      <w:r w:rsidR="00F93792">
        <w:rPr>
          <w:rFonts w:ascii="Book Antiqua" w:hAnsi="Book Antiqua"/>
          <w:lang w:val="es-ES_tradnl"/>
        </w:rPr>
        <w:t>abarcadores</w:t>
      </w:r>
      <w:r w:rsidRPr="00B83485">
        <w:rPr>
          <w:rFonts w:ascii="Book Antiqua" w:hAnsi="Book Antiqua"/>
          <w:lang w:val="es-ES_tradnl"/>
        </w:rPr>
        <w:t xml:space="preserve">, sensibles y respetuosos ante </w:t>
      </w:r>
      <w:r w:rsidR="00F93792">
        <w:rPr>
          <w:rFonts w:ascii="Book Antiqua" w:hAnsi="Book Antiqua"/>
          <w:lang w:val="es-ES_tradnl"/>
        </w:rPr>
        <w:t xml:space="preserve">el aumento de diversas discapacidades parciales o totales. </w:t>
      </w:r>
    </w:p>
    <w:p w14:paraId="5AAC406F" w14:textId="77777777" w:rsidR="00F93792" w:rsidRDefault="00F93792" w:rsidP="002812D6">
      <w:pPr>
        <w:ind w:firstLine="720"/>
        <w:jc w:val="both"/>
        <w:rPr>
          <w:rFonts w:ascii="Book Antiqua" w:hAnsi="Book Antiqua"/>
          <w:lang w:val="es-ES_tradnl"/>
        </w:rPr>
      </w:pPr>
    </w:p>
    <w:p w14:paraId="731998A2" w14:textId="22F8DBCA" w:rsidR="00F93792" w:rsidRDefault="00F93792" w:rsidP="002812D6">
      <w:pPr>
        <w:ind w:firstLine="720"/>
        <w:jc w:val="both"/>
        <w:rPr>
          <w:rFonts w:ascii="Book Antiqua" w:hAnsi="Book Antiqua"/>
          <w:lang w:val="es-ES_tradnl"/>
        </w:rPr>
      </w:pPr>
      <w:bookmarkStart w:id="0" w:name="_Hlk196404455"/>
      <w:r>
        <w:rPr>
          <w:rFonts w:ascii="Book Antiqua" w:hAnsi="Book Antiqua"/>
          <w:lang w:val="es-ES_tradnl"/>
        </w:rPr>
        <w:t xml:space="preserve">En Puerto Rico existe una población aproximada de 687,000 personas con </w:t>
      </w:r>
      <w:r w:rsidR="0092638E">
        <w:rPr>
          <w:rFonts w:ascii="Book Antiqua" w:hAnsi="Book Antiqua"/>
          <w:lang w:val="es-ES_tradnl"/>
        </w:rPr>
        <w:t xml:space="preserve">algún tipo de discapacidad, lo que equivale a un veintidós por ciento (22%) de la población. De los tipos más comunes se encuentran: un 12.6% de discapacidad de movilidad; un 11.4% de discapacidad de vida independiente; </w:t>
      </w:r>
      <w:r w:rsidR="001251A4">
        <w:rPr>
          <w:rFonts w:ascii="Book Antiqua" w:hAnsi="Book Antiqua"/>
          <w:lang w:val="es-ES_tradnl"/>
        </w:rPr>
        <w:t xml:space="preserve">un </w:t>
      </w:r>
      <w:r w:rsidR="0092638E">
        <w:rPr>
          <w:rFonts w:ascii="Book Antiqua" w:hAnsi="Book Antiqua"/>
          <w:lang w:val="es-ES_tradnl"/>
        </w:rPr>
        <w:t xml:space="preserve">9.8% de discapacidad cognitiva; </w:t>
      </w:r>
      <w:r w:rsidR="001251A4">
        <w:rPr>
          <w:rFonts w:ascii="Book Antiqua" w:hAnsi="Book Antiqua"/>
          <w:lang w:val="es-ES_tradnl"/>
        </w:rPr>
        <w:t xml:space="preserve">un 6.6% </w:t>
      </w:r>
      <w:r w:rsidR="0091557D">
        <w:rPr>
          <w:rFonts w:ascii="Book Antiqua" w:hAnsi="Book Antiqua"/>
          <w:lang w:val="es-ES_tradnl"/>
        </w:rPr>
        <w:t>dis</w:t>
      </w:r>
      <w:r w:rsidR="001251A4">
        <w:rPr>
          <w:rFonts w:ascii="Book Antiqua" w:hAnsi="Book Antiqua"/>
          <w:lang w:val="es-ES_tradnl"/>
        </w:rPr>
        <w:t>capacidad visual; un 5.4% de discapacidad de autocuidado y un 4.2% de discapacidad auditiva. Además, la distribución por edad refleja que un 1.1% de los menores de 5 años tiene alguna discapacidad; un 9.1% de los menores de 5 a 15 años; un 8.5</w:t>
      </w:r>
      <w:r w:rsidR="0091557D">
        <w:rPr>
          <w:rFonts w:ascii="Book Antiqua" w:hAnsi="Book Antiqua"/>
          <w:lang w:val="es-ES_tradnl"/>
        </w:rPr>
        <w:t>%</w:t>
      </w:r>
      <w:r w:rsidR="001251A4">
        <w:rPr>
          <w:rFonts w:ascii="Book Antiqua" w:hAnsi="Book Antiqua"/>
          <w:lang w:val="es-ES_tradnl"/>
        </w:rPr>
        <w:t xml:space="preserve"> de los menores de 16 a20 a</w:t>
      </w:r>
      <w:r w:rsidR="0091557D">
        <w:rPr>
          <w:rFonts w:ascii="Book Antiqua" w:hAnsi="Book Antiqua"/>
          <w:lang w:val="es-ES_tradnl"/>
        </w:rPr>
        <w:t>ñ</w:t>
      </w:r>
      <w:r w:rsidR="001251A4">
        <w:rPr>
          <w:rFonts w:ascii="Book Antiqua" w:hAnsi="Book Antiqua"/>
          <w:lang w:val="es-ES_tradnl"/>
        </w:rPr>
        <w:t xml:space="preserve">os; un 18.2% de las personas de 21 a 64 años; un 35.6% de los adultos mayores de 65 a 74 </w:t>
      </w:r>
      <w:r w:rsidR="00384BC2">
        <w:rPr>
          <w:rFonts w:ascii="Book Antiqua" w:hAnsi="Book Antiqua"/>
          <w:lang w:val="es-ES_tradnl"/>
        </w:rPr>
        <w:t>años</w:t>
      </w:r>
      <w:r w:rsidR="001251A4">
        <w:rPr>
          <w:rFonts w:ascii="Book Antiqua" w:hAnsi="Book Antiqua"/>
          <w:lang w:val="es-ES_tradnl"/>
        </w:rPr>
        <w:t xml:space="preserve"> y un 60.5% de personas mayores de 75 años. </w:t>
      </w:r>
    </w:p>
    <w:p w14:paraId="6E3F6A8D" w14:textId="77777777" w:rsidR="001251A4" w:rsidRDefault="001251A4" w:rsidP="002812D6">
      <w:pPr>
        <w:ind w:firstLine="720"/>
        <w:jc w:val="both"/>
        <w:rPr>
          <w:rFonts w:ascii="Book Antiqua" w:hAnsi="Book Antiqua"/>
          <w:lang w:val="es-ES_tradnl"/>
        </w:rPr>
      </w:pPr>
    </w:p>
    <w:p w14:paraId="7DFF83B8" w14:textId="08DE1DB9" w:rsidR="001251A4" w:rsidRDefault="001251A4" w:rsidP="002812D6">
      <w:pPr>
        <w:ind w:firstLine="720"/>
        <w:jc w:val="both"/>
        <w:rPr>
          <w:rFonts w:ascii="Book Antiqua" w:hAnsi="Book Antiqua"/>
          <w:lang w:val="es-ES_tradnl"/>
        </w:rPr>
      </w:pPr>
      <w:r>
        <w:rPr>
          <w:rFonts w:ascii="Book Antiqua" w:hAnsi="Book Antiqua"/>
          <w:lang w:val="es-ES_tradnl"/>
        </w:rPr>
        <w:lastRenderedPageBreak/>
        <w:t>Conforme a lo anterior</w:t>
      </w:r>
      <w:r w:rsidR="00F82C2B">
        <w:rPr>
          <w:rFonts w:ascii="Book Antiqua" w:hAnsi="Book Antiqua"/>
          <w:lang w:val="es-ES_tradnl"/>
        </w:rPr>
        <w:t>, también</w:t>
      </w:r>
      <w:r>
        <w:rPr>
          <w:rFonts w:ascii="Book Antiqua" w:hAnsi="Book Antiqua"/>
          <w:lang w:val="es-ES_tradnl"/>
        </w:rPr>
        <w:t xml:space="preserve"> es importante añadir que el Departamento de Educación, para el año escolar 2023-2024 reportó que habían 96, 472 estudiantes inscritos en el Programa de Educación Especial. Lo cual, 11,990 entre 3 a 21 años tenían un diagnóstico de Trastorno del Espectro Autista. </w:t>
      </w:r>
    </w:p>
    <w:bookmarkEnd w:id="0"/>
    <w:p w14:paraId="6F628FCC" w14:textId="77777777" w:rsidR="00DE3E58" w:rsidRPr="00B83485" w:rsidRDefault="00DE3E58" w:rsidP="001251A4">
      <w:pPr>
        <w:jc w:val="both"/>
        <w:rPr>
          <w:rFonts w:ascii="Book Antiqua" w:hAnsi="Book Antiqua"/>
          <w:lang w:val="es-ES_tradnl"/>
        </w:rPr>
      </w:pPr>
    </w:p>
    <w:p w14:paraId="33337128" w14:textId="198F5203" w:rsidR="00B83485" w:rsidRDefault="00B83485" w:rsidP="002812D6">
      <w:pPr>
        <w:ind w:firstLine="720"/>
        <w:jc w:val="both"/>
        <w:rPr>
          <w:rFonts w:ascii="Book Antiqua" w:hAnsi="Book Antiqua"/>
          <w:lang w:val="es-ES_tradnl"/>
        </w:rPr>
      </w:pPr>
      <w:r w:rsidRPr="00B83485">
        <w:rPr>
          <w:rFonts w:ascii="Book Antiqua" w:hAnsi="Book Antiqua"/>
          <w:lang w:val="es-ES_tradnl"/>
        </w:rPr>
        <w:t>El Departamento de Salud de Puerto Rico tiene la responsabilidad de regular y fiscalizar la prestación de servicios de salud y garantizar el bienestar general de</w:t>
      </w:r>
      <w:r w:rsidR="00F82C2B">
        <w:rPr>
          <w:rFonts w:ascii="Book Antiqua" w:hAnsi="Book Antiqua"/>
          <w:lang w:val="es-ES_tradnl"/>
        </w:rPr>
        <w:t xml:space="preserve"> la ciudadanía</w:t>
      </w:r>
      <w:r w:rsidRPr="00B83485">
        <w:rPr>
          <w:rFonts w:ascii="Book Antiqua" w:hAnsi="Book Antiqua"/>
          <w:lang w:val="es-ES_tradnl"/>
        </w:rPr>
        <w:t xml:space="preserve">. La falta de preparación en temas de </w:t>
      </w:r>
      <w:r w:rsidR="00680C3F">
        <w:rPr>
          <w:rFonts w:ascii="Book Antiqua" w:hAnsi="Book Antiqua"/>
          <w:lang w:val="es-ES_tradnl"/>
        </w:rPr>
        <w:t>discapacidad</w:t>
      </w:r>
      <w:r w:rsidRPr="00B83485">
        <w:rPr>
          <w:rFonts w:ascii="Book Antiqua" w:hAnsi="Book Antiqua"/>
          <w:lang w:val="es-ES_tradnl"/>
        </w:rPr>
        <w:t xml:space="preserve"> puede incidir de manera negativa en la prestación de los servicios que le competen al Departamento de Salud y en la forma en que se atienden poblaciones </w:t>
      </w:r>
      <w:r w:rsidR="00680C3F">
        <w:rPr>
          <w:rFonts w:ascii="Book Antiqua" w:hAnsi="Book Antiqua"/>
          <w:lang w:val="es-ES_tradnl"/>
        </w:rPr>
        <w:t xml:space="preserve">con discapacidad. </w:t>
      </w:r>
    </w:p>
    <w:p w14:paraId="4382E029" w14:textId="77777777" w:rsidR="00680C3F" w:rsidRDefault="00680C3F" w:rsidP="002812D6">
      <w:pPr>
        <w:ind w:firstLine="720"/>
        <w:jc w:val="both"/>
        <w:rPr>
          <w:rFonts w:ascii="Book Antiqua" w:hAnsi="Book Antiqua"/>
          <w:lang w:val="es-ES_tradnl"/>
        </w:rPr>
      </w:pPr>
    </w:p>
    <w:p w14:paraId="3ABF7E15" w14:textId="08FAE942" w:rsidR="00680C3F" w:rsidRPr="00680C3F" w:rsidRDefault="00680C3F" w:rsidP="00680C3F">
      <w:pPr>
        <w:ind w:firstLine="720"/>
        <w:jc w:val="both"/>
        <w:rPr>
          <w:rFonts w:ascii="Book Antiqua" w:hAnsi="Book Antiqua"/>
          <w:lang w:val="es-ES_tradnl"/>
        </w:rPr>
      </w:pPr>
      <w:r>
        <w:rPr>
          <w:rFonts w:ascii="Book Antiqua" w:hAnsi="Book Antiqua"/>
          <w:lang w:val="es-ES_tradnl"/>
        </w:rPr>
        <w:t xml:space="preserve">Entendemos que, nuestros profesionales de la salud pueden beneficiarse del conocimiento sobre las distintas discapacidades que existen y cómo abordar con un enfoque más humano y sensible a las personas que viven distinto del resto. Por ejemplo, el </w:t>
      </w:r>
      <w:r w:rsidRPr="00680C3F">
        <w:rPr>
          <w:rFonts w:ascii="Book Antiqua" w:hAnsi="Book Antiqua"/>
          <w:lang w:val="es-ES_tradnl"/>
        </w:rPr>
        <w:t xml:space="preserve">Sistema Braille </w:t>
      </w:r>
      <w:r w:rsidR="0091557D">
        <w:rPr>
          <w:rFonts w:ascii="Book Antiqua" w:hAnsi="Book Antiqua"/>
          <w:lang w:val="es-ES_tradnl"/>
        </w:rPr>
        <w:t>es</w:t>
      </w:r>
      <w:r w:rsidRPr="00680C3F">
        <w:rPr>
          <w:rFonts w:ascii="Book Antiqua" w:hAnsi="Book Antiqua"/>
          <w:lang w:val="es-ES_tradnl"/>
        </w:rPr>
        <w:t xml:space="preserve"> un sistema de lectura y escritura pensado para personas no videntes, basado en el sentido del tacto.</w:t>
      </w:r>
      <w:r>
        <w:rPr>
          <w:rFonts w:ascii="Book Antiqua" w:hAnsi="Book Antiqua"/>
          <w:lang w:val="es-ES_tradnl"/>
        </w:rPr>
        <w:t xml:space="preserve"> </w:t>
      </w:r>
      <w:r w:rsidRPr="00680C3F">
        <w:rPr>
          <w:rFonts w:ascii="Book Antiqua" w:hAnsi="Book Antiqua"/>
          <w:lang w:val="es-ES_tradnl"/>
        </w:rPr>
        <w:t xml:space="preserve">El Braille es una representación de símbolos alfabéticos y numéricos que utiliza seis </w:t>
      </w:r>
      <w:r w:rsidR="00F82C2B">
        <w:rPr>
          <w:rFonts w:ascii="Book Antiqua" w:hAnsi="Book Antiqua"/>
          <w:lang w:val="es-ES_tradnl"/>
        </w:rPr>
        <w:t xml:space="preserve">(6) </w:t>
      </w:r>
      <w:r w:rsidRPr="00680C3F">
        <w:rPr>
          <w:rFonts w:ascii="Book Antiqua" w:hAnsi="Book Antiqua"/>
          <w:lang w:val="es-ES_tradnl"/>
        </w:rPr>
        <w:t>puntos táctiles para representar cada letra y cada número, e incluso símbolos musicales, matemáticos y científicos.</w:t>
      </w:r>
      <w:r>
        <w:rPr>
          <w:rFonts w:ascii="Book Antiqua" w:hAnsi="Book Antiqua"/>
          <w:lang w:val="es-ES_tradnl"/>
        </w:rPr>
        <w:t xml:space="preserve"> </w:t>
      </w:r>
      <w:r w:rsidRPr="00680C3F">
        <w:rPr>
          <w:rFonts w:ascii="Book Antiqua" w:hAnsi="Book Antiqua"/>
          <w:lang w:val="es-ES_tradnl"/>
        </w:rPr>
        <w:t>Este sistema de escritura lo u</w:t>
      </w:r>
      <w:r w:rsidR="00F82C2B">
        <w:rPr>
          <w:rFonts w:ascii="Book Antiqua" w:hAnsi="Book Antiqua"/>
          <w:lang w:val="es-ES_tradnl"/>
        </w:rPr>
        <w:t>tiliz</w:t>
      </w:r>
      <w:r w:rsidRPr="00680C3F">
        <w:rPr>
          <w:rFonts w:ascii="Book Antiqua" w:hAnsi="Book Antiqua"/>
          <w:lang w:val="es-ES_tradnl"/>
        </w:rPr>
        <w:t xml:space="preserve">an las personas </w:t>
      </w:r>
      <w:r w:rsidR="0091557D">
        <w:rPr>
          <w:rFonts w:ascii="Book Antiqua" w:hAnsi="Book Antiqua"/>
          <w:lang w:val="es-ES_tradnl"/>
        </w:rPr>
        <w:t xml:space="preserve">con </w:t>
      </w:r>
      <w:proofErr w:type="gramStart"/>
      <w:r w:rsidR="0091557D">
        <w:rPr>
          <w:rFonts w:ascii="Book Antiqua" w:hAnsi="Book Antiqua"/>
          <w:lang w:val="es-ES_tradnl"/>
        </w:rPr>
        <w:t>discapacidad visual</w:t>
      </w:r>
      <w:r w:rsidRPr="00680C3F">
        <w:rPr>
          <w:rFonts w:ascii="Book Antiqua" w:hAnsi="Book Antiqua"/>
          <w:lang w:val="es-ES_tradnl"/>
        </w:rPr>
        <w:t xml:space="preserve"> o enfermedades visuales</w:t>
      </w:r>
      <w:proofErr w:type="gramEnd"/>
      <w:r w:rsidRPr="00680C3F">
        <w:rPr>
          <w:rFonts w:ascii="Book Antiqua" w:hAnsi="Book Antiqua"/>
          <w:lang w:val="es-ES_tradnl"/>
        </w:rPr>
        <w:t xml:space="preserve"> para leer, garantizando la comunicación de información de interés. El Braille es considerado un medio de comunicación que representa competencia, independencia e igualdad.</w:t>
      </w:r>
      <w:r>
        <w:rPr>
          <w:rFonts w:ascii="Book Antiqua" w:hAnsi="Book Antiqua"/>
          <w:lang w:val="es-ES_tradnl"/>
        </w:rPr>
        <w:t xml:space="preserve"> </w:t>
      </w:r>
      <w:r w:rsidRPr="00680C3F">
        <w:rPr>
          <w:rFonts w:ascii="Book Antiqua" w:hAnsi="Book Antiqua"/>
          <w:lang w:val="es-ES_tradnl"/>
        </w:rPr>
        <w:t>Es así como el artículo 2 de la Convención sobre los Derechos de las Personas con Discapacidad</w:t>
      </w:r>
      <w:r>
        <w:rPr>
          <w:rStyle w:val="Refdenotaalpie"/>
          <w:rFonts w:ascii="Book Antiqua" w:hAnsi="Book Antiqua"/>
          <w:lang w:val="es-ES_tradnl"/>
        </w:rPr>
        <w:footnoteReference w:id="1"/>
      </w:r>
      <w:r w:rsidRPr="00680C3F">
        <w:rPr>
          <w:rFonts w:ascii="Book Antiqua" w:hAnsi="Book Antiqua"/>
          <w:lang w:val="es-ES_tradnl"/>
        </w:rPr>
        <w:t>, manifiesta que el Sistema Braille es la única posibilidad de acceso a la educación, la libertad de expresión, opinión y a la información escrita, demostrando la inclusión social para personas ciegas.</w:t>
      </w:r>
    </w:p>
    <w:p w14:paraId="5F54C312" w14:textId="77777777" w:rsidR="00680C3F" w:rsidRPr="00680C3F" w:rsidRDefault="00680C3F" w:rsidP="00680C3F">
      <w:pPr>
        <w:ind w:firstLine="720"/>
        <w:jc w:val="both"/>
        <w:rPr>
          <w:rFonts w:ascii="Book Antiqua" w:hAnsi="Book Antiqua"/>
          <w:lang w:val="es-ES_tradnl"/>
        </w:rPr>
      </w:pPr>
    </w:p>
    <w:p w14:paraId="2BE68403" w14:textId="4B905EF4" w:rsidR="00680C3F" w:rsidRDefault="00680C3F" w:rsidP="00680C3F">
      <w:pPr>
        <w:ind w:firstLine="720"/>
        <w:jc w:val="both"/>
        <w:rPr>
          <w:rFonts w:ascii="Book Antiqua" w:hAnsi="Book Antiqua"/>
          <w:lang w:val="es-ES_tradnl"/>
        </w:rPr>
      </w:pPr>
      <w:r>
        <w:rPr>
          <w:rFonts w:ascii="Book Antiqua" w:hAnsi="Book Antiqua"/>
          <w:lang w:val="es-ES_tradnl"/>
        </w:rPr>
        <w:t xml:space="preserve">Por otra parte, el lenguaje de </w:t>
      </w:r>
      <w:r w:rsidRPr="00680C3F">
        <w:rPr>
          <w:rFonts w:ascii="Book Antiqua" w:hAnsi="Book Antiqua"/>
          <w:lang w:val="es-ES_tradnl"/>
        </w:rPr>
        <w:t>señas o lengua</w:t>
      </w:r>
      <w:r>
        <w:rPr>
          <w:rFonts w:ascii="Book Antiqua" w:hAnsi="Book Antiqua"/>
          <w:lang w:val="es-ES_tradnl"/>
        </w:rPr>
        <w:t>je</w:t>
      </w:r>
      <w:r w:rsidRPr="00680C3F">
        <w:rPr>
          <w:rFonts w:ascii="Book Antiqua" w:hAnsi="Book Antiqua"/>
          <w:lang w:val="es-ES_tradnl"/>
        </w:rPr>
        <w:t xml:space="preserve"> de signos es una lengua natural de personas con alguna discapacidad relacionada con la sordera, ceguera </w:t>
      </w:r>
      <w:r w:rsidR="00073620" w:rsidRPr="00680C3F">
        <w:rPr>
          <w:rFonts w:ascii="Book Antiqua" w:hAnsi="Book Antiqua"/>
          <w:lang w:val="es-ES_tradnl"/>
        </w:rPr>
        <w:t>o falta</w:t>
      </w:r>
      <w:r w:rsidRPr="00680C3F">
        <w:rPr>
          <w:rFonts w:ascii="Book Antiqua" w:hAnsi="Book Antiqua"/>
          <w:lang w:val="es-ES_tradnl"/>
        </w:rPr>
        <w:t xml:space="preserve"> del habla. </w:t>
      </w:r>
      <w:r w:rsidR="0091557D">
        <w:rPr>
          <w:rFonts w:ascii="Book Antiqua" w:hAnsi="Book Antiqua"/>
          <w:lang w:val="es-ES_tradnl"/>
        </w:rPr>
        <w:t>El</w:t>
      </w:r>
      <w:r w:rsidRPr="00680C3F">
        <w:rPr>
          <w:rFonts w:ascii="Book Antiqua" w:hAnsi="Book Antiqua"/>
          <w:lang w:val="es-ES_tradnl"/>
        </w:rPr>
        <w:t xml:space="preserve"> lengua</w:t>
      </w:r>
      <w:r w:rsidR="0091557D">
        <w:rPr>
          <w:rFonts w:ascii="Book Antiqua" w:hAnsi="Book Antiqua"/>
          <w:lang w:val="es-ES_tradnl"/>
        </w:rPr>
        <w:t>je</w:t>
      </w:r>
      <w:r w:rsidRPr="00680C3F">
        <w:rPr>
          <w:rFonts w:ascii="Book Antiqua" w:hAnsi="Book Antiqua"/>
          <w:lang w:val="es-ES_tradnl"/>
        </w:rPr>
        <w:t xml:space="preserve"> de señas es una lengua como cualquier otra, y cumple con la mayoría de las leyes de </w:t>
      </w:r>
      <w:r w:rsidR="00073620" w:rsidRPr="00680C3F">
        <w:rPr>
          <w:rFonts w:ascii="Book Antiqua" w:hAnsi="Book Antiqua"/>
          <w:lang w:val="es-ES_tradnl"/>
        </w:rPr>
        <w:t>lingüística.</w:t>
      </w:r>
      <w:r w:rsidRPr="00680C3F">
        <w:rPr>
          <w:rFonts w:ascii="Book Antiqua" w:hAnsi="Book Antiqua"/>
          <w:lang w:val="es-ES_tradnl"/>
        </w:rPr>
        <w:t xml:space="preserve"> Se desarrolla en el entorno social y comunidad de los usuarios, facilitando sus necesidades comunicativas, social</w:t>
      </w:r>
      <w:r w:rsidR="0091557D">
        <w:rPr>
          <w:rFonts w:ascii="Book Antiqua" w:hAnsi="Book Antiqua"/>
          <w:lang w:val="es-ES_tradnl"/>
        </w:rPr>
        <w:t>es</w:t>
      </w:r>
      <w:r w:rsidRPr="00680C3F">
        <w:rPr>
          <w:rFonts w:ascii="Book Antiqua" w:hAnsi="Book Antiqua"/>
          <w:lang w:val="es-ES_tradnl"/>
        </w:rPr>
        <w:t xml:space="preserve"> y cultural</w:t>
      </w:r>
      <w:r w:rsidR="0091557D">
        <w:rPr>
          <w:rFonts w:ascii="Book Antiqua" w:hAnsi="Book Antiqua"/>
          <w:lang w:val="es-ES_tradnl"/>
        </w:rPr>
        <w:t>es</w:t>
      </w:r>
      <w:r w:rsidRPr="00680C3F">
        <w:rPr>
          <w:rFonts w:ascii="Book Antiqua" w:hAnsi="Book Antiqua"/>
          <w:lang w:val="es-ES_tradnl"/>
        </w:rPr>
        <w:t>. Este sistema de comunicación utiliza un canal gesto-viso-espacial.</w:t>
      </w:r>
      <w:r w:rsidR="00073620">
        <w:rPr>
          <w:rFonts w:ascii="Book Antiqua" w:hAnsi="Book Antiqua"/>
          <w:lang w:val="es-ES_tradnl"/>
        </w:rPr>
        <w:t xml:space="preserve"> </w:t>
      </w:r>
      <w:r w:rsidR="00073620" w:rsidRPr="00073620">
        <w:rPr>
          <w:rFonts w:ascii="Book Antiqua" w:hAnsi="Book Antiqua"/>
          <w:lang w:val="es-ES_tradnl"/>
        </w:rPr>
        <w:t xml:space="preserve">La expresión del lenguaje de </w:t>
      </w:r>
      <w:r w:rsidR="00DF5BFA" w:rsidRPr="00073620">
        <w:rPr>
          <w:rFonts w:ascii="Book Antiqua" w:hAnsi="Book Antiqua"/>
          <w:lang w:val="es-ES_tradnl"/>
        </w:rPr>
        <w:t>señas</w:t>
      </w:r>
      <w:r w:rsidR="00073620" w:rsidRPr="00073620">
        <w:rPr>
          <w:rFonts w:ascii="Book Antiqua" w:hAnsi="Book Antiqua"/>
          <w:lang w:val="es-ES_tradnl"/>
        </w:rPr>
        <w:t xml:space="preserve"> se da por medio de representación ideografías y de dactilología. Esta última, representa una asimilación del abecedario, manifestado en las formas de las manos o los cuerpos.</w:t>
      </w:r>
    </w:p>
    <w:p w14:paraId="002280FA" w14:textId="77777777" w:rsidR="00DE3E58" w:rsidRPr="00B83485" w:rsidRDefault="00DE3E58" w:rsidP="00073620">
      <w:pPr>
        <w:jc w:val="both"/>
        <w:rPr>
          <w:rFonts w:ascii="Book Antiqua" w:hAnsi="Book Antiqua"/>
          <w:lang w:val="es-ES_tradnl"/>
        </w:rPr>
      </w:pPr>
    </w:p>
    <w:p w14:paraId="46BAA952" w14:textId="6A52238E" w:rsidR="00B83485" w:rsidRDefault="00B83485" w:rsidP="00DF5BFA">
      <w:pPr>
        <w:ind w:firstLine="720"/>
        <w:jc w:val="both"/>
        <w:rPr>
          <w:rFonts w:ascii="Book Antiqua" w:hAnsi="Book Antiqua"/>
          <w:lang w:val="es-ES_tradnl"/>
        </w:rPr>
      </w:pPr>
      <w:r w:rsidRPr="00B83485">
        <w:rPr>
          <w:rFonts w:ascii="Book Antiqua" w:hAnsi="Book Antiqua"/>
          <w:lang w:val="es-ES_tradnl"/>
        </w:rPr>
        <w:t xml:space="preserve">El </w:t>
      </w:r>
      <w:r w:rsidR="00F82C2B">
        <w:rPr>
          <w:rFonts w:ascii="Book Antiqua" w:hAnsi="Book Antiqua"/>
          <w:lang w:val="es-ES_tradnl"/>
        </w:rPr>
        <w:t>G</w:t>
      </w:r>
      <w:r w:rsidRPr="00B83485">
        <w:rPr>
          <w:rFonts w:ascii="Book Antiqua" w:hAnsi="Book Antiqua"/>
          <w:lang w:val="es-ES_tradnl"/>
        </w:rPr>
        <w:t xml:space="preserve">obierno de Puerto Rico se ha posicionado reiteradamente a favor de prohibir el discrimen en todas sus manifestaciones, incluyendo el discrimen por </w:t>
      </w:r>
      <w:r w:rsidR="00073620">
        <w:rPr>
          <w:rFonts w:ascii="Book Antiqua" w:hAnsi="Book Antiqua"/>
          <w:lang w:val="es-ES_tradnl"/>
        </w:rPr>
        <w:t>discapacidad en todas sus facetas. Es necesario, sensibilizar y hacer más accesible los conocimientos dirigidos al trato, cuidado y atención de las personas con discapacidad</w:t>
      </w:r>
      <w:r w:rsidR="0091557D">
        <w:rPr>
          <w:rFonts w:ascii="Book Antiqua" w:hAnsi="Book Antiqua"/>
          <w:lang w:val="es-ES_tradnl"/>
        </w:rPr>
        <w:t>es</w:t>
      </w:r>
      <w:r w:rsidR="00073620">
        <w:rPr>
          <w:rFonts w:ascii="Book Antiqua" w:hAnsi="Book Antiqua"/>
          <w:lang w:val="es-ES_tradnl"/>
        </w:rPr>
        <w:t xml:space="preserve">. Además, la comunidad médica se beneficiará de adquirir más conocimientos que propenderán en </w:t>
      </w:r>
      <w:r w:rsidR="00073620">
        <w:rPr>
          <w:rFonts w:ascii="Book Antiqua" w:hAnsi="Book Antiqua"/>
          <w:lang w:val="es-ES_tradnl"/>
        </w:rPr>
        <w:lastRenderedPageBreak/>
        <w:t>una mejor preparación y técnica de comunicación dirigida a las poblaciones con discapacidad</w:t>
      </w:r>
      <w:r w:rsidR="0091557D">
        <w:rPr>
          <w:rFonts w:ascii="Book Antiqua" w:hAnsi="Book Antiqua"/>
          <w:lang w:val="es-ES_tradnl"/>
        </w:rPr>
        <w:t>es</w:t>
      </w:r>
      <w:r w:rsidR="00073620">
        <w:rPr>
          <w:rFonts w:ascii="Book Antiqua" w:hAnsi="Book Antiqua"/>
          <w:lang w:val="es-ES_tradnl"/>
        </w:rPr>
        <w:t xml:space="preserve"> en Puerto Rico. </w:t>
      </w:r>
    </w:p>
    <w:p w14:paraId="01FE98F8" w14:textId="77777777" w:rsidR="00DE3E58" w:rsidRPr="00B83485" w:rsidRDefault="00DE3E58" w:rsidP="00DE3E58">
      <w:pPr>
        <w:ind w:firstLine="360"/>
        <w:jc w:val="both"/>
        <w:rPr>
          <w:rFonts w:ascii="Book Antiqua" w:hAnsi="Book Antiqua"/>
          <w:lang w:val="es-ES_tradnl"/>
        </w:rPr>
      </w:pPr>
    </w:p>
    <w:p w14:paraId="1F3F0C5B" w14:textId="3A4A3CC4" w:rsidR="00B83485" w:rsidRDefault="00B83485" w:rsidP="002812D6">
      <w:pPr>
        <w:ind w:firstLine="720"/>
        <w:jc w:val="both"/>
        <w:rPr>
          <w:rFonts w:ascii="Book Antiqua" w:hAnsi="Book Antiqua"/>
          <w:lang w:val="es-ES_tradnl"/>
        </w:rPr>
      </w:pPr>
      <w:r w:rsidRPr="00B83485">
        <w:rPr>
          <w:rFonts w:ascii="Book Antiqua" w:hAnsi="Book Antiqua"/>
          <w:lang w:val="es-ES_tradnl"/>
        </w:rPr>
        <w:t xml:space="preserve">Integrar el conocimiento científico </w:t>
      </w:r>
      <w:r w:rsidR="002C1B17">
        <w:rPr>
          <w:rFonts w:ascii="Book Antiqua" w:hAnsi="Book Antiqua"/>
          <w:lang w:val="es-ES_tradnl"/>
        </w:rPr>
        <w:t>sobre la</w:t>
      </w:r>
      <w:r w:rsidR="0091557D">
        <w:rPr>
          <w:rFonts w:ascii="Book Antiqua" w:hAnsi="Book Antiqua"/>
          <w:lang w:val="es-ES_tradnl"/>
        </w:rPr>
        <w:t>s</w:t>
      </w:r>
      <w:r w:rsidR="002C1B17">
        <w:rPr>
          <w:rFonts w:ascii="Book Antiqua" w:hAnsi="Book Antiqua"/>
          <w:lang w:val="es-ES_tradnl"/>
        </w:rPr>
        <w:t xml:space="preserve"> discapacidad</w:t>
      </w:r>
      <w:r w:rsidR="0091557D">
        <w:rPr>
          <w:rFonts w:ascii="Book Antiqua" w:hAnsi="Book Antiqua"/>
          <w:lang w:val="es-ES_tradnl"/>
        </w:rPr>
        <w:t>es</w:t>
      </w:r>
      <w:r w:rsidR="002C1B17">
        <w:rPr>
          <w:rFonts w:ascii="Book Antiqua" w:hAnsi="Book Antiqua"/>
          <w:lang w:val="es-ES_tradnl"/>
        </w:rPr>
        <w:t xml:space="preserve"> en todas sus </w:t>
      </w:r>
      <w:r w:rsidR="0091557D">
        <w:rPr>
          <w:rFonts w:ascii="Book Antiqua" w:hAnsi="Book Antiqua"/>
          <w:lang w:val="es-ES_tradnl"/>
        </w:rPr>
        <w:t>modalidades</w:t>
      </w:r>
      <w:r w:rsidR="002C1B17">
        <w:rPr>
          <w:rFonts w:ascii="Book Antiqua" w:hAnsi="Book Antiqua"/>
          <w:lang w:val="es-ES_tradnl"/>
        </w:rPr>
        <w:t xml:space="preserve">, el lenguaje de señas y el </w:t>
      </w:r>
      <w:r w:rsidR="00F82C2B">
        <w:rPr>
          <w:rFonts w:ascii="Book Antiqua" w:hAnsi="Book Antiqua"/>
          <w:lang w:val="es-ES_tradnl"/>
        </w:rPr>
        <w:t>S</w:t>
      </w:r>
      <w:r w:rsidR="002C1B17">
        <w:rPr>
          <w:rFonts w:ascii="Book Antiqua" w:hAnsi="Book Antiqua"/>
          <w:lang w:val="es-ES_tradnl"/>
        </w:rPr>
        <w:t xml:space="preserve">istema </w:t>
      </w:r>
      <w:r w:rsidR="00F82C2B">
        <w:rPr>
          <w:rFonts w:ascii="Book Antiqua" w:hAnsi="Book Antiqua"/>
          <w:lang w:val="es-ES_tradnl"/>
        </w:rPr>
        <w:t>B</w:t>
      </w:r>
      <w:r w:rsidR="002C1B17">
        <w:rPr>
          <w:rFonts w:ascii="Book Antiqua" w:hAnsi="Book Antiqua"/>
          <w:lang w:val="es-ES_tradnl"/>
        </w:rPr>
        <w:t xml:space="preserve">raille </w:t>
      </w:r>
      <w:r w:rsidRPr="00B83485">
        <w:rPr>
          <w:rFonts w:ascii="Book Antiqua" w:hAnsi="Book Antiqua"/>
          <w:lang w:val="es-ES_tradnl"/>
        </w:rPr>
        <w:t xml:space="preserve">a la educación continua es un paso adicional necesario hacia la transformación del pensamiento y de la sociedad. En la medida en que proveedores y profesionales de la salud se adiestren y obtengan una mejor comprensión de las complejidades y diferentes manifestaciones de </w:t>
      </w:r>
      <w:r w:rsidR="002C1B17">
        <w:rPr>
          <w:rFonts w:ascii="Book Antiqua" w:hAnsi="Book Antiqua"/>
          <w:lang w:val="es-ES_tradnl"/>
        </w:rPr>
        <w:t>las discapacidades</w:t>
      </w:r>
      <w:r w:rsidRPr="00B83485">
        <w:rPr>
          <w:rFonts w:ascii="Book Antiqua" w:hAnsi="Book Antiqua"/>
          <w:lang w:val="es-ES_tradnl"/>
        </w:rPr>
        <w:t>, podrán implementar cambios en sus prácticas e intervenciones que propendan en un mayor bienestar de las poblaciones que atienden.</w:t>
      </w:r>
    </w:p>
    <w:p w14:paraId="50C9C39F" w14:textId="77777777" w:rsidR="00DE3E58" w:rsidRDefault="00DE3E58" w:rsidP="00DE3E58">
      <w:pPr>
        <w:ind w:firstLine="360"/>
        <w:jc w:val="both"/>
        <w:rPr>
          <w:rFonts w:ascii="Book Antiqua" w:hAnsi="Book Antiqua"/>
          <w:lang w:val="es-ES_tradnl"/>
        </w:rPr>
      </w:pPr>
    </w:p>
    <w:p w14:paraId="67627CF5" w14:textId="77777777" w:rsidR="00B83485" w:rsidRDefault="00B83485" w:rsidP="00DE3E58">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860A6CF" w14:textId="77777777" w:rsidR="00B83485" w:rsidRDefault="00B83485" w:rsidP="00B83485">
      <w:pPr>
        <w:spacing w:line="480" w:lineRule="auto"/>
        <w:jc w:val="both"/>
        <w:rPr>
          <w:rFonts w:ascii="Book Antiqua" w:hAnsi="Book Antiqua"/>
          <w:lang w:val="es-ES_tradnl"/>
        </w:rPr>
        <w:sectPr w:rsidR="00B83485">
          <w:headerReference w:type="even" r:id="rId8"/>
          <w:headerReference w:type="default" r:id="rId9"/>
          <w:type w:val="continuous"/>
          <w:pgSz w:w="12240" w:h="15840" w:code="1"/>
          <w:pgMar w:top="1440" w:right="1440" w:bottom="1440" w:left="1440" w:header="720" w:footer="720" w:gutter="0"/>
          <w:cols w:space="720"/>
          <w:titlePg/>
        </w:sectPr>
      </w:pPr>
    </w:p>
    <w:p w14:paraId="3EEC2AF1" w14:textId="3B00608B" w:rsidR="00B83485" w:rsidRPr="00B83485" w:rsidRDefault="002812D6" w:rsidP="002812D6">
      <w:pPr>
        <w:spacing w:line="480" w:lineRule="auto"/>
        <w:ind w:firstLine="720"/>
        <w:jc w:val="both"/>
        <w:rPr>
          <w:rFonts w:ascii="Book Antiqua" w:hAnsi="Book Antiqua"/>
          <w:lang w:val="es-ES_tradnl"/>
        </w:rPr>
      </w:pPr>
      <w:r>
        <w:rPr>
          <w:rFonts w:ascii="Book Antiqua" w:hAnsi="Book Antiqua"/>
          <w:lang w:val="es-ES_tradnl"/>
        </w:rPr>
        <w:t>Sección 1.-</w:t>
      </w:r>
      <w:r w:rsidR="00B83485" w:rsidRPr="00B83485">
        <w:rPr>
          <w:rFonts w:ascii="Book Antiqua" w:hAnsi="Book Antiqua"/>
          <w:lang w:val="es-ES_tradnl"/>
        </w:rPr>
        <w:t xml:space="preserve">Se ordena al Departamento de Salud de Puerto Rico, a través de su Oficina de Reglamentación y Certificación de los Profesionales de Salud y a través de cualquier entidad encargada de expedir licencias a los profesionales de la salud o de certificar el cumplimiento con los respectivos programas de educación continua, requerir créditos de educación continua a los profesionales de la salud en temáticas sobre </w:t>
      </w:r>
      <w:r w:rsidR="002C1B17">
        <w:rPr>
          <w:rFonts w:ascii="Book Antiqua" w:hAnsi="Book Antiqua"/>
          <w:lang w:val="es-ES_tradnl"/>
        </w:rPr>
        <w:t xml:space="preserve">discapacidad en todas sus </w:t>
      </w:r>
      <w:r w:rsidR="0091557D">
        <w:rPr>
          <w:rFonts w:ascii="Book Antiqua" w:hAnsi="Book Antiqua"/>
          <w:lang w:val="es-ES_tradnl"/>
        </w:rPr>
        <w:t>modalidades</w:t>
      </w:r>
      <w:r w:rsidR="002C1B17">
        <w:rPr>
          <w:rFonts w:ascii="Book Antiqua" w:hAnsi="Book Antiqua"/>
          <w:lang w:val="es-ES_tradnl"/>
        </w:rPr>
        <w:t xml:space="preserve">, lenguaje de señas y </w:t>
      </w:r>
      <w:r w:rsidR="00F82C2B">
        <w:rPr>
          <w:rFonts w:ascii="Book Antiqua" w:hAnsi="Book Antiqua"/>
          <w:lang w:val="es-ES_tradnl"/>
        </w:rPr>
        <w:t>S</w:t>
      </w:r>
      <w:r w:rsidR="002C1B17">
        <w:rPr>
          <w:rFonts w:ascii="Book Antiqua" w:hAnsi="Book Antiqua"/>
          <w:lang w:val="es-ES_tradnl"/>
        </w:rPr>
        <w:t xml:space="preserve">istema </w:t>
      </w:r>
      <w:r w:rsidR="00F82C2B">
        <w:rPr>
          <w:rFonts w:ascii="Book Antiqua" w:hAnsi="Book Antiqua"/>
          <w:lang w:val="es-ES_tradnl"/>
        </w:rPr>
        <w:t>B</w:t>
      </w:r>
      <w:r w:rsidR="002C1B17">
        <w:rPr>
          <w:rFonts w:ascii="Book Antiqua" w:hAnsi="Book Antiqua"/>
          <w:lang w:val="es-ES_tradnl"/>
        </w:rPr>
        <w:t xml:space="preserve">raille. </w:t>
      </w:r>
    </w:p>
    <w:p w14:paraId="05382DEE" w14:textId="77777777" w:rsidR="00B83485" w:rsidRPr="00B83485" w:rsidRDefault="002812D6" w:rsidP="002812D6">
      <w:pPr>
        <w:spacing w:line="480" w:lineRule="auto"/>
        <w:ind w:firstLine="720"/>
        <w:jc w:val="both"/>
        <w:rPr>
          <w:rFonts w:ascii="Book Antiqua" w:hAnsi="Book Antiqua"/>
          <w:lang w:val="es-ES_tradnl"/>
        </w:rPr>
      </w:pPr>
      <w:r>
        <w:rPr>
          <w:rFonts w:ascii="Book Antiqua" w:hAnsi="Book Antiqua"/>
          <w:lang w:val="es-ES_tradnl"/>
        </w:rPr>
        <w:t>Sección 2.-</w:t>
      </w:r>
      <w:r w:rsidR="00B83485" w:rsidRPr="00B83485">
        <w:rPr>
          <w:rFonts w:ascii="Book Antiqua" w:hAnsi="Book Antiqua"/>
          <w:lang w:val="es-ES_tradnl"/>
        </w:rPr>
        <w:t>Esta Resolución Conjunta entrará en vigor inmediatamente después de su aprobación.</w:t>
      </w:r>
    </w:p>
    <w:sectPr w:rsidR="00B83485" w:rsidRPr="00B83485" w:rsidSect="00B8348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5EAC5" w14:textId="77777777" w:rsidR="003C015E" w:rsidRDefault="003C015E">
      <w:r>
        <w:separator/>
      </w:r>
    </w:p>
  </w:endnote>
  <w:endnote w:type="continuationSeparator" w:id="0">
    <w:p w14:paraId="67B68051" w14:textId="77777777" w:rsidR="003C015E" w:rsidRDefault="003C0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32DD5" w14:textId="77777777" w:rsidR="003C015E" w:rsidRDefault="003C015E">
      <w:r>
        <w:separator/>
      </w:r>
    </w:p>
  </w:footnote>
  <w:footnote w:type="continuationSeparator" w:id="0">
    <w:p w14:paraId="5674D59D" w14:textId="77777777" w:rsidR="003C015E" w:rsidRDefault="003C015E">
      <w:r>
        <w:continuationSeparator/>
      </w:r>
    </w:p>
  </w:footnote>
  <w:footnote w:id="1">
    <w:p w14:paraId="0E4C6BE5" w14:textId="6D28756D" w:rsidR="00680C3F" w:rsidRPr="00680C3F" w:rsidRDefault="00680C3F" w:rsidP="00680C3F">
      <w:pPr>
        <w:pStyle w:val="Textonotapie"/>
        <w:jc w:val="both"/>
        <w:rPr>
          <w:rFonts w:ascii="Book Antiqua" w:hAnsi="Book Antiqua"/>
          <w:lang w:val="es-PR"/>
        </w:rPr>
      </w:pPr>
      <w:r w:rsidRPr="00680C3F">
        <w:rPr>
          <w:rStyle w:val="Refdenotaalpie"/>
          <w:rFonts w:ascii="Book Antiqua" w:hAnsi="Book Antiqua"/>
        </w:rPr>
        <w:footnoteRef/>
      </w:r>
      <w:r w:rsidRPr="00680C3F">
        <w:rPr>
          <w:rFonts w:ascii="Book Antiqua" w:hAnsi="Book Antiqua"/>
          <w:lang w:val="es-PR"/>
        </w:rPr>
        <w:t xml:space="preserve"> Véase: </w:t>
      </w:r>
      <w:hyperlink r:id="rId1" w:history="1">
        <w:r w:rsidRPr="00680C3F">
          <w:rPr>
            <w:rStyle w:val="Hipervnculo"/>
            <w:rFonts w:ascii="Book Antiqua" w:hAnsi="Book Antiqua"/>
            <w:lang w:val="es-PR"/>
          </w:rPr>
          <w:t>https://www.un.org/esa/socdev/enable/documents/tccconvs.pdf</w:t>
        </w:r>
      </w:hyperlink>
      <w:r w:rsidRPr="00680C3F">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3825A" w14:textId="21F5C669" w:rsidR="00FE3E1F" w:rsidRDefault="00BD6D27">
    <w:pPr>
      <w:pStyle w:val="Encabezado"/>
    </w:pPr>
    <w:r>
      <w:rPr>
        <w:noProof/>
      </w:rPr>
      <w:pict w14:anchorId="752EDD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44693360" o:spid="_x0000_s1026" type="#_x0000_t136" style="position:absolute;margin-left:0;margin-top:0;width:565.55pt;height:94.25pt;rotation:315;z-index:-251658752;mso-position-horizontal:center;mso-position-horizontal-relative:margin;mso-position-vertical:center;mso-position-vertical-relative:margin" o:allowincell="f" fillcolor="silver" stroked="f">
          <v:fill opacity=".5"/>
          <v:textpath style="font-family:&quot;Times New Roman&quot;;font-size:1pt" string="BORRADOR ACV"/>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485EA" w14:textId="2656D60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812D6">
      <w:rPr>
        <w:rStyle w:val="Nmerodepgina"/>
        <w:noProof/>
      </w:rPr>
      <w:t>3</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83485"/>
    <w:rsid w:val="0001046B"/>
    <w:rsid w:val="00020BBB"/>
    <w:rsid w:val="0002621F"/>
    <w:rsid w:val="00056024"/>
    <w:rsid w:val="00073620"/>
    <w:rsid w:val="00091A3E"/>
    <w:rsid w:val="00095AE1"/>
    <w:rsid w:val="000A6B6C"/>
    <w:rsid w:val="000B0DBB"/>
    <w:rsid w:val="00111E71"/>
    <w:rsid w:val="001251A4"/>
    <w:rsid w:val="00127C6A"/>
    <w:rsid w:val="001363FE"/>
    <w:rsid w:val="0017132B"/>
    <w:rsid w:val="00196473"/>
    <w:rsid w:val="001F4CA3"/>
    <w:rsid w:val="001F612A"/>
    <w:rsid w:val="00211396"/>
    <w:rsid w:val="00226AE6"/>
    <w:rsid w:val="00245B34"/>
    <w:rsid w:val="00263355"/>
    <w:rsid w:val="0026429A"/>
    <w:rsid w:val="00273792"/>
    <w:rsid w:val="002812D6"/>
    <w:rsid w:val="002C1B17"/>
    <w:rsid w:val="002D4AC8"/>
    <w:rsid w:val="002E6DB1"/>
    <w:rsid w:val="003121EF"/>
    <w:rsid w:val="00320D78"/>
    <w:rsid w:val="00380FE5"/>
    <w:rsid w:val="00384BC2"/>
    <w:rsid w:val="003924DD"/>
    <w:rsid w:val="00394FCB"/>
    <w:rsid w:val="003963F4"/>
    <w:rsid w:val="003A1EFE"/>
    <w:rsid w:val="003B5254"/>
    <w:rsid w:val="003B75A6"/>
    <w:rsid w:val="003C015E"/>
    <w:rsid w:val="004061CA"/>
    <w:rsid w:val="00415689"/>
    <w:rsid w:val="004440CB"/>
    <w:rsid w:val="004713D2"/>
    <w:rsid w:val="00521639"/>
    <w:rsid w:val="00532BB7"/>
    <w:rsid w:val="005332E4"/>
    <w:rsid w:val="0053550C"/>
    <w:rsid w:val="00555018"/>
    <w:rsid w:val="005723DC"/>
    <w:rsid w:val="006210DC"/>
    <w:rsid w:val="0064349D"/>
    <w:rsid w:val="00653EED"/>
    <w:rsid w:val="00680C3F"/>
    <w:rsid w:val="00685549"/>
    <w:rsid w:val="006B7365"/>
    <w:rsid w:val="006C2D81"/>
    <w:rsid w:val="006C7DF8"/>
    <w:rsid w:val="006D5CE9"/>
    <w:rsid w:val="00750FC8"/>
    <w:rsid w:val="007533D0"/>
    <w:rsid w:val="00755069"/>
    <w:rsid w:val="007B0660"/>
    <w:rsid w:val="007E3868"/>
    <w:rsid w:val="00813127"/>
    <w:rsid w:val="00820C41"/>
    <w:rsid w:val="00850256"/>
    <w:rsid w:val="008533DD"/>
    <w:rsid w:val="008E1E9A"/>
    <w:rsid w:val="0090779B"/>
    <w:rsid w:val="0091557D"/>
    <w:rsid w:val="0092638E"/>
    <w:rsid w:val="0093686F"/>
    <w:rsid w:val="00942FD4"/>
    <w:rsid w:val="00951997"/>
    <w:rsid w:val="00990352"/>
    <w:rsid w:val="00A03405"/>
    <w:rsid w:val="00A1528A"/>
    <w:rsid w:val="00A33918"/>
    <w:rsid w:val="00A5166C"/>
    <w:rsid w:val="00A7629F"/>
    <w:rsid w:val="00AF0CEE"/>
    <w:rsid w:val="00AF45A6"/>
    <w:rsid w:val="00B667AD"/>
    <w:rsid w:val="00B83485"/>
    <w:rsid w:val="00B84C38"/>
    <w:rsid w:val="00B86C00"/>
    <w:rsid w:val="00B9367F"/>
    <w:rsid w:val="00B947F6"/>
    <w:rsid w:val="00BA50ED"/>
    <w:rsid w:val="00BD4ADB"/>
    <w:rsid w:val="00BD6D27"/>
    <w:rsid w:val="00BF16AA"/>
    <w:rsid w:val="00C354B8"/>
    <w:rsid w:val="00C52517"/>
    <w:rsid w:val="00C60921"/>
    <w:rsid w:val="00C62936"/>
    <w:rsid w:val="00C653F2"/>
    <w:rsid w:val="00C679E6"/>
    <w:rsid w:val="00C908F9"/>
    <w:rsid w:val="00CA0917"/>
    <w:rsid w:val="00CA1099"/>
    <w:rsid w:val="00CB41EC"/>
    <w:rsid w:val="00D417C2"/>
    <w:rsid w:val="00D60936"/>
    <w:rsid w:val="00D709EB"/>
    <w:rsid w:val="00D74714"/>
    <w:rsid w:val="00D82F3F"/>
    <w:rsid w:val="00D921C6"/>
    <w:rsid w:val="00D958C2"/>
    <w:rsid w:val="00DD4582"/>
    <w:rsid w:val="00DE3E58"/>
    <w:rsid w:val="00DF5BFA"/>
    <w:rsid w:val="00E04AB5"/>
    <w:rsid w:val="00E318C2"/>
    <w:rsid w:val="00E50EEA"/>
    <w:rsid w:val="00E52F58"/>
    <w:rsid w:val="00EC26AA"/>
    <w:rsid w:val="00ED3E05"/>
    <w:rsid w:val="00ED7A53"/>
    <w:rsid w:val="00EE4273"/>
    <w:rsid w:val="00F02004"/>
    <w:rsid w:val="00F042CB"/>
    <w:rsid w:val="00F60A20"/>
    <w:rsid w:val="00F82C2B"/>
    <w:rsid w:val="00F93792"/>
    <w:rsid w:val="00FA4F23"/>
    <w:rsid w:val="00FC0A95"/>
    <w:rsid w:val="00FC3D9C"/>
    <w:rsid w:val="00FE3E1F"/>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47103"/>
  <w15:chartTrackingRefBased/>
  <w15:docId w15:val="{C802E133-A960-4369-943D-6A737D98F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notapie">
    <w:name w:val="footnote text"/>
    <w:basedOn w:val="Normal"/>
    <w:link w:val="TextonotapieCar"/>
    <w:uiPriority w:val="99"/>
    <w:semiHidden/>
    <w:unhideWhenUsed/>
    <w:rsid w:val="00680C3F"/>
    <w:rPr>
      <w:sz w:val="20"/>
    </w:rPr>
  </w:style>
  <w:style w:type="character" w:customStyle="1" w:styleId="TextonotapieCar">
    <w:name w:val="Texto nota pie Car"/>
    <w:basedOn w:val="Fuentedeprrafopredeter"/>
    <w:link w:val="Textonotapie"/>
    <w:uiPriority w:val="99"/>
    <w:semiHidden/>
    <w:rsid w:val="00680C3F"/>
  </w:style>
  <w:style w:type="character" w:styleId="Refdenotaalpie">
    <w:name w:val="footnote reference"/>
    <w:basedOn w:val="Fuentedeprrafopredeter"/>
    <w:uiPriority w:val="99"/>
    <w:semiHidden/>
    <w:unhideWhenUsed/>
    <w:rsid w:val="00680C3F"/>
    <w:rPr>
      <w:vertAlign w:val="superscript"/>
    </w:rPr>
  </w:style>
  <w:style w:type="character" w:styleId="Hipervnculo">
    <w:name w:val="Hyperlink"/>
    <w:basedOn w:val="Fuentedeprrafopredeter"/>
    <w:uiPriority w:val="99"/>
    <w:unhideWhenUsed/>
    <w:rsid w:val="00680C3F"/>
    <w:rPr>
      <w:color w:val="0563C1" w:themeColor="hyperlink"/>
      <w:u w:val="single"/>
    </w:rPr>
  </w:style>
  <w:style w:type="character" w:styleId="Mencinsinresolver">
    <w:name w:val="Unresolved Mention"/>
    <w:basedOn w:val="Fuentedeprrafopredeter"/>
    <w:uiPriority w:val="99"/>
    <w:semiHidden/>
    <w:unhideWhenUsed/>
    <w:rsid w:val="00680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www.un.org/esa/socdev/enable/documents/tccconv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3141993-E649-43A6-A836-5556DA17D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946</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4</cp:revision>
  <cp:lastPrinted>2025-04-29T16:02:00Z</cp:lastPrinted>
  <dcterms:created xsi:type="dcterms:W3CDTF">2025-04-28T15:40:00Z</dcterms:created>
  <dcterms:modified xsi:type="dcterms:W3CDTF">2025-04-29T16:02:00Z</dcterms:modified>
</cp:coreProperties>
</file>