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EB73A4">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EB73A4" w:rsidRDefault="00F13533" w:rsidP="00EB73A4">
      <w:pPr>
        <w:jc w:val="center"/>
        <w:rPr>
          <w:rFonts w:ascii="Book Antiqua" w:hAnsi="Book Antiqua"/>
          <w:szCs w:val="18"/>
          <w:lang w:val="es-ES_tradnl"/>
        </w:rPr>
      </w:pPr>
    </w:p>
    <w:p w14:paraId="6AE3905C" w14:textId="7D2A8991" w:rsidR="00F13533" w:rsidRPr="004F6F8E" w:rsidRDefault="00F13533" w:rsidP="00EB73A4">
      <w:pPr>
        <w:pStyle w:val="Title2"/>
        <w:rPr>
          <w:rFonts w:ascii="Book Antiqua" w:hAnsi="Book Antiqua"/>
          <w:lang w:val="es-ES_tradnl"/>
        </w:rPr>
      </w:pPr>
      <w:r w:rsidRPr="004F6F8E">
        <w:rPr>
          <w:rFonts w:ascii="Book Antiqua" w:hAnsi="Book Antiqua"/>
          <w:lang w:val="es-ES_tradnl"/>
        </w:rPr>
        <w:t xml:space="preserve"> </w:t>
      </w:r>
      <w:r w:rsidR="00D429C3" w:rsidRPr="004F6F8E">
        <w:rPr>
          <w:rFonts w:ascii="Book Antiqua" w:hAnsi="Book Antiqua"/>
          <w:lang w:val="es-ES_tradnl"/>
        </w:rPr>
        <w:t>20</w:t>
      </w:r>
      <w:r w:rsidR="00DE7377" w:rsidRPr="004F6F8E">
        <w:rPr>
          <w:rFonts w:ascii="Book Antiqua" w:hAnsi="Book Antiqua"/>
          <w:lang w:val="es-ES_tradnl"/>
        </w:rPr>
        <w:t xml:space="preserve"> </w:t>
      </w:r>
      <w:proofErr w:type="spellStart"/>
      <w:r w:rsidR="00D429C3" w:rsidRPr="004F6F8E">
        <w:rPr>
          <w:rFonts w:ascii="Book Antiqua" w:hAnsi="Book Antiqua"/>
          <w:vertAlign w:val="superscript"/>
          <w:lang w:val="es-ES_tradnl"/>
        </w:rPr>
        <w:t>m</w:t>
      </w:r>
      <w:r w:rsidR="00DE7377" w:rsidRPr="004F6F8E">
        <w:rPr>
          <w:rFonts w:ascii="Book Antiqua" w:hAnsi="Book Antiqua"/>
          <w:vertAlign w:val="superscript"/>
          <w:lang w:val="es-ES_tradnl"/>
        </w:rPr>
        <w:t>a</w:t>
      </w:r>
      <w:proofErr w:type="spellEnd"/>
      <w:r w:rsidRPr="004F6F8E">
        <w:rPr>
          <w:rFonts w:ascii="Book Antiqua" w:hAnsi="Book Antiqua"/>
          <w:lang w:val="es-ES_tradnl"/>
        </w:rPr>
        <w:tab/>
        <w:t>Asamblea</w:t>
      </w:r>
      <w:r w:rsidRPr="004F6F8E">
        <w:rPr>
          <w:rFonts w:ascii="Book Antiqua" w:hAnsi="Book Antiqua"/>
          <w:lang w:val="es-ES_tradnl"/>
        </w:rPr>
        <w:tab/>
      </w:r>
      <w:r w:rsidR="00D429C3" w:rsidRPr="004F6F8E">
        <w:rPr>
          <w:rFonts w:ascii="Book Antiqua" w:hAnsi="Book Antiqua"/>
          <w:lang w:val="es-ES_tradnl"/>
        </w:rPr>
        <w:t>1</w:t>
      </w:r>
      <w:r w:rsidR="00DE7377" w:rsidRPr="004F6F8E">
        <w:rPr>
          <w:rFonts w:ascii="Book Antiqua" w:hAnsi="Book Antiqua"/>
          <w:lang w:val="es-ES_tradnl"/>
        </w:rPr>
        <w:t xml:space="preserve"> </w:t>
      </w:r>
      <w:proofErr w:type="spellStart"/>
      <w:r w:rsidR="00DE7377" w:rsidRPr="004F6F8E">
        <w:rPr>
          <w:rFonts w:ascii="Book Antiqua" w:hAnsi="Book Antiqua"/>
          <w:vertAlign w:val="superscript"/>
          <w:lang w:val="es-ES_tradnl"/>
        </w:rPr>
        <w:t>ra</w:t>
      </w:r>
      <w:proofErr w:type="spellEnd"/>
      <w:r w:rsidR="00DE7377" w:rsidRPr="004F6F8E">
        <w:rPr>
          <w:rFonts w:ascii="Book Antiqua" w:hAnsi="Book Antiqua"/>
          <w:lang w:val="es-ES_tradnl"/>
        </w:rPr>
        <w:tab/>
      </w:r>
      <w:r w:rsidRPr="004F6F8E">
        <w:rPr>
          <w:rFonts w:ascii="Book Antiqua" w:hAnsi="Book Antiqua"/>
          <w:lang w:val="es-ES_tradnl"/>
        </w:rPr>
        <w:t xml:space="preserve"> </w:t>
      </w:r>
      <w:r w:rsidRPr="004F6F8E">
        <w:rPr>
          <w:rFonts w:ascii="Book Antiqua" w:hAnsi="Book Antiqua"/>
          <w:lang w:val="es-ES_tradnl"/>
        </w:rPr>
        <w:tab/>
        <w:t>Sesión</w:t>
      </w:r>
    </w:p>
    <w:p w14:paraId="37260458" w14:textId="77777777" w:rsidR="00F13533" w:rsidRPr="004F6F8E" w:rsidRDefault="00F13533" w:rsidP="00EB73A4">
      <w:pPr>
        <w:pStyle w:val="Title2"/>
        <w:rPr>
          <w:rFonts w:ascii="Book Antiqua" w:hAnsi="Book Antiqua"/>
          <w:lang w:val="es-ES_tradnl"/>
        </w:rPr>
      </w:pPr>
      <w:r w:rsidRPr="004F6F8E">
        <w:rPr>
          <w:rFonts w:ascii="Book Antiqua" w:hAnsi="Book Antiqua"/>
          <w:lang w:val="es-ES_tradnl"/>
        </w:rPr>
        <w:tab/>
        <w:t>Legislativa</w:t>
      </w:r>
      <w:r w:rsidRPr="004F6F8E">
        <w:rPr>
          <w:rFonts w:ascii="Book Antiqua" w:hAnsi="Book Antiqua"/>
          <w:lang w:val="es-ES_tradnl"/>
        </w:rPr>
        <w:tab/>
      </w:r>
      <w:r w:rsidRPr="004F6F8E">
        <w:rPr>
          <w:rFonts w:ascii="Book Antiqua" w:hAnsi="Book Antiqua"/>
          <w:lang w:val="es-ES_tradnl"/>
        </w:rPr>
        <w:tab/>
        <w:t>Ordinaria</w:t>
      </w:r>
    </w:p>
    <w:p w14:paraId="4881859A" w14:textId="77777777" w:rsidR="00F13533" w:rsidRPr="004F6F8E" w:rsidRDefault="00F13533" w:rsidP="00EB73A4">
      <w:pPr>
        <w:rPr>
          <w:rFonts w:ascii="Book Antiqua" w:hAnsi="Book Antiqua"/>
          <w:lang w:val="es-ES_tradnl"/>
        </w:rPr>
      </w:pPr>
    </w:p>
    <w:p w14:paraId="2BEF326C" w14:textId="77777777" w:rsidR="00F13533" w:rsidRDefault="00F13533" w:rsidP="00EB73A4">
      <w:pPr>
        <w:jc w:val="center"/>
        <w:rPr>
          <w:rFonts w:ascii="Book Antiqua" w:hAnsi="Book Antiqua"/>
          <w:b/>
          <w:sz w:val="36"/>
          <w:lang w:val="es-ES_tradnl"/>
        </w:rPr>
      </w:pPr>
      <w:r w:rsidRPr="004F6F8E">
        <w:rPr>
          <w:rFonts w:ascii="Book Antiqua" w:hAnsi="Book Antiqua"/>
          <w:b/>
          <w:sz w:val="36"/>
          <w:lang w:val="es-ES_tradnl"/>
        </w:rPr>
        <w:t>CÁMARA DE REPRESENTANTES</w:t>
      </w:r>
    </w:p>
    <w:p w14:paraId="7017B1E9" w14:textId="77777777" w:rsidR="00EB73A4" w:rsidRPr="00EB73A4" w:rsidRDefault="00EB73A4" w:rsidP="00EB73A4">
      <w:pPr>
        <w:jc w:val="center"/>
        <w:rPr>
          <w:rFonts w:ascii="Book Antiqua" w:hAnsi="Book Antiqua"/>
          <w:b/>
          <w:szCs w:val="24"/>
          <w:lang w:val="es-ES_tradnl"/>
        </w:rPr>
      </w:pPr>
    </w:p>
    <w:p w14:paraId="279BFDBC" w14:textId="53B88AA6" w:rsidR="00F13533" w:rsidRDefault="00F13533" w:rsidP="00EB73A4">
      <w:pPr>
        <w:jc w:val="center"/>
        <w:rPr>
          <w:rFonts w:ascii="Book Antiqua" w:hAnsi="Book Antiqua"/>
          <w:b/>
          <w:sz w:val="52"/>
          <w:lang w:val="es-ES_tradnl"/>
        </w:rPr>
      </w:pPr>
      <w:r w:rsidRPr="004F6F8E">
        <w:rPr>
          <w:rFonts w:ascii="Book Antiqua" w:hAnsi="Book Antiqua"/>
          <w:b/>
          <w:sz w:val="52"/>
          <w:lang w:val="es-ES_tradnl"/>
        </w:rPr>
        <w:t xml:space="preserve">P. de la C. </w:t>
      </w:r>
      <w:r w:rsidR="00793A6A">
        <w:rPr>
          <w:rFonts w:ascii="Book Antiqua" w:hAnsi="Book Antiqua"/>
          <w:b/>
          <w:sz w:val="52"/>
          <w:lang w:val="es-ES_tradnl"/>
        </w:rPr>
        <w:t>564</w:t>
      </w:r>
    </w:p>
    <w:p w14:paraId="27FFCCED" w14:textId="77777777" w:rsidR="00EB73A4" w:rsidRPr="00EB73A4" w:rsidRDefault="00EB73A4" w:rsidP="00EB73A4">
      <w:pPr>
        <w:jc w:val="center"/>
        <w:rPr>
          <w:rFonts w:ascii="Book Antiqua" w:hAnsi="Book Antiqua"/>
          <w:b/>
          <w:szCs w:val="24"/>
          <w:lang w:val="es-ES_tradnl"/>
        </w:rPr>
      </w:pPr>
    </w:p>
    <w:p w14:paraId="2661CC12" w14:textId="025FBB26" w:rsidR="00F13533" w:rsidRDefault="00793A6A" w:rsidP="00EB73A4">
      <w:pPr>
        <w:jc w:val="center"/>
        <w:rPr>
          <w:rFonts w:ascii="Book Antiqua" w:hAnsi="Book Antiqua"/>
          <w:lang w:val="es-ES_tradnl"/>
        </w:rPr>
      </w:pPr>
      <w:r>
        <w:rPr>
          <w:rFonts w:ascii="Book Antiqua" w:hAnsi="Book Antiqua"/>
          <w:lang w:val="es-ES_tradnl"/>
        </w:rPr>
        <w:t>29</w:t>
      </w:r>
      <w:r w:rsidR="00F13533" w:rsidRPr="004F6F8E">
        <w:rPr>
          <w:rFonts w:ascii="Book Antiqua" w:hAnsi="Book Antiqua"/>
          <w:lang w:val="es-ES_tradnl"/>
        </w:rPr>
        <w:t xml:space="preserve"> DE </w:t>
      </w:r>
      <w:r w:rsidR="00BC6728">
        <w:rPr>
          <w:rFonts w:ascii="Book Antiqua" w:hAnsi="Book Antiqua"/>
          <w:lang w:val="es-ES_tradnl"/>
        </w:rPr>
        <w:t>ABRIL</w:t>
      </w:r>
      <w:r w:rsidR="00F13533" w:rsidRPr="004F6F8E">
        <w:rPr>
          <w:rFonts w:ascii="Book Antiqua" w:hAnsi="Book Antiqua"/>
          <w:lang w:val="es-ES_tradnl"/>
        </w:rPr>
        <w:t xml:space="preserve"> DE 202</w:t>
      </w:r>
      <w:r w:rsidR="004548EA" w:rsidRPr="004F6F8E">
        <w:rPr>
          <w:rFonts w:ascii="Book Antiqua" w:hAnsi="Book Antiqua"/>
          <w:lang w:val="es-ES_tradnl"/>
        </w:rPr>
        <w:t>5</w:t>
      </w:r>
    </w:p>
    <w:p w14:paraId="1B018C08" w14:textId="77777777" w:rsidR="00EB73A4" w:rsidRPr="004F6F8E" w:rsidRDefault="00EB73A4" w:rsidP="00EB73A4">
      <w:pPr>
        <w:jc w:val="center"/>
        <w:rPr>
          <w:rFonts w:ascii="Book Antiqua" w:hAnsi="Book Antiqua"/>
          <w:lang w:val="es-ES_tradnl"/>
        </w:rPr>
      </w:pPr>
    </w:p>
    <w:p w14:paraId="53A1B700" w14:textId="77777777" w:rsidR="00EB73A4" w:rsidRPr="00EB73A4" w:rsidRDefault="00EB73A4" w:rsidP="00EB73A4">
      <w:pPr>
        <w:jc w:val="center"/>
        <w:rPr>
          <w:rFonts w:ascii="Book Antiqua" w:hAnsi="Book Antiqua"/>
          <w:lang w:val="es-ES_tradnl"/>
        </w:rPr>
      </w:pPr>
      <w:r w:rsidRPr="00EB73A4">
        <w:rPr>
          <w:rFonts w:ascii="Book Antiqua" w:hAnsi="Book Antiqua"/>
          <w:lang w:val="es-ES_tradnl"/>
        </w:rPr>
        <w:t xml:space="preserve">Presentado por el representante </w:t>
      </w:r>
      <w:r w:rsidRPr="00A875F3">
        <w:rPr>
          <w:rFonts w:ascii="Book Antiqua" w:hAnsi="Book Antiqua"/>
          <w:i/>
          <w:iCs/>
          <w:lang w:val="es-ES_tradnl"/>
        </w:rPr>
        <w:t>Márquez Lebrón</w:t>
      </w:r>
      <w:r w:rsidRPr="00EB73A4">
        <w:rPr>
          <w:rFonts w:ascii="Book Antiqua" w:hAnsi="Book Antiqua"/>
          <w:lang w:val="es-ES_tradnl"/>
        </w:rPr>
        <w:t xml:space="preserve"> </w:t>
      </w:r>
    </w:p>
    <w:p w14:paraId="4DD044E6" w14:textId="7DF65DC1" w:rsidR="00EB73A4" w:rsidRDefault="00EB73A4" w:rsidP="00EB73A4">
      <w:pPr>
        <w:jc w:val="center"/>
        <w:rPr>
          <w:rFonts w:ascii="Book Antiqua" w:hAnsi="Book Antiqua"/>
          <w:lang w:val="es-ES_tradnl"/>
        </w:rPr>
      </w:pPr>
      <w:r w:rsidRPr="00EB73A4">
        <w:rPr>
          <w:rFonts w:ascii="Book Antiqua" w:hAnsi="Book Antiqua"/>
          <w:lang w:val="es-ES_tradnl"/>
        </w:rPr>
        <w:t xml:space="preserve">y las representantes </w:t>
      </w:r>
      <w:r w:rsidRPr="00A875F3">
        <w:rPr>
          <w:rFonts w:ascii="Book Antiqua" w:hAnsi="Book Antiqua"/>
          <w:i/>
          <w:iCs/>
          <w:lang w:val="es-ES_tradnl"/>
        </w:rPr>
        <w:t>Gutiérrez Colón y Lebrón Robles</w:t>
      </w:r>
    </w:p>
    <w:p w14:paraId="7FC7168B" w14:textId="77777777" w:rsidR="00EB73A4" w:rsidRPr="004F6F8E" w:rsidRDefault="00EB73A4" w:rsidP="00EB73A4">
      <w:pPr>
        <w:jc w:val="center"/>
        <w:rPr>
          <w:rFonts w:ascii="Book Antiqua" w:hAnsi="Book Antiqua"/>
          <w:i/>
          <w:iCs/>
          <w:lang w:val="es-ES_tradnl"/>
        </w:rPr>
      </w:pPr>
    </w:p>
    <w:p w14:paraId="47A99186" w14:textId="29637512" w:rsidR="00F13533" w:rsidRPr="004F6F8E" w:rsidRDefault="006A309C" w:rsidP="00EB73A4">
      <w:pPr>
        <w:jc w:val="center"/>
        <w:rPr>
          <w:rFonts w:ascii="Book Antiqua" w:hAnsi="Book Antiqua"/>
          <w:lang w:val="es-ES_tradnl"/>
        </w:rPr>
      </w:pPr>
      <w:r w:rsidRPr="006A309C">
        <w:rPr>
          <w:rFonts w:ascii="Book Antiqua" w:hAnsi="Book Antiqua"/>
          <w:lang w:val="es-ES_tradnl"/>
        </w:rPr>
        <w:t>Referido a la Comisión del Trabajo y Asuntos Laborales</w:t>
      </w:r>
    </w:p>
    <w:p w14:paraId="4F40A063" w14:textId="77777777" w:rsidR="00F13533" w:rsidRPr="004F6F8E" w:rsidRDefault="00F13533" w:rsidP="00EB73A4">
      <w:pPr>
        <w:jc w:val="both"/>
        <w:rPr>
          <w:rFonts w:ascii="Book Antiqua" w:hAnsi="Book Antiqua"/>
          <w:lang w:val="es-ES_tradnl"/>
        </w:rPr>
      </w:pPr>
    </w:p>
    <w:p w14:paraId="7D55E694" w14:textId="77777777" w:rsidR="00F13533" w:rsidRPr="00EB73A4" w:rsidRDefault="00F13533" w:rsidP="00EB73A4">
      <w:pPr>
        <w:jc w:val="center"/>
        <w:rPr>
          <w:rFonts w:ascii="Book Antiqua" w:hAnsi="Book Antiqua"/>
          <w:b/>
          <w:sz w:val="28"/>
          <w:lang w:val="es-ES_tradnl"/>
        </w:rPr>
      </w:pPr>
      <w:r w:rsidRPr="00EB73A4">
        <w:rPr>
          <w:rFonts w:ascii="Book Antiqua" w:hAnsi="Book Antiqua"/>
          <w:b/>
          <w:sz w:val="28"/>
          <w:lang w:val="es-ES_tradnl"/>
        </w:rPr>
        <w:t>LEY</w:t>
      </w:r>
    </w:p>
    <w:p w14:paraId="637BBC31" w14:textId="77777777" w:rsidR="00F13533" w:rsidRPr="004F6F8E" w:rsidRDefault="00F13533" w:rsidP="00EB73A4">
      <w:pPr>
        <w:jc w:val="both"/>
        <w:rPr>
          <w:rFonts w:ascii="Book Antiqua" w:hAnsi="Book Antiqua"/>
          <w:lang w:val="es-ES_tradnl"/>
        </w:rPr>
      </w:pPr>
    </w:p>
    <w:p w14:paraId="1CEF8A88" w14:textId="1E176B3E" w:rsidR="00F13533" w:rsidRDefault="00782D50" w:rsidP="00EB73A4">
      <w:pPr>
        <w:ind w:left="360" w:hanging="360"/>
        <w:jc w:val="both"/>
        <w:rPr>
          <w:rFonts w:ascii="Book Antiqua" w:hAnsi="Book Antiqua"/>
          <w:lang w:val="es-ES_tradnl"/>
        </w:rPr>
      </w:pPr>
      <w:r w:rsidRPr="00782D50">
        <w:rPr>
          <w:rFonts w:ascii="Book Antiqua" w:hAnsi="Book Antiqua"/>
          <w:lang w:val="es-ES_tradnl"/>
        </w:rPr>
        <w:t>Para derogar los Artículos 1.1, 1.2, 2.1, 2.2, 2.3, 2.4, 2.5, 2.6, 2.7, 2.8, 2.9, 2.10, 2.11, 2.12, 2.13, 2.14, 2.15, 2.16, 2.17, 2.18, 2.19, 2.20, 2.21, 6.1, 6.2 y 7.1 de la Ley Núm. 4-2017, según enmendada., mejor conocida como la “Ley de Transformación y Flexibilidad Laboral”; enmendar los Artículos 4, 5, 6 y 11 de la Ley Núm. 379 de 15 de mayo de 1948, según enmendada; enmendar las Sección 4 de la Ley Núm. 289 de 9 de abril de 1946, según enmendada</w:t>
      </w:r>
      <w:r w:rsidR="005D79A1">
        <w:rPr>
          <w:rFonts w:ascii="Book Antiqua" w:hAnsi="Book Antiqua"/>
          <w:lang w:val="es-ES_tradnl"/>
        </w:rPr>
        <w:t>; con el fin de ampliar los derechos de la clase trabajadora con respecto a las horas extra de trabajo; y para otros fines relacionados.</w:t>
      </w:r>
    </w:p>
    <w:p w14:paraId="7959ED29" w14:textId="77777777" w:rsidR="00EB73A4" w:rsidRPr="004F6F8E" w:rsidRDefault="00EB73A4" w:rsidP="00EB73A4">
      <w:pPr>
        <w:ind w:left="360" w:hanging="360"/>
        <w:jc w:val="both"/>
        <w:rPr>
          <w:rFonts w:ascii="Book Antiqua" w:hAnsi="Book Antiqua"/>
          <w:lang w:val="es-ES"/>
        </w:rPr>
      </w:pPr>
    </w:p>
    <w:p w14:paraId="2CA23802" w14:textId="016515A5" w:rsidR="00F13533" w:rsidRDefault="00F13533" w:rsidP="00EB73A4">
      <w:pPr>
        <w:ind w:firstLine="360"/>
        <w:jc w:val="center"/>
        <w:rPr>
          <w:rFonts w:ascii="Book Antiqua" w:hAnsi="Book Antiqua"/>
          <w:lang w:val="es-ES_tradnl"/>
        </w:rPr>
      </w:pPr>
      <w:r w:rsidRPr="004F6F8E">
        <w:rPr>
          <w:rFonts w:ascii="Book Antiqua" w:hAnsi="Book Antiqua"/>
          <w:lang w:val="es-ES_tradnl"/>
        </w:rPr>
        <w:t>EXPOSICIÓN DE MOTIVOS</w:t>
      </w:r>
    </w:p>
    <w:p w14:paraId="4470B55A" w14:textId="77777777" w:rsidR="00EB73A4" w:rsidRPr="004F6F8E" w:rsidRDefault="00EB73A4" w:rsidP="00EB73A4">
      <w:pPr>
        <w:ind w:firstLine="360"/>
        <w:jc w:val="center"/>
        <w:rPr>
          <w:rFonts w:ascii="Book Antiqua" w:hAnsi="Book Antiqua"/>
          <w:lang w:val="es-ES_tradnl"/>
        </w:rPr>
      </w:pPr>
    </w:p>
    <w:p w14:paraId="7CEF6EAF" w14:textId="77777777" w:rsidR="00782D50" w:rsidRPr="00782D50" w:rsidRDefault="00782D50" w:rsidP="00EB73A4">
      <w:pPr>
        <w:ind w:firstLine="360"/>
        <w:jc w:val="both"/>
        <w:rPr>
          <w:rFonts w:ascii="Book Antiqua" w:hAnsi="Book Antiqua"/>
          <w:szCs w:val="24"/>
          <w:lang w:val="es-ES_tradnl"/>
        </w:rPr>
      </w:pPr>
      <w:r w:rsidRPr="00782D50">
        <w:rPr>
          <w:rFonts w:ascii="Book Antiqua" w:hAnsi="Book Antiqua"/>
          <w:szCs w:val="24"/>
          <w:lang w:val="es-ES_tradnl"/>
        </w:rPr>
        <w:t>El cuatrienio de 2017-2021 –al igual que muchos anteriores- estuvo marcado por actos legislativos y decisiones gubernamentales con resultados muy perjudiciales para el país. Sumida ya en más de diez años de recesión económica, la isla comenzó a ser gobernada oficialmente por una Junta de Control Fiscal impuesta por el gobierno de los Estados Unidos, la cual estaría compuesta por siete personas de mentalidad neoliberal que dictarían casi por completo la política fiscal y económica del gobierno entrante de Puerto Rico, el cual gustosamente accedería a los designios de sus superiores. Mucho antes de que los huracanes Irma y María, los terremotos sureños y la pandemia del COVID-19 cambiaran para siempre nuestra realidad como pueblo, o de que saliéramos a la calle para expulsar al gobernador colonial de turno, el gobierno y la Junta conspiraron para infligir un duro golpe a la clase trabajadora al aprobar la “Ley de Transformación y Flexibilidad Laboral”, Ley Núm. 4-2017, conocida como la Reforma Laboral.</w:t>
      </w:r>
    </w:p>
    <w:p w14:paraId="382521B3" w14:textId="187935CB" w:rsidR="00782D50" w:rsidRDefault="00782D50" w:rsidP="00EB73A4">
      <w:pPr>
        <w:ind w:firstLine="360"/>
        <w:jc w:val="both"/>
        <w:rPr>
          <w:rFonts w:ascii="Book Antiqua" w:hAnsi="Book Antiqua"/>
          <w:szCs w:val="24"/>
          <w:lang w:val="es-ES_tradnl"/>
        </w:rPr>
      </w:pPr>
      <w:r w:rsidRPr="00782D50">
        <w:rPr>
          <w:rFonts w:ascii="Book Antiqua" w:hAnsi="Book Antiqua"/>
          <w:szCs w:val="24"/>
          <w:lang w:val="es-ES_tradnl"/>
        </w:rPr>
        <w:lastRenderedPageBreak/>
        <w:t xml:space="preserve">La Reforma Laboral, no hizo más que desmantelar los derechos que la clase trabajadora había conquistado a través de décadas de lucha so color de mejorar la actividad económica en Puerto Rico. Según anticipado por muchos expertos en economía al momento de su aprobación, la mal llamada Reforma Laboral no condujo a la creación de empleos que pregonó el gobierno de turno ni mejoró las condiciones materiales de nuestro pueblo; por el contrario, llevó a la precarización de la clase trabajadora, haciendo cada vez más rentable económica y socialmente abandonar. </w:t>
      </w:r>
    </w:p>
    <w:p w14:paraId="607306EA" w14:textId="77777777" w:rsidR="00EB73A4" w:rsidRPr="00782D50" w:rsidRDefault="00EB73A4" w:rsidP="00EB73A4">
      <w:pPr>
        <w:ind w:firstLine="360"/>
        <w:jc w:val="both"/>
        <w:rPr>
          <w:rFonts w:ascii="Book Antiqua" w:hAnsi="Book Antiqua"/>
          <w:szCs w:val="24"/>
          <w:lang w:val="es-ES_tradnl"/>
        </w:rPr>
      </w:pPr>
    </w:p>
    <w:p w14:paraId="7916A1A7" w14:textId="74D683D0" w:rsidR="00782D50" w:rsidRDefault="00782D50" w:rsidP="00EB73A4">
      <w:pPr>
        <w:ind w:firstLine="360"/>
        <w:jc w:val="both"/>
        <w:rPr>
          <w:rFonts w:ascii="Book Antiqua" w:hAnsi="Book Antiqua"/>
          <w:szCs w:val="24"/>
          <w:lang w:val="es-ES_tradnl"/>
        </w:rPr>
      </w:pPr>
      <w:r w:rsidRPr="00782D50">
        <w:rPr>
          <w:rFonts w:ascii="Book Antiqua" w:hAnsi="Book Antiqua"/>
          <w:szCs w:val="24"/>
          <w:lang w:val="es-ES_tradnl"/>
        </w:rPr>
        <w:t xml:space="preserve">En general, la Reforma Laboral introdujo cambios significativos a las principales leyes laborales de nuestra jurisdicción para disminuir o eliminar derechos de la clase trabajadora, tales como los siguientes: cambió la definición y disminuyó la compensación por trabajar horas extra; redujo la acumulación de licencias; redujo el bono de Navidad; redujo el término prescriptivo para entablar reclamaciones laborales; disminuyó significativamente las protecciones contra el despido injustificado y redujo la mesada por dichos despidos; restringió la forma en que podía interpretarse un despido constructivo; aumentó el periodo probatorio; utilizó un lenguaje ambiguo que podría acabar con la obligación de que el patrono prueba que el despido fue justificado; y estableció límites a la compensación por daños ocasionados por discrimen o represalias en el empleo; entre otras medidas terribles. </w:t>
      </w:r>
    </w:p>
    <w:p w14:paraId="0FE64E39" w14:textId="77777777" w:rsidR="00EB73A4" w:rsidRPr="00782D50" w:rsidRDefault="00EB73A4" w:rsidP="00EB73A4">
      <w:pPr>
        <w:ind w:firstLine="360"/>
        <w:jc w:val="both"/>
        <w:rPr>
          <w:rFonts w:ascii="Book Antiqua" w:hAnsi="Book Antiqua"/>
          <w:szCs w:val="24"/>
          <w:lang w:val="es-ES_tradnl"/>
        </w:rPr>
      </w:pPr>
    </w:p>
    <w:p w14:paraId="1E5914D6" w14:textId="0A1F0DF5" w:rsidR="00A10B1E" w:rsidRDefault="00362B62" w:rsidP="00EB73A4">
      <w:pPr>
        <w:ind w:firstLine="360"/>
        <w:jc w:val="both"/>
        <w:rPr>
          <w:rFonts w:ascii="Book Antiqua" w:hAnsi="Book Antiqua"/>
          <w:szCs w:val="24"/>
          <w:lang w:val="es-ES_tradnl"/>
        </w:rPr>
      </w:pPr>
      <w:r>
        <w:rPr>
          <w:rFonts w:ascii="Book Antiqua" w:hAnsi="Book Antiqua"/>
          <w:szCs w:val="24"/>
          <w:lang w:val="es-ES_tradnl"/>
        </w:rPr>
        <w:t>Ocho</w:t>
      </w:r>
      <w:r w:rsidR="00782D50" w:rsidRPr="00782D50">
        <w:rPr>
          <w:rFonts w:ascii="Book Antiqua" w:hAnsi="Book Antiqua"/>
          <w:szCs w:val="24"/>
          <w:lang w:val="es-ES_tradnl"/>
        </w:rPr>
        <w:t xml:space="preserve"> años después de la aprobación de esta ley, la evidencia empírica demuestra que sus proyecciones nunca estuvieron basadas en otra cosa que en una visión ideológica reaccionaria que pretende desmantelar las protecciones laborales de quienes generan realmente la riqueza en Puerto Rico. En vista de lo anterior, y tras los embates políticos, económicos y naturales sufridos por nuestro pueblo durante los últimos años, esta Asamblea Legislativa tiene la responsabilidad constitucional y moral de restablecer y ampliar los derechos arrebatados injustamente a nuestra clase trabajadora.</w:t>
      </w:r>
      <w:r>
        <w:rPr>
          <w:rFonts w:ascii="Book Antiqua" w:hAnsi="Book Antiqua"/>
          <w:szCs w:val="24"/>
          <w:lang w:val="es-ES_tradnl"/>
        </w:rPr>
        <w:t xml:space="preserve">  Esta medida es un primer paso, para restaurar las disposiciones sobre todo lo relacionado con el pago y computo de las horas extra</w:t>
      </w:r>
      <w:r w:rsidR="006B4D52">
        <w:rPr>
          <w:rFonts w:ascii="Book Antiqua" w:hAnsi="Book Antiqua"/>
          <w:szCs w:val="24"/>
          <w:lang w:val="es-ES_tradnl"/>
        </w:rPr>
        <w:t>s,</w:t>
      </w:r>
      <w:r>
        <w:rPr>
          <w:rFonts w:ascii="Book Antiqua" w:hAnsi="Book Antiqua"/>
          <w:szCs w:val="24"/>
          <w:lang w:val="es-ES_tradnl"/>
        </w:rPr>
        <w:t xml:space="preserve"> al lenguaje previo a la aprobación de la mal llamada Reforma Laboral.</w:t>
      </w:r>
    </w:p>
    <w:p w14:paraId="2E9F2DB7" w14:textId="77777777" w:rsidR="00EB73A4" w:rsidRPr="004F6F8E" w:rsidRDefault="00EB73A4" w:rsidP="00EB73A4">
      <w:pPr>
        <w:ind w:firstLine="360"/>
        <w:jc w:val="both"/>
        <w:rPr>
          <w:rFonts w:ascii="Book Antiqua" w:hAnsi="Book Antiqua"/>
          <w:lang w:val="es-PR"/>
        </w:rPr>
      </w:pPr>
    </w:p>
    <w:p w14:paraId="7674B2AD" w14:textId="192CDDF7" w:rsidR="00F13533" w:rsidRPr="004F6F8E" w:rsidRDefault="00F13533" w:rsidP="00EB73A4">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05C1D6B2" w14:textId="19E4857B" w:rsidR="00782D50" w:rsidRDefault="00782D50" w:rsidP="00782D50">
      <w:pPr>
        <w:spacing w:line="480" w:lineRule="auto"/>
        <w:ind w:firstLine="360"/>
        <w:jc w:val="both"/>
        <w:rPr>
          <w:rFonts w:ascii="Book Antiqua" w:hAnsi="Book Antiqua"/>
          <w:lang w:val="es-ES_tradnl"/>
        </w:rPr>
      </w:pPr>
      <w:r w:rsidRPr="00D15F44">
        <w:rPr>
          <w:rFonts w:ascii="Book Antiqua" w:hAnsi="Book Antiqua"/>
          <w:lang w:val="es-ES_tradnl"/>
        </w:rPr>
        <w:t>Sección 1. – Se derogan los Artículos 1.1, 1.2, 2.1, 2.2, 2.3, 2.4, 2.5, 2.6, 2.7, 2.8, 2.9, 2.10, 2.11, 2.12, 2.13, 2.14, 2.15, 2.16, 2.17, 2.18, 2.19, 2.20, 2.21, 6.1, 6.2 y 7.1 de la Ley Núm. 4-2017, según enmendada.</w:t>
      </w:r>
    </w:p>
    <w:p w14:paraId="7CA180C1" w14:textId="7531777C" w:rsidR="00782D50" w:rsidRPr="00D15F44" w:rsidRDefault="00782D50" w:rsidP="00782D50">
      <w:pPr>
        <w:spacing w:line="480" w:lineRule="auto"/>
        <w:ind w:firstLine="360"/>
        <w:jc w:val="both"/>
        <w:rPr>
          <w:rFonts w:ascii="Book Antiqua" w:hAnsi="Book Antiqua"/>
          <w:lang w:val="es-ES_tradnl"/>
        </w:rPr>
      </w:pPr>
      <w:r w:rsidRPr="00D15F44">
        <w:rPr>
          <w:rFonts w:ascii="Book Antiqua" w:hAnsi="Book Antiqua"/>
          <w:lang w:val="es-ES_tradnl"/>
        </w:rPr>
        <w:t>Sección 2. -  Se enmienda el Artículo 4 de la Ley Núm. 379 de 15 de mayo de 1948, según enmendada, para que lea como sigue:</w:t>
      </w:r>
    </w:p>
    <w:p w14:paraId="5AD56772"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lang w:val="es-PR"/>
        </w:rPr>
        <w:lastRenderedPageBreak/>
        <w:t>“</w:t>
      </w:r>
      <w:r w:rsidRPr="00D15F44">
        <w:rPr>
          <w:rFonts w:ascii="Book Antiqua" w:hAnsi="Book Antiqua"/>
          <w:b/>
          <w:lang w:val="es-ES"/>
        </w:rPr>
        <w:t>[Artículo 4. - Son horas extra de trabajo:</w:t>
      </w:r>
    </w:p>
    <w:p w14:paraId="47EE59A7"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(a) Las horas que un empleado trabaja para su patrono en exceso de ocho (8) horas durante cualquier día calendario. No obstante, el patrono podrá notificar al empleado un ciclo alterno de veinticuatro (24) horas, siempre y cuando la notificación sea por escrito en un término no menor de cinco (5) días previo al inicio del ciclo alterno y existan al menos ocho (8) horas entre turnos consecutivos.</w:t>
      </w:r>
    </w:p>
    <w:p w14:paraId="1DF24252"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(b) Las horas que un empleado trabaja para su patrono en exceso de cuarenta (40) durante cualquier semana de trabajo.</w:t>
      </w:r>
    </w:p>
    <w:p w14:paraId="71E717C8"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(c) Las horas que un empleado trabaja para su patrono durante los días u horas en que un establecimiento deba permanecer cerrado al público por disposición legal. Sin embargo, las horas trabajadas los domingos, cuando por disposición de ley el establecimiento deba permanecer cerrado al público, no se considerarán horas extras por la mera razón de ser trabajadas durante ese periodo.</w:t>
      </w:r>
    </w:p>
    <w:p w14:paraId="4988453F"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(d) Las horas que un empleado trabaja para su patrono durante el día de descanso semanal, según establecido por ley.</w:t>
      </w:r>
    </w:p>
    <w:p w14:paraId="0BD569D1"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(e) Las horas que el empleado trabaja para su patrono en exceso del máximo de horas de labor al día fijado en un convenio colectivo de trabajo.]</w:t>
      </w:r>
    </w:p>
    <w:p w14:paraId="154927EF" w14:textId="77777777" w:rsidR="00782D50" w:rsidRPr="00D15F44" w:rsidRDefault="00782D50" w:rsidP="00782D50">
      <w:pPr>
        <w:spacing w:line="480" w:lineRule="auto"/>
        <w:ind w:left="360" w:firstLine="360"/>
        <w:jc w:val="both"/>
        <w:rPr>
          <w:rFonts w:ascii="Book Antiqua" w:hAnsi="Book Antiqua"/>
          <w:i/>
          <w:lang w:val="es-PR"/>
        </w:rPr>
      </w:pPr>
      <w:r w:rsidRPr="00D15F44">
        <w:rPr>
          <w:rFonts w:ascii="Book Antiqua" w:hAnsi="Book Antiqua"/>
          <w:i/>
          <w:lang w:val="es-PR"/>
        </w:rPr>
        <w:t>Artículo 4. - Son horas extra de trabajo:</w:t>
      </w:r>
    </w:p>
    <w:p w14:paraId="328DA75C"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 xml:space="preserve"> (a) Las horas que un empleado trabaja para su patrono en exceso de ocho (8) horas durante cualquier periodo de veinticuatro (24) horas consecutivas. </w:t>
      </w:r>
    </w:p>
    <w:p w14:paraId="7F5A3C59"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lastRenderedPageBreak/>
        <w:t>(b) Las horas que un empleado trabaja para su patrono en exceso de cuarenta (40) durante cualquier semana a menos que las horas trabajadas diariamente en exceso de ocho (8) sean pagadas a tipo doble.</w:t>
      </w:r>
    </w:p>
    <w:p w14:paraId="43CA30EC"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 xml:space="preserve">(c) Las horas que un empleado trabaja para su patrono durante los días u horas en que un establecimiento deba permanecer cerrado al público por disposición legal. </w:t>
      </w:r>
    </w:p>
    <w:p w14:paraId="3EC39AB0"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(d) Las horas que un empleado trabaja para su patrono durante el día de descanso semanal, según establecido por ley.</w:t>
      </w:r>
    </w:p>
    <w:p w14:paraId="71121A51" w14:textId="77777777" w:rsidR="00782D50" w:rsidRPr="00D15F44" w:rsidRDefault="00782D50" w:rsidP="00782D50">
      <w:pPr>
        <w:spacing w:line="480" w:lineRule="auto"/>
        <w:ind w:left="360" w:firstLine="360"/>
        <w:jc w:val="both"/>
        <w:rPr>
          <w:rFonts w:ascii="Book Antiqua" w:hAnsi="Book Antiqua"/>
          <w:lang w:val="es-ES_tradnl"/>
        </w:rPr>
      </w:pPr>
      <w:r w:rsidRPr="00D15F44">
        <w:rPr>
          <w:rFonts w:ascii="Book Antiqua" w:hAnsi="Book Antiqua"/>
          <w:i/>
          <w:lang w:val="es-ES_tradnl"/>
        </w:rPr>
        <w:t>(e) Las horas que el empleado trabaja para su patrono en exceso del máximo de horas de labor al día fijado en un convenio colectivo de trabajo</w:t>
      </w:r>
      <w:r w:rsidRPr="00D15F44">
        <w:rPr>
          <w:rFonts w:ascii="Book Antiqua" w:hAnsi="Book Antiqua"/>
          <w:lang w:val="es-ES_tradnl"/>
        </w:rPr>
        <w:t>.</w:t>
      </w:r>
      <w:r>
        <w:rPr>
          <w:rFonts w:ascii="Book Antiqua" w:hAnsi="Book Antiqua"/>
          <w:lang w:val="es-ES_tradnl"/>
        </w:rPr>
        <w:t>”</w:t>
      </w:r>
    </w:p>
    <w:p w14:paraId="5E888119" w14:textId="77777777" w:rsidR="00782D50" w:rsidRPr="00D15F44" w:rsidRDefault="00782D50" w:rsidP="00782D50">
      <w:pPr>
        <w:spacing w:line="480" w:lineRule="auto"/>
        <w:ind w:firstLine="360"/>
        <w:jc w:val="both"/>
        <w:rPr>
          <w:rFonts w:ascii="Book Antiqua" w:hAnsi="Book Antiqua"/>
          <w:lang w:val="es-ES_tradnl"/>
        </w:rPr>
      </w:pPr>
      <w:r w:rsidRPr="00D15F44">
        <w:rPr>
          <w:rFonts w:ascii="Book Antiqua" w:hAnsi="Book Antiqua"/>
          <w:lang w:val="es-ES_tradnl"/>
        </w:rPr>
        <w:t>Sección 3. - Se enmienda el Artículo 5 de la Ley Núm. 379 de 15 de mayo 1948, según enmendada, para que lea como sigue:</w:t>
      </w:r>
    </w:p>
    <w:p w14:paraId="35CD76AC" w14:textId="77777777" w:rsidR="00782D50" w:rsidRPr="00D15F44" w:rsidRDefault="00782D50" w:rsidP="00782D50">
      <w:pPr>
        <w:spacing w:line="480" w:lineRule="auto"/>
        <w:ind w:left="360" w:firstLine="360"/>
        <w:jc w:val="both"/>
        <w:rPr>
          <w:rFonts w:ascii="Book Antiqua" w:hAnsi="Book Antiqua"/>
          <w:lang w:val="es-ES"/>
        </w:rPr>
      </w:pPr>
      <w:r w:rsidRPr="00D15F44">
        <w:rPr>
          <w:rFonts w:ascii="Book Antiqua" w:hAnsi="Book Antiqua"/>
          <w:lang w:val="es-ES"/>
        </w:rPr>
        <w:t>“[</w:t>
      </w:r>
      <w:r w:rsidRPr="00D15F44">
        <w:rPr>
          <w:rFonts w:ascii="Book Antiqua" w:hAnsi="Book Antiqua"/>
          <w:b/>
          <w:lang w:val="es-ES"/>
        </w:rPr>
        <w:t>Artículo 5.-Para fines de computar las horas extras en exceso de cuarenta (40) horas, la semana de trabajo constituirá un periodo de ciento sesenta y ocho (168) horas consecutivas. La misma comenzará en el día y la hora que el patrono determine y notifique por escrito al empleado. En ausencia de notificación, la semana de trabajo comenzará a las 12:01am del lunes de cada semana. Una vez el patrono establezca el comienzo de la semana de trabajo, cualquier cambio tendrá que ser notificado al empleado con por lo menos cinco (5) días calendario de anticipación para que sea efectivo.]</w:t>
      </w:r>
    </w:p>
    <w:p w14:paraId="264E6F1D" w14:textId="77777777" w:rsidR="00782D50" w:rsidRPr="00D15F44" w:rsidRDefault="00782D50" w:rsidP="00782D50">
      <w:pPr>
        <w:spacing w:line="480" w:lineRule="auto"/>
        <w:ind w:left="360" w:firstLine="360"/>
        <w:jc w:val="both"/>
        <w:rPr>
          <w:rFonts w:ascii="Book Antiqua" w:hAnsi="Book Antiqua"/>
          <w:lang w:val="es-ES_tradnl"/>
        </w:rPr>
      </w:pPr>
      <w:r w:rsidRPr="00D15F44">
        <w:rPr>
          <w:rFonts w:ascii="Book Antiqua" w:hAnsi="Book Antiqua"/>
          <w:i/>
          <w:lang w:val="es-ES_tradnl"/>
        </w:rPr>
        <w:t xml:space="preserve">Artículo 5. - Para fines de computar las horas extras en exceso de cuarenta (40) horas, la semana de trabajo constituirá un periodo de ciento sesenta y ocho (168) horas consecutivas. La </w:t>
      </w:r>
      <w:r w:rsidRPr="00D15F44">
        <w:rPr>
          <w:rFonts w:ascii="Book Antiqua" w:hAnsi="Book Antiqua"/>
          <w:i/>
          <w:lang w:val="es-ES_tradnl"/>
        </w:rPr>
        <w:lastRenderedPageBreak/>
        <w:t>semana de trabajo comenzará a las 12:01 am del lunes de cada semana, salvo que el patrono y el empleado pacten lo contrario</w:t>
      </w:r>
      <w:r w:rsidRPr="00D15F44">
        <w:rPr>
          <w:rFonts w:ascii="Book Antiqua" w:hAnsi="Book Antiqua"/>
          <w:lang w:val="es-ES_tradnl"/>
        </w:rPr>
        <w:t>.</w:t>
      </w:r>
      <w:r>
        <w:rPr>
          <w:rFonts w:ascii="Book Antiqua" w:hAnsi="Book Antiqua"/>
          <w:lang w:val="es-ES_tradnl"/>
        </w:rPr>
        <w:t>”</w:t>
      </w:r>
    </w:p>
    <w:p w14:paraId="2A098214" w14:textId="77777777" w:rsidR="00782D50" w:rsidRPr="00D15F44" w:rsidRDefault="00782D50" w:rsidP="00782D50">
      <w:pPr>
        <w:spacing w:line="480" w:lineRule="auto"/>
        <w:ind w:firstLine="360"/>
        <w:jc w:val="both"/>
        <w:rPr>
          <w:rFonts w:ascii="Book Antiqua" w:hAnsi="Book Antiqua"/>
          <w:lang w:val="es-ES_tradnl"/>
        </w:rPr>
      </w:pPr>
      <w:r w:rsidRPr="00D15F44">
        <w:rPr>
          <w:rFonts w:ascii="Book Antiqua" w:hAnsi="Book Antiqua"/>
          <w:lang w:val="es-ES_tradnl"/>
        </w:rPr>
        <w:t>Sección 4. -  Se enmienda el Artículo 6 de la Ley Núm. 379 de 15 de mayo de 1948, según enmendada, para que lea como sigue:</w:t>
      </w:r>
    </w:p>
    <w:p w14:paraId="49D00B3D"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lang w:val="es-ES_tradnl"/>
        </w:rPr>
        <w:t>“[</w:t>
      </w:r>
      <w:r w:rsidRPr="00D15F44">
        <w:rPr>
          <w:rFonts w:ascii="Book Antiqua" w:hAnsi="Book Antiqua"/>
          <w:b/>
          <w:lang w:val="es-ES"/>
        </w:rPr>
        <w:t>Artículo 6.-Las normas y requisitos para el pago de horas extras serán las siguientes:</w:t>
      </w:r>
    </w:p>
    <w:p w14:paraId="4D4BF20F"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(a) Todo patrono que emplee o permita que un empleado trabaje durante horas extras vendrá obligado a pagar por cada hora extra un salario no menor a tiempo y medio del tipo de salario convenido para las horas regulares. Disponiéndose que los empleados con derecho a beneficios superiores contratados previo a la vigencia de la “Ley de Transformación y Flexibilidad Laboral” preservarán los mismos.</w:t>
      </w:r>
    </w:p>
    <w:p w14:paraId="75920D8D"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(b) Se podrá́ establecer un itinerario de trabajo semanal alterno mediante acuerdo escrito entre el empleado y el patrono, el cual permitirá́ que el empleado complete una semana de trabajo no mayor de cuarenta (40) horas con horarios diarios que no exceder</w:t>
      </w:r>
      <w:r w:rsidRPr="00D15F44">
        <w:rPr>
          <w:rFonts w:ascii="Book Antiqua" w:hAnsi="Book Antiqua" w:cs="Book Antiqua"/>
          <w:b/>
          <w:lang w:val="es-ES"/>
        </w:rPr>
        <w:t>á</w:t>
      </w:r>
      <w:r w:rsidRPr="00D15F44">
        <w:rPr>
          <w:rFonts w:ascii="Book Antiqua" w:hAnsi="Book Antiqua"/>
          <w:b/>
          <w:lang w:val="es-ES"/>
        </w:rPr>
        <w:t>n de diez (10) horas por día de trabajo. Sin embargo, si el empleado trabaja en exceso de diez (10) horas por día de trabajo, se le compensará las horas en exceso a razón de tiempo y medio del tipo de salario convenido para las horas regulares.</w:t>
      </w:r>
    </w:p>
    <w:p w14:paraId="7F1ECDD5"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(c) Los acuerdos voluntarios o aprobados de itinerario de trabajo semanal alterno pueden revocarse por mutuo acuerdo de las partes en cualquier momento. No obstante, cualquiera de las partes podrá unilateralmente terminar el acuerdo voluntario después de haber transcurrido un (1) año de su adopción.</w:t>
      </w:r>
    </w:p>
    <w:p w14:paraId="5BCB6F12"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lastRenderedPageBreak/>
        <w:t>(d) Los acuerdos de itinerario de trabajo semanal alterno adoptados conforme a este Artículo podrán ser continuados por un tercero que adquiera el negocio, sin que sea necesario establecer un nuevo contrato.</w:t>
      </w:r>
    </w:p>
    <w:p w14:paraId="2670E7C6"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(e) El patrono podrá conceder una solicitud del empleado para reponer horas no trabajadas en la semana por razones personales del empleado. Las horas así trabajadas no se considerarán horas extras cuando se trabajen en la misma semana de la ausencia, no excedan de doce (12) horas en un día, ni excedan cuarenta (40) horas en la semana.]</w:t>
      </w:r>
    </w:p>
    <w:p w14:paraId="54784F6D"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Artículo 6. - Las normas y requisitos para el pago de horas extras serán las siguientes:</w:t>
      </w:r>
    </w:p>
    <w:p w14:paraId="268BE0CA"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(a) Todo patrono que emplee o permita que un empleado trabaje durante horas extras vendrá obligado a pagar por cada hora extra un tipo de salario igual al doble del tipo convenido para las horas regulares.</w:t>
      </w:r>
    </w:p>
    <w:p w14:paraId="5F3B7734"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(b) Se podrá́ establecer un itinerario de trabajo semanal alterno mediante acuerdo escrito entre el empleado y el patrono, el cual permitirá́ que el empleado complete una semana de trabajo no mayor de cuarenta (40) horas con horarios diarios que no excederán de diez (10) horas por día de trabajo. Sin embargo, si el empleado trabaja en exceso de diez (10) horas por día de trabajo, se le compensarán las horas en exceso al doble del tipo convenido para las horas regulares.</w:t>
      </w:r>
    </w:p>
    <w:p w14:paraId="0758ED38"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(c) Los acuerdos voluntarios o aprobados de itinerario de trabajo semanal alterno pueden revocarse por mutuo acuerdo de las partes en cualquier momento. No obstante, cualquiera de las partes podrá unilateralmente terminar el acuerdo voluntario después de haber transcurrido un (1) año de su adopción.</w:t>
      </w:r>
    </w:p>
    <w:p w14:paraId="79914353" w14:textId="77777777" w:rsidR="00782D50" w:rsidRPr="00D15F44" w:rsidRDefault="00782D50" w:rsidP="00782D50">
      <w:pPr>
        <w:spacing w:line="480" w:lineRule="auto"/>
        <w:ind w:left="360" w:firstLine="360"/>
        <w:jc w:val="both"/>
        <w:rPr>
          <w:rFonts w:ascii="Book Antiqua" w:hAnsi="Book Antiqua"/>
          <w:lang w:val="es-ES_tradnl"/>
        </w:rPr>
      </w:pPr>
      <w:r w:rsidRPr="00D15F44">
        <w:rPr>
          <w:rFonts w:ascii="Book Antiqua" w:hAnsi="Book Antiqua"/>
          <w:i/>
          <w:lang w:val="es-ES_tradnl"/>
        </w:rPr>
        <w:lastRenderedPageBreak/>
        <w:t>(d) El patrono podrá conceder una solicitud del empleado para reponer horas no trabajadas en la semana por razones personales del empleado. Las horas así trabajadas no se considerarán horas extras cuando se trabajen en la misma semana de la ausencia, no excedan de ocho (8) horas en un día, ni excedan cuarenta (40) horas en la semana</w:t>
      </w:r>
      <w:r>
        <w:rPr>
          <w:rFonts w:ascii="Book Antiqua" w:hAnsi="Book Antiqua"/>
          <w:lang w:val="es-ES_tradnl"/>
        </w:rPr>
        <w:t>.”</w:t>
      </w:r>
    </w:p>
    <w:p w14:paraId="54D0BA04" w14:textId="77777777" w:rsidR="00782D50" w:rsidRPr="00D15F44" w:rsidRDefault="00782D50" w:rsidP="00782D50">
      <w:pPr>
        <w:spacing w:line="480" w:lineRule="auto"/>
        <w:ind w:firstLine="360"/>
        <w:jc w:val="both"/>
        <w:rPr>
          <w:rFonts w:ascii="Book Antiqua" w:hAnsi="Book Antiqua"/>
          <w:lang w:val="es-ES_tradnl"/>
        </w:rPr>
      </w:pPr>
      <w:r w:rsidRPr="00D15F44">
        <w:rPr>
          <w:rFonts w:ascii="Book Antiqua" w:hAnsi="Book Antiqua"/>
          <w:lang w:val="es-ES_tradnl"/>
        </w:rPr>
        <w:t>Sección 5. - Se enmienda el Artículo 11 de la Ley Núm. 379 de 15 de mayo de 1948, según enmendada, para que lea como sigue:</w:t>
      </w:r>
    </w:p>
    <w:p w14:paraId="667D16D3"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lang w:val="es-ES_tradnl"/>
        </w:rPr>
        <w:t>“[</w:t>
      </w:r>
      <w:r w:rsidRPr="00D15F44">
        <w:rPr>
          <w:rFonts w:ascii="Book Antiqua" w:hAnsi="Book Antiqua"/>
          <w:b/>
          <w:lang w:val="es-ES"/>
        </w:rPr>
        <w:t>Artículo 11.-Todo patrono notificará por escrito a sus empleados la cantidad de horas de trabajo que se exige diariamente durante cada día de la semana, las horas de comienzo y terminación del trabajo, y la hora en que empieza y termina el periodo destinado a tomar los alimentos dentro de la jornada regular. El horario así́ notificado constituirá́ evidencia prima facie de que tales horas de trabajo en cada establecimiento constituyen la divisi</w:t>
      </w:r>
      <w:r w:rsidRPr="00D15F44">
        <w:rPr>
          <w:rFonts w:ascii="Book Antiqua" w:hAnsi="Book Antiqua" w:cs="Book Antiqua"/>
          <w:b/>
          <w:lang w:val="es-ES"/>
        </w:rPr>
        <w:t>ó</w:t>
      </w:r>
      <w:r w:rsidRPr="00D15F44">
        <w:rPr>
          <w:rFonts w:ascii="Book Antiqua" w:hAnsi="Book Antiqua"/>
          <w:b/>
          <w:lang w:val="es-ES"/>
        </w:rPr>
        <w:t>n de la jornada de trabajo.</w:t>
      </w:r>
    </w:p>
    <w:p w14:paraId="67E181A7"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El patrono que requiera o permita a un empleado trabajar por un periodo de más de cinco (5) horas consecutivas sin proporcionarle un periodo de descanso para tomar alimentos, tendrá́ que pagar al empleado el tiempo trabajado mediante compensaci</w:t>
      </w:r>
      <w:r w:rsidRPr="00D15F44">
        <w:rPr>
          <w:rFonts w:ascii="Book Antiqua" w:hAnsi="Book Antiqua" w:cs="Book Antiqua"/>
          <w:b/>
          <w:lang w:val="es-ES"/>
        </w:rPr>
        <w:t>ó</w:t>
      </w:r>
      <w:r w:rsidRPr="00D15F44">
        <w:rPr>
          <w:rFonts w:ascii="Book Antiqua" w:hAnsi="Book Antiqua"/>
          <w:b/>
          <w:lang w:val="es-ES"/>
        </w:rPr>
        <w:t>n extraordinaria, seg</w:t>
      </w:r>
      <w:r w:rsidRPr="00D15F44">
        <w:rPr>
          <w:rFonts w:ascii="Book Antiqua" w:hAnsi="Book Antiqua" w:cs="Book Antiqua"/>
          <w:b/>
          <w:lang w:val="es-ES"/>
        </w:rPr>
        <w:t>ú</w:t>
      </w:r>
      <w:r w:rsidRPr="00D15F44">
        <w:rPr>
          <w:rFonts w:ascii="Book Antiqua" w:hAnsi="Book Antiqua"/>
          <w:b/>
          <w:lang w:val="es-ES"/>
        </w:rPr>
        <w:t>n dispuesto en este Art</w:t>
      </w:r>
      <w:r w:rsidRPr="00D15F44">
        <w:rPr>
          <w:rFonts w:ascii="Book Antiqua" w:hAnsi="Book Antiqua" w:cs="Book Antiqua"/>
          <w:b/>
          <w:lang w:val="es-ES"/>
        </w:rPr>
        <w:t>í</w:t>
      </w:r>
      <w:r w:rsidRPr="00D15F44">
        <w:rPr>
          <w:rFonts w:ascii="Book Antiqua" w:hAnsi="Book Antiqua"/>
          <w:b/>
          <w:lang w:val="es-ES"/>
        </w:rPr>
        <w:t>culo. En aquellos casos en que el total de horas trabajadas por el empleado en el día no exceda seis (6) horas, el periodo de descanso para tomar alimentos podrá́ ser obviado.</w:t>
      </w:r>
    </w:p>
    <w:p w14:paraId="5137DE2D"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El periodo destinado a tomar los alimentos deberá́ comenzar a disfrutarse no antes de concluida la segunda ni despu</w:t>
      </w:r>
      <w:r w:rsidRPr="00D15F44">
        <w:rPr>
          <w:rFonts w:ascii="Book Antiqua" w:hAnsi="Book Antiqua" w:cs="Book Antiqua"/>
          <w:b/>
          <w:lang w:val="es-ES"/>
        </w:rPr>
        <w:t>é</w:t>
      </w:r>
      <w:r w:rsidRPr="00D15F44">
        <w:rPr>
          <w:rFonts w:ascii="Book Antiqua" w:hAnsi="Book Antiqua"/>
          <w:b/>
          <w:lang w:val="es-ES"/>
        </w:rPr>
        <w:t>s de comenzada la sexta hora de trabajo consecutiva.</w:t>
      </w:r>
    </w:p>
    <w:p w14:paraId="67533D83"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lastRenderedPageBreak/>
        <w:t>Un patrono no podrá́ emplear a un empleado por un periodo de trabajo que exceda diez (10) horas por d</w:t>
      </w:r>
      <w:r w:rsidRPr="00D15F44">
        <w:rPr>
          <w:rFonts w:ascii="Book Antiqua" w:hAnsi="Book Antiqua" w:cs="Book Antiqua"/>
          <w:b/>
          <w:lang w:val="es-ES"/>
        </w:rPr>
        <w:t>í</w:t>
      </w:r>
      <w:r w:rsidRPr="00D15F44">
        <w:rPr>
          <w:rFonts w:ascii="Book Antiqua" w:hAnsi="Book Antiqua"/>
          <w:b/>
          <w:lang w:val="es-ES"/>
        </w:rPr>
        <w:t>a, sin proporcionar al empleado un segundo periodo de descanso para tomar alimentos, excepto que el total de horas trabajadas no exceda doce (12) horas. En los casos en que el total de horas trabajadas no exceda doce (12) horas, el segundo periodo de descanso para tomar alimentos podrá́ ser obviado, siempre y cuando el primer periodo de descanso para tomar alimentos fue tomado por el empleado.</w:t>
      </w:r>
    </w:p>
    <w:p w14:paraId="7F6BAA45"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 xml:space="preserve">Los periodos señalados para tomar los alimentos que ocurran dentro o fuera de la jornada regular del empleado pueden reducirse a un periodo no menor de treinta (30) minutos, siempre y cuando medie una estipulación escrita entre el patrono y el empleado. En el caso de </w:t>
      </w:r>
      <w:proofErr w:type="spellStart"/>
      <w:r w:rsidRPr="00D15F44">
        <w:rPr>
          <w:rFonts w:ascii="Book Antiqua" w:hAnsi="Book Antiqua"/>
          <w:b/>
          <w:lang w:val="es-ES"/>
        </w:rPr>
        <w:t>croupiers</w:t>
      </w:r>
      <w:proofErr w:type="spellEnd"/>
      <w:r w:rsidRPr="00D15F44">
        <w:rPr>
          <w:rFonts w:ascii="Book Antiqua" w:hAnsi="Book Antiqua"/>
          <w:b/>
          <w:lang w:val="es-ES"/>
        </w:rPr>
        <w:t xml:space="preserve">, enfermeras, enfermeros y guardias de seguridad y aquellos otros autorizados por el </w:t>
      </w:r>
      <w:proofErr w:type="gramStart"/>
      <w:r w:rsidRPr="00D15F44">
        <w:rPr>
          <w:rFonts w:ascii="Book Antiqua" w:hAnsi="Book Antiqua"/>
          <w:b/>
          <w:lang w:val="es-ES"/>
        </w:rPr>
        <w:t>Secretario</w:t>
      </w:r>
      <w:proofErr w:type="gramEnd"/>
      <w:r w:rsidRPr="00D15F44">
        <w:rPr>
          <w:rFonts w:ascii="Book Antiqua" w:hAnsi="Book Antiqua"/>
          <w:b/>
          <w:lang w:val="es-ES"/>
        </w:rPr>
        <w:t xml:space="preserve"> del Trabajo y Recursos Humanos, el periodo de descanso para tomar alimentos podrá reducirse hasta veinte (20) minutos cuando medie una estipulación escrita entre el patrono y el empleado, sin que requiera aprobación del </w:t>
      </w:r>
      <w:proofErr w:type="gramStart"/>
      <w:r w:rsidRPr="00D15F44">
        <w:rPr>
          <w:rFonts w:ascii="Book Antiqua" w:hAnsi="Book Antiqua"/>
          <w:b/>
          <w:lang w:val="es-ES"/>
        </w:rPr>
        <w:t>Secretario</w:t>
      </w:r>
      <w:proofErr w:type="gramEnd"/>
      <w:r w:rsidRPr="00D15F44">
        <w:rPr>
          <w:rFonts w:ascii="Book Antiqua" w:hAnsi="Book Antiqua"/>
          <w:b/>
          <w:lang w:val="es-ES"/>
        </w:rPr>
        <w:t>. No obstante, las demás disposiciones de este Artículo serán de aplicación.</w:t>
      </w:r>
    </w:p>
    <w:p w14:paraId="6070178B"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t>Las estipulaciones para reducir un periodo de descanso para tomar alimentos serán válidas indefinidamente y ninguna de las partes, sin el consentimiento de la otra, podrá retirar su consentimiento a lo estipulado hasta después de un (1) año de ser efectiva la estipulación. Dichas estipulaciones continuarán vigentes cuando un tercero adquiera el negocio del patrono.</w:t>
      </w:r>
    </w:p>
    <w:p w14:paraId="474420B6" w14:textId="77777777" w:rsidR="00782D50" w:rsidRPr="00D15F44" w:rsidRDefault="00782D50" w:rsidP="00782D50">
      <w:pPr>
        <w:spacing w:line="480" w:lineRule="auto"/>
        <w:ind w:left="360" w:firstLine="360"/>
        <w:jc w:val="both"/>
        <w:rPr>
          <w:rFonts w:ascii="Book Antiqua" w:hAnsi="Book Antiqua"/>
          <w:b/>
          <w:lang w:val="es-ES"/>
        </w:rPr>
      </w:pPr>
      <w:r w:rsidRPr="00D15F44">
        <w:rPr>
          <w:rFonts w:ascii="Book Antiqua" w:hAnsi="Book Antiqua"/>
          <w:b/>
          <w:lang w:val="es-ES"/>
        </w:rPr>
        <w:lastRenderedPageBreak/>
        <w:t>El patrono que emplee o permita que un empleado trabaje durante el periodo destinado para tomar los alimentos vendrá obligado a pagar por dicho periodo o fracción del mismo un tipo de salario igual a tiempo y medio del tipo convenido para las horas regulares, disponiéndose que los empleados con derecho a pago de un tipo superior al tiempo y medio previo a la vigencia de la “Ley de Transformación y Flexibilidad Laboral”, preservarán el mismo.]</w:t>
      </w:r>
    </w:p>
    <w:p w14:paraId="1BA7D191"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 xml:space="preserve">Artículo 11. - Todo patrono notificará por escrito a sus empleados la cantidad de horas de trabajo que se exige diariamente durante cada día de la semana, las horas de comienzo y terminación del trabajo, y la hora en que empieza y termina el periodo destinado a tomar los alimentos dentro de la jornada regular. El horario así notificado constituirá́ evidencia </w:t>
      </w:r>
      <w:r w:rsidRPr="00D15F44">
        <w:rPr>
          <w:rFonts w:ascii="Book Antiqua" w:hAnsi="Book Antiqua"/>
          <w:i/>
          <w:iCs/>
          <w:lang w:val="es-ES_tradnl"/>
        </w:rPr>
        <w:t xml:space="preserve">prima facie </w:t>
      </w:r>
      <w:r w:rsidRPr="00D15F44">
        <w:rPr>
          <w:rFonts w:ascii="Book Antiqua" w:hAnsi="Book Antiqua"/>
          <w:i/>
          <w:lang w:val="es-ES_tradnl"/>
        </w:rPr>
        <w:t xml:space="preserve">de que tales horas de trabajo en cada establecimiento constituyen la división de la jornada de trabajo. </w:t>
      </w:r>
    </w:p>
    <w:p w14:paraId="101F6D4A"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ab/>
        <w:t>El periodo destinado a tomar los alimentos deberá comenzar a disfrutarse no de concluida la tercera ni después de comenzada la sexta hora de trabajo consecutiva, de manera que en ningún momento se requiera a los empleados trabajar durante más de cinco (5) horas consecutivas sin hacer una pausa en las labores para alimentarse. En aquellos casos en que el total de horas trabajadas por el empleado en el día no exceda seis (6) horas, el periodo de descanso para tomar alimentos podrá ser obviado.</w:t>
      </w:r>
    </w:p>
    <w:p w14:paraId="20B0598C"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ab/>
        <w:t>El periodo destinado a tomar los alimentos deberá́ comenzar a disfrutarse no antes de concluida la segunda ni despu</w:t>
      </w:r>
      <w:r w:rsidRPr="00D15F44">
        <w:rPr>
          <w:rFonts w:ascii="Book Antiqua" w:hAnsi="Book Antiqua" w:cs="Book Antiqua"/>
          <w:i/>
          <w:lang w:val="es-ES_tradnl"/>
        </w:rPr>
        <w:t>é</w:t>
      </w:r>
      <w:r w:rsidRPr="00D15F44">
        <w:rPr>
          <w:rFonts w:ascii="Book Antiqua" w:hAnsi="Book Antiqua"/>
          <w:i/>
          <w:lang w:val="es-ES_tradnl"/>
        </w:rPr>
        <w:t>s de comenzada la sexta hora de trabajo consecutiva.</w:t>
      </w:r>
    </w:p>
    <w:p w14:paraId="2868030A" w14:textId="77777777" w:rsidR="00782D50" w:rsidRPr="00D15F44" w:rsidRDefault="00782D50" w:rsidP="00782D50">
      <w:pPr>
        <w:spacing w:line="480" w:lineRule="auto"/>
        <w:ind w:left="360" w:firstLine="360"/>
        <w:jc w:val="both"/>
        <w:rPr>
          <w:rFonts w:ascii="Book Antiqua" w:hAnsi="Book Antiqua"/>
          <w:i/>
          <w:lang w:val="es-ES_tradnl"/>
        </w:rPr>
      </w:pPr>
      <w:r w:rsidRPr="00D15F44">
        <w:rPr>
          <w:rFonts w:ascii="Book Antiqua" w:hAnsi="Book Antiqua"/>
          <w:i/>
          <w:lang w:val="es-ES_tradnl"/>
        </w:rPr>
        <w:tab/>
        <w:t xml:space="preserve">Un patrono no podrá emplear a un empleado por un periodo de trabajo que exceda ocho (8) horas por día, sin proporcionar al empleado un segundo periodo de descanso para </w:t>
      </w:r>
      <w:r w:rsidRPr="00D15F44">
        <w:rPr>
          <w:rFonts w:ascii="Book Antiqua" w:hAnsi="Book Antiqua"/>
          <w:i/>
          <w:lang w:val="es-ES_tradnl"/>
        </w:rPr>
        <w:lastRenderedPageBreak/>
        <w:t xml:space="preserve">tomar alimentos, excepto que el total de horas trabajadas no exceda diez (10) horas. En los casos en que el total de horas trabajadas no exceda diez (10) horas, el segundo periodo de descanso para tomar alimentos podrá ser obviado, siempre y cuando el primer periodo de descanso para tomar alimentos haya sido tomado </w:t>
      </w:r>
      <w:proofErr w:type="spellStart"/>
      <w:r w:rsidRPr="00D15F44">
        <w:rPr>
          <w:rFonts w:ascii="Book Antiqua" w:hAnsi="Book Antiqua"/>
          <w:i/>
          <w:lang w:val="es-ES_tradnl"/>
        </w:rPr>
        <w:t>tomado</w:t>
      </w:r>
      <w:proofErr w:type="spellEnd"/>
      <w:r w:rsidRPr="00D15F44">
        <w:rPr>
          <w:rFonts w:ascii="Book Antiqua" w:hAnsi="Book Antiqua"/>
          <w:i/>
          <w:lang w:val="es-ES_tradnl"/>
        </w:rPr>
        <w:t xml:space="preserve"> por el empleado.</w:t>
      </w:r>
    </w:p>
    <w:p w14:paraId="39494C6F" w14:textId="77777777" w:rsidR="00782D50" w:rsidRPr="00D15F44" w:rsidRDefault="00782D50" w:rsidP="00782D50">
      <w:pPr>
        <w:spacing w:line="480" w:lineRule="auto"/>
        <w:ind w:left="360" w:firstLine="360"/>
        <w:jc w:val="both"/>
        <w:rPr>
          <w:rFonts w:ascii="Book Antiqua" w:hAnsi="Book Antiqua"/>
          <w:lang w:val="es-ES_tradnl"/>
        </w:rPr>
      </w:pPr>
      <w:r w:rsidRPr="00D15F44">
        <w:rPr>
          <w:rFonts w:ascii="Book Antiqua" w:hAnsi="Book Antiqua"/>
          <w:i/>
          <w:lang w:val="es-ES_tradnl"/>
        </w:rPr>
        <w:tab/>
        <w:t>El patrono que emplee o permita que un empleado trabaje durante el periodo destinado para tomar los alimentos vendrá obligado a pagar por dicho periodo o fracción del mismo un tipo de salario igual al doble del tipo convenido para las horas regulares</w:t>
      </w:r>
      <w:r w:rsidRPr="00D15F44">
        <w:rPr>
          <w:rFonts w:ascii="Book Antiqua" w:hAnsi="Book Antiqua"/>
          <w:lang w:val="es-ES_tradnl"/>
        </w:rPr>
        <w:t>.</w:t>
      </w:r>
      <w:r>
        <w:rPr>
          <w:rFonts w:ascii="Book Antiqua" w:hAnsi="Book Antiqua"/>
          <w:lang w:val="es-ES_tradnl"/>
        </w:rPr>
        <w:t>”</w:t>
      </w:r>
    </w:p>
    <w:p w14:paraId="4C0601D6" w14:textId="77777777" w:rsidR="00782D50" w:rsidRPr="00D15F44" w:rsidRDefault="00782D50" w:rsidP="00782D50">
      <w:pPr>
        <w:spacing w:line="480" w:lineRule="auto"/>
        <w:ind w:firstLine="360"/>
        <w:jc w:val="both"/>
        <w:rPr>
          <w:rFonts w:ascii="Book Antiqua" w:hAnsi="Book Antiqua"/>
          <w:lang w:val="es-ES_tradnl"/>
        </w:rPr>
      </w:pPr>
      <w:r w:rsidRPr="00D15F44">
        <w:rPr>
          <w:rFonts w:ascii="Book Antiqua" w:hAnsi="Book Antiqua"/>
          <w:lang w:val="es-ES_tradnl"/>
        </w:rPr>
        <w:tab/>
        <w:t>Sección 6. -  Se enmienda la Sección 4 de la Ley Núm. 289 de 9 de abril de 1946, según enmendada, para que lea como sigue:</w:t>
      </w:r>
    </w:p>
    <w:p w14:paraId="1D813B79" w14:textId="77777777" w:rsidR="00782D50" w:rsidRPr="00D15F44" w:rsidRDefault="00782D50" w:rsidP="00782D50">
      <w:pPr>
        <w:spacing w:line="480" w:lineRule="auto"/>
        <w:ind w:left="360" w:firstLine="360"/>
        <w:jc w:val="both"/>
        <w:rPr>
          <w:rFonts w:ascii="Book Antiqua" w:hAnsi="Book Antiqua"/>
          <w:lang w:val="es-ES"/>
        </w:rPr>
      </w:pPr>
      <w:r w:rsidRPr="00D15F44">
        <w:rPr>
          <w:rFonts w:ascii="Book Antiqua" w:hAnsi="Book Antiqua"/>
          <w:b/>
          <w:lang w:val="es-ES"/>
        </w:rPr>
        <w:t>“</w:t>
      </w:r>
      <w:r w:rsidRPr="00D15F44">
        <w:rPr>
          <w:rFonts w:ascii="Book Antiqua" w:hAnsi="Book Antiqua"/>
          <w:lang w:val="es-ES"/>
        </w:rPr>
        <w:t>[</w:t>
      </w:r>
      <w:r w:rsidRPr="00D15F44">
        <w:rPr>
          <w:rFonts w:ascii="Book Antiqua" w:hAnsi="Book Antiqua"/>
          <w:b/>
          <w:lang w:val="es-ES"/>
        </w:rPr>
        <w:t>Sección 4.-Todo patrono que emplee o permita que un empleado trabaje durante el día de descanso que se establece en esta Ley, vendrá obligado a pagar las horas trabajadas durante dicho día de descanso a un tipo de salario igual al tiempo y medio del tipo convenido para las horas regulares, disponiéndose que los empleados con derecho a beneficios superiores previo a la vigencia de la “Ley de Transformación y Flexibilidad Laboral”, preservarán los mismos</w:t>
      </w:r>
      <w:r w:rsidRPr="00D15F44">
        <w:rPr>
          <w:rFonts w:ascii="Book Antiqua" w:hAnsi="Book Antiqua"/>
          <w:lang w:val="es-ES"/>
        </w:rPr>
        <w:t>.]</w:t>
      </w:r>
    </w:p>
    <w:p w14:paraId="35A2525C" w14:textId="01D34470" w:rsidR="00F13533" w:rsidRDefault="00782D50" w:rsidP="00782D50">
      <w:pPr>
        <w:spacing w:line="480" w:lineRule="auto"/>
        <w:ind w:firstLine="720"/>
        <w:jc w:val="both"/>
        <w:rPr>
          <w:rFonts w:ascii="Book Antiqua" w:hAnsi="Book Antiqua"/>
          <w:lang w:val="es-ES_tradnl"/>
        </w:rPr>
      </w:pPr>
      <w:r w:rsidRPr="00D15F44">
        <w:rPr>
          <w:rFonts w:ascii="Book Antiqua" w:hAnsi="Book Antiqua"/>
          <w:lang w:val="es-ES_tradnl"/>
        </w:rPr>
        <w:tab/>
        <w:t>“</w:t>
      </w:r>
      <w:r w:rsidRPr="00D15F44">
        <w:rPr>
          <w:rFonts w:ascii="Book Antiqua" w:hAnsi="Book Antiqua"/>
          <w:i/>
          <w:lang w:val="es-ES_tradnl"/>
        </w:rPr>
        <w:t>Sección 4. - Todo patrono que emplee o permita que un empleado trabaje durante el día de descanso que se establece en esta Ley, vendrá́ obligado a pagar las horas trabajadas durante dicho día de descanso a un tipo de salario igual al doble del tipo convenido para las horas regulares</w:t>
      </w:r>
      <w:r w:rsidRPr="00D15F44">
        <w:rPr>
          <w:rFonts w:ascii="Book Antiqua" w:hAnsi="Book Antiqua"/>
          <w:lang w:val="es-ES_tradnl"/>
        </w:rPr>
        <w:t>.</w:t>
      </w:r>
      <w:r>
        <w:rPr>
          <w:rFonts w:ascii="Book Antiqua" w:hAnsi="Book Antiqua"/>
          <w:lang w:val="es-ES_tradnl"/>
        </w:rPr>
        <w:t>”</w:t>
      </w:r>
    </w:p>
    <w:p w14:paraId="77BBE74B" w14:textId="67D6F982" w:rsidR="00173FD0" w:rsidRPr="00D15F44" w:rsidRDefault="00173FD0" w:rsidP="00173FD0">
      <w:pPr>
        <w:spacing w:line="480" w:lineRule="auto"/>
        <w:ind w:firstLine="360"/>
        <w:jc w:val="both"/>
        <w:rPr>
          <w:rFonts w:ascii="Book Antiqua" w:hAnsi="Book Antiqua"/>
          <w:lang w:val="es-ES_tradnl"/>
        </w:rPr>
      </w:pPr>
      <w:r w:rsidRPr="00D15F44">
        <w:rPr>
          <w:rFonts w:ascii="Book Antiqua" w:hAnsi="Book Antiqua"/>
          <w:lang w:val="es-ES_tradnl"/>
        </w:rPr>
        <w:t xml:space="preserve">Sección </w:t>
      </w:r>
      <w:r>
        <w:rPr>
          <w:rFonts w:ascii="Book Antiqua" w:hAnsi="Book Antiqua"/>
          <w:lang w:val="es-ES_tradnl"/>
        </w:rPr>
        <w:t>7</w:t>
      </w:r>
      <w:r w:rsidRPr="00D15F44">
        <w:rPr>
          <w:rFonts w:ascii="Book Antiqua" w:hAnsi="Book Antiqua"/>
          <w:lang w:val="es-ES_tradnl"/>
        </w:rPr>
        <w:t xml:space="preserve">. - Separabilidad </w:t>
      </w:r>
    </w:p>
    <w:p w14:paraId="7EA52419" w14:textId="77777777" w:rsidR="00173FD0" w:rsidRPr="00D15F44" w:rsidRDefault="00173FD0" w:rsidP="00173FD0">
      <w:pPr>
        <w:spacing w:line="480" w:lineRule="auto"/>
        <w:ind w:firstLine="360"/>
        <w:jc w:val="both"/>
        <w:rPr>
          <w:rFonts w:ascii="Book Antiqua" w:hAnsi="Book Antiqua"/>
          <w:lang w:val="es-ES_tradnl"/>
        </w:rPr>
      </w:pPr>
      <w:r w:rsidRPr="00D15F44">
        <w:rPr>
          <w:rFonts w:ascii="Book Antiqua" w:hAnsi="Book Antiqua"/>
          <w:lang w:val="es-ES_tradnl"/>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D15F44">
        <w:rPr>
          <w:rFonts w:ascii="Book Antiqua" w:hAnsi="Book Antiqua"/>
          <w:lang w:val="es-ES_tradnl"/>
        </w:rPr>
        <w:lastRenderedPageBreak/>
        <w:t>dictada no afectará, perjudicará, ni invalidará el remanente de esta Ley. El efecto de dicha sentencia quedará limitado a la cláusula, párrafo, subpárrafo, oración, palabra, letra, artículo, disposición, sección, subsección, título, capítulo, subcapítulo, acápite o parte de la misma que así́ hubiere sido anulada o declarada inconstitucional. Si la aplicaci</w:t>
      </w:r>
      <w:r w:rsidRPr="00D15F44">
        <w:rPr>
          <w:rFonts w:ascii="Book Antiqua" w:hAnsi="Book Antiqua" w:cs="Book Antiqua"/>
          <w:lang w:val="es-ES_tradnl"/>
        </w:rPr>
        <w:t>ó</w:t>
      </w:r>
      <w:r w:rsidRPr="00D15F44">
        <w:rPr>
          <w:rFonts w:ascii="Book Antiqua" w:hAnsi="Book Antiqua"/>
          <w:lang w:val="es-ES_tradnl"/>
        </w:rPr>
        <w:t xml:space="preserve">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afectará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D15F44">
        <w:rPr>
          <w:rFonts w:ascii="Book Antiqua" w:hAnsi="Book Antiqua"/>
          <w:lang w:val="es-ES_tradnl"/>
        </w:rPr>
        <w:t>o</w:t>
      </w:r>
      <w:proofErr w:type="gramEnd"/>
      <w:r w:rsidRPr="00D15F44">
        <w:rPr>
          <w:rFonts w:ascii="Book Antiqua" w:hAnsi="Book Antiqua"/>
          <w:lang w:val="es-ES_tradnl"/>
        </w:rPr>
        <w:t xml:space="preserve"> aunque se deje sin efecto, invalide o declare inconstitucional su aplicación a alguna persona o circunstancias. La Asamblea Legislativa hubiera aprobado esta Ley sin importar la determinación de separabilidad que el Tribunal pueda hacer. </w:t>
      </w:r>
    </w:p>
    <w:p w14:paraId="14DE6C7B" w14:textId="6BC9A21D" w:rsidR="00173FD0" w:rsidRPr="00BC6728" w:rsidRDefault="00173FD0" w:rsidP="00173FD0">
      <w:pPr>
        <w:spacing w:line="480" w:lineRule="auto"/>
        <w:ind w:firstLine="720"/>
        <w:jc w:val="both"/>
        <w:rPr>
          <w:rFonts w:ascii="Book Antiqua" w:hAnsi="Book Antiqua"/>
          <w:lang w:val="es-ES"/>
        </w:rPr>
      </w:pPr>
      <w:r w:rsidRPr="00D15F44">
        <w:rPr>
          <w:rFonts w:ascii="Book Antiqua" w:hAnsi="Book Antiqua"/>
          <w:lang w:val="es-ES_tradnl"/>
        </w:rPr>
        <w:t xml:space="preserve">Sección </w:t>
      </w:r>
      <w:r>
        <w:rPr>
          <w:rFonts w:ascii="Book Antiqua" w:hAnsi="Book Antiqua"/>
          <w:lang w:val="es-ES_tradnl"/>
        </w:rPr>
        <w:t>8</w:t>
      </w:r>
      <w:r w:rsidRPr="00D15F44">
        <w:rPr>
          <w:rFonts w:ascii="Book Antiqua" w:hAnsi="Book Antiqua"/>
          <w:lang w:val="es-ES_tradnl"/>
        </w:rPr>
        <w:t>. - 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7"/>
  </w:num>
  <w:num w:numId="3" w16cid:durableId="1132467">
    <w:abstractNumId w:val="4"/>
  </w:num>
  <w:num w:numId="4" w16cid:durableId="702096654">
    <w:abstractNumId w:val="5"/>
  </w:num>
  <w:num w:numId="5" w16cid:durableId="496698076">
    <w:abstractNumId w:val="6"/>
  </w:num>
  <w:num w:numId="6" w16cid:durableId="1469207924">
    <w:abstractNumId w:val="2"/>
  </w:num>
  <w:num w:numId="7" w16cid:durableId="355935514">
    <w:abstractNumId w:val="3"/>
  </w:num>
  <w:num w:numId="8" w16cid:durableId="259021808">
    <w:abstractNumId w:val="1"/>
  </w:num>
  <w:num w:numId="9" w16cid:durableId="9577635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73FD0"/>
    <w:rsid w:val="001B623C"/>
    <w:rsid w:val="001C006D"/>
    <w:rsid w:val="001F4CA3"/>
    <w:rsid w:val="001F612A"/>
    <w:rsid w:val="00211396"/>
    <w:rsid w:val="002205E2"/>
    <w:rsid w:val="00226AE6"/>
    <w:rsid w:val="00245B34"/>
    <w:rsid w:val="00251962"/>
    <w:rsid w:val="00263355"/>
    <w:rsid w:val="00273792"/>
    <w:rsid w:val="002D4AC8"/>
    <w:rsid w:val="002F0A85"/>
    <w:rsid w:val="003069A5"/>
    <w:rsid w:val="00312328"/>
    <w:rsid w:val="00320D78"/>
    <w:rsid w:val="003262FE"/>
    <w:rsid w:val="0034244A"/>
    <w:rsid w:val="00362B62"/>
    <w:rsid w:val="00380FE5"/>
    <w:rsid w:val="003924DD"/>
    <w:rsid w:val="00394FCB"/>
    <w:rsid w:val="003963F4"/>
    <w:rsid w:val="003B5254"/>
    <w:rsid w:val="003B75A6"/>
    <w:rsid w:val="003E1DFE"/>
    <w:rsid w:val="004061CA"/>
    <w:rsid w:val="00415689"/>
    <w:rsid w:val="004440CB"/>
    <w:rsid w:val="0045085C"/>
    <w:rsid w:val="004548EA"/>
    <w:rsid w:val="004713D2"/>
    <w:rsid w:val="00475278"/>
    <w:rsid w:val="004A311A"/>
    <w:rsid w:val="004B7C8D"/>
    <w:rsid w:val="004E029D"/>
    <w:rsid w:val="004F6F8E"/>
    <w:rsid w:val="00515E15"/>
    <w:rsid w:val="0051629D"/>
    <w:rsid w:val="00521639"/>
    <w:rsid w:val="0052618B"/>
    <w:rsid w:val="00532BB7"/>
    <w:rsid w:val="005332E4"/>
    <w:rsid w:val="0053550C"/>
    <w:rsid w:val="00555018"/>
    <w:rsid w:val="005723DC"/>
    <w:rsid w:val="005733E1"/>
    <w:rsid w:val="005D79A1"/>
    <w:rsid w:val="006104EC"/>
    <w:rsid w:val="006210DC"/>
    <w:rsid w:val="0064349D"/>
    <w:rsid w:val="00651FF1"/>
    <w:rsid w:val="00653EED"/>
    <w:rsid w:val="00685549"/>
    <w:rsid w:val="006A23E8"/>
    <w:rsid w:val="006A309C"/>
    <w:rsid w:val="006B4D52"/>
    <w:rsid w:val="006B640E"/>
    <w:rsid w:val="006B7365"/>
    <w:rsid w:val="006C214B"/>
    <w:rsid w:val="006C2D81"/>
    <w:rsid w:val="006C7DF8"/>
    <w:rsid w:val="00750FC8"/>
    <w:rsid w:val="007533D0"/>
    <w:rsid w:val="00753EC2"/>
    <w:rsid w:val="00755069"/>
    <w:rsid w:val="00772304"/>
    <w:rsid w:val="00782D50"/>
    <w:rsid w:val="00793A6A"/>
    <w:rsid w:val="007B0660"/>
    <w:rsid w:val="007B7B7D"/>
    <w:rsid w:val="007C057A"/>
    <w:rsid w:val="007D6C27"/>
    <w:rsid w:val="007E3868"/>
    <w:rsid w:val="007F1746"/>
    <w:rsid w:val="00820C41"/>
    <w:rsid w:val="00844617"/>
    <w:rsid w:val="00850256"/>
    <w:rsid w:val="00854B10"/>
    <w:rsid w:val="00860ADC"/>
    <w:rsid w:val="0088408D"/>
    <w:rsid w:val="008A0ACC"/>
    <w:rsid w:val="008D2C7D"/>
    <w:rsid w:val="008D44C5"/>
    <w:rsid w:val="008E173A"/>
    <w:rsid w:val="009035B9"/>
    <w:rsid w:val="00924DCC"/>
    <w:rsid w:val="0093686F"/>
    <w:rsid w:val="00937532"/>
    <w:rsid w:val="00942FD4"/>
    <w:rsid w:val="00951997"/>
    <w:rsid w:val="00990352"/>
    <w:rsid w:val="009B4897"/>
    <w:rsid w:val="009F35CF"/>
    <w:rsid w:val="00A03405"/>
    <w:rsid w:val="00A10B1E"/>
    <w:rsid w:val="00A12BB9"/>
    <w:rsid w:val="00A1528A"/>
    <w:rsid w:val="00A33918"/>
    <w:rsid w:val="00A7629F"/>
    <w:rsid w:val="00A842B4"/>
    <w:rsid w:val="00A875F3"/>
    <w:rsid w:val="00A87FD3"/>
    <w:rsid w:val="00AA43B5"/>
    <w:rsid w:val="00AB248D"/>
    <w:rsid w:val="00AD2305"/>
    <w:rsid w:val="00AE36A9"/>
    <w:rsid w:val="00AF0CEE"/>
    <w:rsid w:val="00AF78A7"/>
    <w:rsid w:val="00B2475B"/>
    <w:rsid w:val="00B335B4"/>
    <w:rsid w:val="00B667AD"/>
    <w:rsid w:val="00B833A0"/>
    <w:rsid w:val="00B834FC"/>
    <w:rsid w:val="00B84C38"/>
    <w:rsid w:val="00B86C00"/>
    <w:rsid w:val="00B947F6"/>
    <w:rsid w:val="00BC6728"/>
    <w:rsid w:val="00BF10EF"/>
    <w:rsid w:val="00BF16AA"/>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A4429"/>
    <w:rsid w:val="00DD0A78"/>
    <w:rsid w:val="00DE2C63"/>
    <w:rsid w:val="00DE56DE"/>
    <w:rsid w:val="00DE7377"/>
    <w:rsid w:val="00E04AB5"/>
    <w:rsid w:val="00E16745"/>
    <w:rsid w:val="00E50EEA"/>
    <w:rsid w:val="00E52F58"/>
    <w:rsid w:val="00E7058A"/>
    <w:rsid w:val="00EB73A4"/>
    <w:rsid w:val="00EC26AA"/>
    <w:rsid w:val="00EC5DD6"/>
    <w:rsid w:val="00ED7A53"/>
    <w:rsid w:val="00EE0647"/>
    <w:rsid w:val="00EE4273"/>
    <w:rsid w:val="00EF6CE9"/>
    <w:rsid w:val="00F02004"/>
    <w:rsid w:val="00F042CB"/>
    <w:rsid w:val="00F06507"/>
    <w:rsid w:val="00F13533"/>
    <w:rsid w:val="00F24D4C"/>
    <w:rsid w:val="00F60A20"/>
    <w:rsid w:val="00F90D72"/>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3071</Words>
  <Characters>15660</Characters>
  <Application>Microsoft Office Word</Application>
  <DocSecurity>0</DocSecurity>
  <Lines>130</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Gladys J. Burgos Torres</cp:lastModifiedBy>
  <cp:revision>5</cp:revision>
  <cp:lastPrinted>2025-04-30T12:22:00Z</cp:lastPrinted>
  <dcterms:created xsi:type="dcterms:W3CDTF">2025-04-29T19:47:00Z</dcterms:created>
  <dcterms:modified xsi:type="dcterms:W3CDTF">2025-04-30T12:23:00Z</dcterms:modified>
</cp:coreProperties>
</file>