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9482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9482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9482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9482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9482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9482C">
        <w:rPr>
          <w:rFonts w:ascii="Book Antiqua" w:hAnsi="Book Antiqua"/>
          <w:szCs w:val="24"/>
          <w:lang w:val="es-ES_tradnl"/>
        </w:rPr>
        <w:t>20m</w:t>
      </w:r>
      <w:r w:rsidR="002670C1" w:rsidRPr="0059482C">
        <w:rPr>
          <w:rFonts w:ascii="Book Antiqua" w:hAnsi="Book Antiqua"/>
          <w:szCs w:val="24"/>
          <w:lang w:val="es-ES_tradnl"/>
        </w:rPr>
        <w:t>a. Asamblea</w:t>
      </w:r>
      <w:r w:rsidR="002670C1" w:rsidRPr="0059482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9482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9482C">
        <w:rPr>
          <w:rFonts w:ascii="Book Antiqua" w:hAnsi="Book Antiqua"/>
          <w:szCs w:val="24"/>
          <w:lang w:val="es-ES_tradnl"/>
        </w:rPr>
        <w:t xml:space="preserve">  </w:t>
      </w:r>
      <w:r w:rsidR="00445CFE" w:rsidRPr="0059482C">
        <w:rPr>
          <w:rFonts w:ascii="Book Antiqua" w:hAnsi="Book Antiqua"/>
          <w:szCs w:val="24"/>
          <w:lang w:val="es-ES_tradnl"/>
        </w:rPr>
        <w:t>1r</w:t>
      </w:r>
      <w:r w:rsidR="002670C1" w:rsidRPr="0059482C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9482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9482C">
        <w:rPr>
          <w:rFonts w:ascii="Book Antiqua" w:hAnsi="Book Antiqua"/>
          <w:szCs w:val="24"/>
          <w:lang w:val="es-ES_tradnl"/>
        </w:rPr>
        <w:tab/>
        <w:t>Legislativa</w:t>
      </w:r>
      <w:r w:rsidRPr="0059482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9482C">
        <w:rPr>
          <w:rFonts w:ascii="Book Antiqua" w:hAnsi="Book Antiqua"/>
          <w:szCs w:val="24"/>
          <w:lang w:val="es-ES_tradnl"/>
        </w:rPr>
        <w:t xml:space="preserve">       </w:t>
      </w:r>
      <w:r w:rsidRPr="0059482C">
        <w:rPr>
          <w:rFonts w:ascii="Book Antiqua" w:hAnsi="Book Antiqua"/>
          <w:szCs w:val="24"/>
          <w:lang w:val="es-ES_tradnl"/>
        </w:rPr>
        <w:t xml:space="preserve"> </w:t>
      </w:r>
      <w:r w:rsidR="00632DBA" w:rsidRPr="0059482C">
        <w:rPr>
          <w:rFonts w:ascii="Book Antiqua" w:hAnsi="Book Antiqua"/>
          <w:szCs w:val="24"/>
          <w:lang w:val="es-ES_tradnl"/>
        </w:rPr>
        <w:t xml:space="preserve"> </w:t>
      </w:r>
      <w:r w:rsidRPr="0059482C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9482C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9482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9482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948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948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0DD5D53" w:rsidR="002670C1" w:rsidRPr="0059482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9482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8B0D5D">
        <w:rPr>
          <w:rFonts w:ascii="Book Antiqua" w:hAnsi="Book Antiqua" w:cs="Tahoma"/>
          <w:b/>
          <w:sz w:val="52"/>
          <w:szCs w:val="52"/>
          <w:lang w:val="es-ES_tradnl"/>
        </w:rPr>
        <w:t>352</w:t>
      </w:r>
    </w:p>
    <w:p w14:paraId="2AB71EBC" w14:textId="77777777" w:rsidR="001A14B6" w:rsidRPr="0059482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9482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9482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9482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9482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2CE9F54" w:rsidR="002670C1" w:rsidRPr="0059482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9482C">
        <w:rPr>
          <w:rFonts w:ascii="Book Antiqua" w:hAnsi="Book Antiqua" w:cs="Tahoma"/>
          <w:lang w:val="es-ES_tradnl"/>
        </w:rPr>
        <w:t xml:space="preserve"> </w:t>
      </w:r>
      <w:r w:rsidR="004B6074">
        <w:rPr>
          <w:rFonts w:ascii="Book Antiqua" w:hAnsi="Book Antiqua" w:cs="Tahoma"/>
          <w:lang w:val="es-ES_tradnl"/>
        </w:rPr>
        <w:t>30</w:t>
      </w:r>
      <w:r w:rsidRPr="0059482C">
        <w:rPr>
          <w:rFonts w:ascii="Book Antiqua" w:hAnsi="Book Antiqua" w:cs="Tahoma"/>
          <w:lang w:val="es-ES_tradnl"/>
        </w:rPr>
        <w:t xml:space="preserve"> de </w:t>
      </w:r>
      <w:r w:rsidR="00F533D4" w:rsidRPr="0059482C">
        <w:rPr>
          <w:rFonts w:ascii="Book Antiqua" w:hAnsi="Book Antiqua" w:cs="Tahoma"/>
          <w:lang w:val="es-ES_tradnl"/>
        </w:rPr>
        <w:t>junio</w:t>
      </w:r>
      <w:r w:rsidRPr="0059482C">
        <w:rPr>
          <w:rFonts w:ascii="Book Antiqua" w:hAnsi="Book Antiqua" w:cs="Tahoma"/>
          <w:lang w:val="es-ES_tradnl"/>
        </w:rPr>
        <w:t xml:space="preserve"> de </w:t>
      </w:r>
      <w:r w:rsidR="00333864" w:rsidRPr="0059482C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9482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9482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9482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9482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9482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B3DA1B1" w:rsidR="00682883" w:rsidRPr="0059482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9482C">
        <w:rPr>
          <w:rFonts w:ascii="Book Antiqua" w:hAnsi="Book Antiqua" w:cs="Tahoma"/>
          <w:lang w:val="es-ES_tradnl"/>
        </w:rPr>
        <w:tab/>
      </w:r>
      <w:r w:rsidR="008A4022" w:rsidRPr="0059482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59482C">
        <w:rPr>
          <w:rFonts w:ascii="Book Antiqua" w:hAnsi="Book Antiqua" w:cs="Tahoma"/>
          <w:lang w:val="es-ES_tradnl"/>
        </w:rPr>
        <w:t>sideración de la R. de la C.</w:t>
      </w:r>
      <w:r w:rsidR="00234891" w:rsidRPr="0059482C">
        <w:rPr>
          <w:rFonts w:ascii="Book Antiqua" w:hAnsi="Book Antiqua" w:cs="Tahoma"/>
          <w:lang w:val="es-ES_tradnl"/>
        </w:rPr>
        <w:t xml:space="preserve"> </w:t>
      </w:r>
      <w:r w:rsidR="008B0D5D">
        <w:rPr>
          <w:rFonts w:ascii="Book Antiqua" w:hAnsi="Book Antiqua" w:cs="Tahoma"/>
          <w:lang w:val="es-ES_tradnl"/>
        </w:rPr>
        <w:t>352</w:t>
      </w:r>
      <w:r w:rsidR="00FA5F29" w:rsidRPr="0059482C">
        <w:rPr>
          <w:rFonts w:ascii="Book Antiqua" w:hAnsi="Book Antiqua" w:cs="Tahoma"/>
          <w:lang w:val="es-ES_tradnl"/>
        </w:rPr>
        <w:t xml:space="preserve">, </w:t>
      </w:r>
      <w:r w:rsidR="00682883" w:rsidRPr="0059482C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9B1C56">
        <w:rPr>
          <w:rFonts w:ascii="Book Antiqua" w:hAnsi="Book Antiqua" w:cs="Tahoma"/>
          <w:lang w:val="es-ES_tradnl"/>
        </w:rPr>
        <w:t>,</w:t>
      </w:r>
      <w:r w:rsidR="00682883" w:rsidRPr="0059482C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9482C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9482C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9482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7583A96" w:rsidR="008D4A0A" w:rsidRPr="0059482C" w:rsidRDefault="00BC1CB2" w:rsidP="00234891">
      <w:pPr>
        <w:ind w:left="567" w:hanging="567"/>
        <w:jc w:val="both"/>
        <w:rPr>
          <w:rFonts w:ascii="Book Antiqua" w:eastAsia="Book Antiqua" w:hAnsi="Book Antiqua" w:cs="Book Antiqua"/>
          <w:lang w:val="es-ES_tradnl"/>
        </w:rPr>
      </w:pPr>
      <w:r w:rsidRPr="0059482C">
        <w:rPr>
          <w:rFonts w:ascii="Book Antiqua" w:hAnsi="Book Antiqua" w:cs="Tahoma"/>
          <w:lang w:val="es-ES_tradnl"/>
        </w:rPr>
        <w:t xml:space="preserve"> </w:t>
      </w:r>
      <w:r w:rsidR="00E86FF9" w:rsidRPr="0059482C">
        <w:rPr>
          <w:rFonts w:ascii="Book Antiqua" w:hAnsi="Book Antiqua" w:cs="Tahoma"/>
          <w:lang w:val="es-ES_tradnl"/>
        </w:rPr>
        <w:t>“</w:t>
      </w:r>
      <w:r w:rsidR="00E86FF9" w:rsidRPr="0059482C">
        <w:rPr>
          <w:rFonts w:ascii="Book Antiqua" w:hAnsi="Book Antiqua"/>
          <w:lang w:val="es-ES_tradnl"/>
        </w:rPr>
        <w:t>Para</w:t>
      </w:r>
      <w:r w:rsidR="00E86FF9" w:rsidRPr="0059482C">
        <w:rPr>
          <w:lang w:val="es-ES_tradnl"/>
        </w:rPr>
        <w:t xml:space="preserve"> </w:t>
      </w:r>
      <w:r w:rsidR="00436EF4" w:rsidRPr="00436EF4">
        <w:rPr>
          <w:rFonts w:ascii="Book Antiqua" w:hAnsi="Book Antiqua"/>
          <w:spacing w:val="-3"/>
          <w:lang w:val="es-ES"/>
        </w:rPr>
        <w:t xml:space="preserve">ordenar a la </w:t>
      </w:r>
      <w:r w:rsidR="00436EF4" w:rsidRPr="00436EF4">
        <w:rPr>
          <w:rFonts w:ascii="Book Antiqua" w:hAnsi="Book Antiqua"/>
          <w:lang w:val="es-ES"/>
        </w:rPr>
        <w:t xml:space="preserve">Comisión </w:t>
      </w:r>
      <w:r w:rsidR="00436EF4" w:rsidRPr="00436EF4">
        <w:rPr>
          <w:rFonts w:ascii="Book Antiqua" w:hAnsi="Book Antiqua"/>
          <w:lang w:val="es-ES_tradnl"/>
        </w:rPr>
        <w:t>de Transportación e Infraestructura</w:t>
      </w:r>
      <w:r w:rsidR="00436EF4" w:rsidRPr="00436EF4">
        <w:rPr>
          <w:rFonts w:ascii="Book Antiqua" w:hAnsi="Book Antiqua"/>
          <w:lang w:val="es-ES"/>
        </w:rPr>
        <w:t xml:space="preserve"> </w:t>
      </w:r>
      <w:r w:rsidR="00436EF4" w:rsidRPr="00436EF4">
        <w:rPr>
          <w:rFonts w:ascii="Book Antiqua" w:hAnsi="Book Antiqua"/>
          <w:spacing w:val="-3"/>
          <w:lang w:val="es-ES"/>
        </w:rPr>
        <w:t xml:space="preserve">de la Cámara de Representantes de Puerto Rico, realizar una investigación detallada en torno a la implantación del Artículo 12 de la Ley 22-2000, según enmendada, que establece que todo vehículo de motor que transite por las vías públicas debe ser sometido a inspecciones mecánicas periódicas, con particular énfasis en el requisito de que todos los centros de inspección de vehículos deban adoptar un nuevo sistema y equipo para llevar a cabo tales inspecciones; y </w:t>
      </w:r>
      <w:r w:rsidR="00436EF4" w:rsidRPr="00436EF4">
        <w:rPr>
          <w:rFonts w:ascii="Book Antiqua" w:hAnsi="Book Antiqua"/>
          <w:lang w:val="es-ES"/>
        </w:rPr>
        <w:t>para otros fines relacionados</w:t>
      </w:r>
      <w:r w:rsidR="00234891" w:rsidRPr="0059482C">
        <w:rPr>
          <w:rFonts w:ascii="Book Antiqua" w:eastAsia="Book Antiqua" w:hAnsi="Book Antiqua" w:cs="Book Antiqua"/>
          <w:lang w:val="es-ES_tradnl"/>
        </w:rPr>
        <w:t>.</w:t>
      </w:r>
      <w:r w:rsidR="00FA5F29" w:rsidRPr="0059482C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9482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9482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9482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9482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373FBFA" w14:textId="0E831DB3" w:rsidR="0059482C" w:rsidRDefault="00DE02EB" w:rsidP="00567150">
      <w:pPr>
        <w:ind w:firstLine="708"/>
        <w:jc w:val="both"/>
        <w:rPr>
          <w:rFonts w:ascii="Book Antiqua" w:hAnsi="Book Antiqua"/>
          <w:lang w:val="es-ES_tradnl"/>
        </w:rPr>
      </w:pPr>
      <w:r w:rsidRPr="0059482C">
        <w:rPr>
          <w:rFonts w:ascii="Book Antiqua" w:hAnsi="Book Antiqua"/>
          <w:lang w:val="es-ES_tradnl"/>
        </w:rPr>
        <w:t>La</w:t>
      </w:r>
      <w:r w:rsidR="00194744" w:rsidRPr="0059482C">
        <w:rPr>
          <w:rFonts w:ascii="Book Antiqua" w:hAnsi="Book Antiqua"/>
          <w:lang w:val="es-ES_tradnl"/>
        </w:rPr>
        <w:t xml:space="preserve"> Resolución de la Cámara Núm.</w:t>
      </w:r>
      <w:r w:rsidR="00234891" w:rsidRPr="0059482C">
        <w:rPr>
          <w:rFonts w:ascii="Book Antiqua" w:hAnsi="Book Antiqua"/>
          <w:lang w:val="es-ES_tradnl"/>
        </w:rPr>
        <w:t xml:space="preserve"> </w:t>
      </w:r>
      <w:r w:rsidR="008B0D5D">
        <w:rPr>
          <w:rFonts w:ascii="Book Antiqua" w:hAnsi="Book Antiqua"/>
          <w:lang w:val="es-ES_tradnl"/>
        </w:rPr>
        <w:t>352</w:t>
      </w:r>
      <w:r w:rsidR="00234891" w:rsidRPr="0059482C">
        <w:rPr>
          <w:rFonts w:ascii="Book Antiqua" w:hAnsi="Book Antiqua"/>
          <w:lang w:val="es-ES_tradnl"/>
        </w:rPr>
        <w:t xml:space="preserve"> </w:t>
      </w:r>
      <w:r w:rsidR="00B448D1">
        <w:rPr>
          <w:rFonts w:ascii="Book Antiqua" w:hAnsi="Book Antiqua"/>
          <w:lang w:val="es-ES_tradnl"/>
        </w:rPr>
        <w:t xml:space="preserve">persigue </w:t>
      </w:r>
      <w:r w:rsidR="006B7138" w:rsidRPr="00436EF4">
        <w:rPr>
          <w:rFonts w:ascii="Book Antiqua" w:hAnsi="Book Antiqua"/>
          <w:spacing w:val="-3"/>
          <w:lang w:val="es-ES"/>
        </w:rPr>
        <w:t xml:space="preserve">realizar una investigación detallada en torno a la implantación del Artículo 12 de la Ley 22-2000, según enmendada, que establece que todo vehículo de motor que transite por las vías públicas debe ser sometido a inspecciones mecánicas periódicas, con particular énfasis en el requisito de que todos los centros de inspección de vehículos deban adoptar un nuevo sistema y equipo para llevar a cabo tales inspecciones; y </w:t>
      </w:r>
      <w:r w:rsidR="006B7138" w:rsidRPr="00436EF4">
        <w:rPr>
          <w:rFonts w:ascii="Book Antiqua" w:hAnsi="Book Antiqua"/>
          <w:lang w:val="es-ES"/>
        </w:rPr>
        <w:t>para otros fines relacionados</w:t>
      </w:r>
      <w:r w:rsidR="0059482C" w:rsidRPr="0059482C">
        <w:rPr>
          <w:rFonts w:ascii="Book Antiqua" w:hAnsi="Book Antiqua"/>
          <w:lang w:val="es-ES_tradnl"/>
        </w:rPr>
        <w:t>.</w:t>
      </w:r>
    </w:p>
    <w:p w14:paraId="1451A05C" w14:textId="77777777" w:rsidR="00567150" w:rsidRDefault="00567150" w:rsidP="0059482C">
      <w:pPr>
        <w:jc w:val="both"/>
        <w:rPr>
          <w:rFonts w:ascii="Book Antiqua" w:hAnsi="Book Antiqua"/>
          <w:lang w:val="es-ES_tradnl"/>
        </w:rPr>
      </w:pPr>
    </w:p>
    <w:p w14:paraId="2366C1E2" w14:textId="66910F62" w:rsidR="00C168E1" w:rsidRDefault="00C676F0" w:rsidP="00C168E1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 xml:space="preserve">De la Exposición de Motivos de la medida objeto de análisis, </w:t>
      </w:r>
      <w:r w:rsidR="00C168E1">
        <w:rPr>
          <w:rFonts w:ascii="Book Antiqua" w:hAnsi="Book Antiqua"/>
          <w:lang w:val="es-ES_tradnl"/>
        </w:rPr>
        <w:t>se desprende que l</w:t>
      </w:r>
      <w:r w:rsidR="00C168E1" w:rsidRPr="00C168E1">
        <w:rPr>
          <w:rFonts w:ascii="Book Antiqua" w:hAnsi="Book Antiqua"/>
          <w:lang w:val="es-ES"/>
        </w:rPr>
        <w:t xml:space="preserve">a Ley de Vehículos y Tránsito de 2000, Ley 22-2000, según enmendada, (“Ley 22”) </w:t>
      </w:r>
      <w:r w:rsidR="00C168E1" w:rsidRPr="00C168E1">
        <w:rPr>
          <w:rFonts w:ascii="Book Antiqua" w:hAnsi="Book Antiqua"/>
          <w:lang w:val="es-ES"/>
        </w:rPr>
        <w:lastRenderedPageBreak/>
        <w:t xml:space="preserve">establece que todo vehículo que transite por las vías públicas deberá estar equipado con el sistema de control de emisiones de gases, incluyendo el convertidor catalítico y piezas relacionadas. Para verificar el cumplimiento con esos fines, la Ley establece que todo vehículo de motor que transite por las vías públicas deberá ser sometido a inspecciones mecánicas periódicas cuando y conforme el </w:t>
      </w:r>
      <w:proofErr w:type="gramStart"/>
      <w:r w:rsidR="00C168E1" w:rsidRPr="00C168E1">
        <w:rPr>
          <w:rFonts w:ascii="Book Antiqua" w:hAnsi="Book Antiqua"/>
          <w:lang w:val="es-ES"/>
        </w:rPr>
        <w:t>Secretario</w:t>
      </w:r>
      <w:proofErr w:type="gramEnd"/>
      <w:r w:rsidR="00C168E1" w:rsidRPr="00C168E1">
        <w:rPr>
          <w:rFonts w:ascii="Book Antiqua" w:hAnsi="Book Antiqua"/>
          <w:lang w:val="es-ES"/>
        </w:rPr>
        <w:t xml:space="preserve"> de Transportación y Obras Públicas lo disponga por reglamento.</w:t>
      </w:r>
    </w:p>
    <w:p w14:paraId="0ADCD14F" w14:textId="77777777" w:rsidR="00B76FFE" w:rsidRDefault="00B76FFE" w:rsidP="00C168E1">
      <w:pPr>
        <w:ind w:firstLine="720"/>
        <w:jc w:val="both"/>
        <w:rPr>
          <w:rFonts w:ascii="Book Antiqua" w:hAnsi="Book Antiqua"/>
          <w:lang w:val="es-ES"/>
        </w:rPr>
      </w:pPr>
    </w:p>
    <w:p w14:paraId="12D0BA6A" w14:textId="5C7B20F8" w:rsidR="00B76FFE" w:rsidRPr="001B5E51" w:rsidRDefault="00DB5EF5" w:rsidP="00C168E1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otro lado, se indica que los </w:t>
      </w:r>
      <w:r w:rsidR="001B5E51" w:rsidRPr="001B5E51">
        <w:rPr>
          <w:rFonts w:ascii="Book Antiqua" w:hAnsi="Book Antiqua"/>
          <w:lang w:val="es-ES"/>
        </w:rPr>
        <w:t>centros de inspección utilizan maquinaria que ha sido certificada para estos propósitos por el DTOP, pero que no es propiedad ni manejada por dicha agencia.</w:t>
      </w:r>
      <w:r>
        <w:rPr>
          <w:rFonts w:ascii="Book Antiqua" w:hAnsi="Book Antiqua"/>
          <w:lang w:val="es-ES"/>
        </w:rPr>
        <w:t xml:space="preserve"> Anteriormente, las maquinarias eran propiedad de la compañía CARTEK; quienes le arrendaban las mismas. No obstante, reci</w:t>
      </w:r>
      <w:r w:rsidR="006F5D0E">
        <w:rPr>
          <w:rFonts w:ascii="Book Antiqua" w:hAnsi="Book Antiqua"/>
          <w:lang w:val="es-ES"/>
        </w:rPr>
        <w:t xml:space="preserve">entemente se adjudicó a la compañía </w:t>
      </w:r>
      <w:proofErr w:type="spellStart"/>
      <w:r w:rsidR="006F5D0E">
        <w:rPr>
          <w:rFonts w:ascii="Book Antiqua" w:hAnsi="Book Antiqua"/>
          <w:lang w:val="es-ES"/>
        </w:rPr>
        <w:t>Worldwide</w:t>
      </w:r>
      <w:proofErr w:type="spellEnd"/>
      <w:r w:rsidR="006F5D0E">
        <w:rPr>
          <w:rFonts w:ascii="Book Antiqua" w:hAnsi="Book Antiqua"/>
          <w:lang w:val="es-ES"/>
        </w:rPr>
        <w:t xml:space="preserve"> </w:t>
      </w:r>
      <w:proofErr w:type="spellStart"/>
      <w:r w:rsidR="006F5D0E">
        <w:rPr>
          <w:rFonts w:ascii="Book Antiqua" w:hAnsi="Book Antiqua"/>
          <w:lang w:val="es-ES"/>
        </w:rPr>
        <w:t>Environmental</w:t>
      </w:r>
      <w:proofErr w:type="spellEnd"/>
      <w:r w:rsidR="006F5D0E">
        <w:rPr>
          <w:rFonts w:ascii="Book Antiqua" w:hAnsi="Book Antiqua"/>
          <w:lang w:val="es-ES"/>
        </w:rPr>
        <w:t xml:space="preserve"> </w:t>
      </w:r>
      <w:proofErr w:type="spellStart"/>
      <w:r w:rsidR="006F5D0E">
        <w:rPr>
          <w:rFonts w:ascii="Book Antiqua" w:hAnsi="Book Antiqua"/>
          <w:lang w:val="es-ES"/>
        </w:rPr>
        <w:t>Products</w:t>
      </w:r>
      <w:proofErr w:type="spellEnd"/>
      <w:r w:rsidR="00A70560">
        <w:rPr>
          <w:rFonts w:ascii="Book Antiqua" w:hAnsi="Book Antiqua"/>
          <w:lang w:val="es-ES"/>
        </w:rPr>
        <w:t xml:space="preserve"> (WE</w:t>
      </w:r>
      <w:r w:rsidR="00B358B9">
        <w:rPr>
          <w:rFonts w:ascii="Book Antiqua" w:hAnsi="Book Antiqua"/>
          <w:lang w:val="es-ES"/>
        </w:rPr>
        <w:t xml:space="preserve">P), para que sean los proveedores de los equipos que deben utilizar los centros de inspección; lo cual se alega ha </w:t>
      </w:r>
      <w:r w:rsidR="001931D0">
        <w:rPr>
          <w:rFonts w:ascii="Book Antiqua" w:hAnsi="Book Antiqua"/>
          <w:lang w:val="es-ES"/>
        </w:rPr>
        <w:t>provocado aumento en los gastos de los comercios que brindan el servicio.</w:t>
      </w:r>
    </w:p>
    <w:p w14:paraId="68D01DEB" w14:textId="17FBF4DB" w:rsidR="006150BB" w:rsidRPr="0059482C" w:rsidRDefault="006150BB" w:rsidP="0059482C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9482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4703DCE" w14:textId="08B879F4" w:rsidR="006150BB" w:rsidRPr="0059482C" w:rsidRDefault="006150BB" w:rsidP="00F6380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9482C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Por tal razón, se recomienda la aprobación de la Resolución de la Cámara </w:t>
      </w:r>
      <w:r w:rsidR="008B0D5D">
        <w:rPr>
          <w:rFonts w:ascii="Book Antiqua" w:hAnsi="Book Antiqua"/>
          <w:sz w:val="24"/>
          <w:szCs w:val="24"/>
          <w:lang w:val="es-ES_tradnl"/>
        </w:rPr>
        <w:t>352</w:t>
      </w:r>
      <w:r w:rsidR="007B6A01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59482C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59482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59482C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 w:rsidRPr="0059482C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 w:rsidRPr="0059482C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59482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59482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59482C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59482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4F07E142" w14:textId="5EAF0BEE" w:rsidR="003E29B3" w:rsidRPr="007B6A01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59482C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59482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9482C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9482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9482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9482C">
        <w:rPr>
          <w:rFonts w:ascii="Book Antiqua" w:hAnsi="Book Antiqua" w:cs="Tahoma"/>
          <w:lang w:val="es-ES_tradnl"/>
        </w:rPr>
        <w:br/>
      </w:r>
      <w:proofErr w:type="gramStart"/>
      <w:r w:rsidRPr="0059482C">
        <w:rPr>
          <w:rFonts w:ascii="Book Antiqua" w:hAnsi="Book Antiqua" w:cs="Tahoma"/>
          <w:lang w:val="es-ES_tradnl"/>
        </w:rPr>
        <w:t>Presidente</w:t>
      </w:r>
      <w:proofErr w:type="gramEnd"/>
      <w:r w:rsidRPr="0059482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9482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48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4191181">
    <w:abstractNumId w:val="6"/>
  </w:num>
  <w:num w:numId="2" w16cid:durableId="1939172860">
    <w:abstractNumId w:val="12"/>
  </w:num>
  <w:num w:numId="3" w16cid:durableId="8415557">
    <w:abstractNumId w:val="3"/>
  </w:num>
  <w:num w:numId="4" w16cid:durableId="1334799988">
    <w:abstractNumId w:val="1"/>
  </w:num>
  <w:num w:numId="5" w16cid:durableId="781069062">
    <w:abstractNumId w:val="7"/>
  </w:num>
  <w:num w:numId="6" w16cid:durableId="436023176">
    <w:abstractNumId w:val="4"/>
  </w:num>
  <w:num w:numId="7" w16cid:durableId="1790319385">
    <w:abstractNumId w:val="5"/>
  </w:num>
  <w:num w:numId="8" w16cid:durableId="565915426">
    <w:abstractNumId w:val="8"/>
  </w:num>
  <w:num w:numId="9" w16cid:durableId="1822697808">
    <w:abstractNumId w:val="9"/>
  </w:num>
  <w:num w:numId="10" w16cid:durableId="436951600">
    <w:abstractNumId w:val="0"/>
  </w:num>
  <w:num w:numId="11" w16cid:durableId="1882086110">
    <w:abstractNumId w:val="2"/>
  </w:num>
  <w:num w:numId="12" w16cid:durableId="1424916143">
    <w:abstractNumId w:val="11"/>
  </w:num>
  <w:num w:numId="13" w16cid:durableId="1252719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D71DC"/>
    <w:rsid w:val="000E15AD"/>
    <w:rsid w:val="000F1167"/>
    <w:rsid w:val="00133986"/>
    <w:rsid w:val="0014288C"/>
    <w:rsid w:val="00173884"/>
    <w:rsid w:val="001763F4"/>
    <w:rsid w:val="00181B70"/>
    <w:rsid w:val="001931D0"/>
    <w:rsid w:val="00194744"/>
    <w:rsid w:val="001A14B6"/>
    <w:rsid w:val="001A7203"/>
    <w:rsid w:val="001B5E51"/>
    <w:rsid w:val="001D3E64"/>
    <w:rsid w:val="001E38DF"/>
    <w:rsid w:val="001E5575"/>
    <w:rsid w:val="00220B04"/>
    <w:rsid w:val="00224DE4"/>
    <w:rsid w:val="002252A6"/>
    <w:rsid w:val="002345C3"/>
    <w:rsid w:val="00234891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875AA"/>
    <w:rsid w:val="003976DE"/>
    <w:rsid w:val="003B03D6"/>
    <w:rsid w:val="003E29B3"/>
    <w:rsid w:val="003F3D8D"/>
    <w:rsid w:val="00410C54"/>
    <w:rsid w:val="004129D2"/>
    <w:rsid w:val="0043389C"/>
    <w:rsid w:val="00436EF4"/>
    <w:rsid w:val="00445CFE"/>
    <w:rsid w:val="004552A8"/>
    <w:rsid w:val="00455A9A"/>
    <w:rsid w:val="004761BE"/>
    <w:rsid w:val="00476691"/>
    <w:rsid w:val="00487DB7"/>
    <w:rsid w:val="00494052"/>
    <w:rsid w:val="004B6074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67150"/>
    <w:rsid w:val="00580E90"/>
    <w:rsid w:val="00582242"/>
    <w:rsid w:val="005930E2"/>
    <w:rsid w:val="0059482C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978"/>
    <w:rsid w:val="00680F2A"/>
    <w:rsid w:val="00682883"/>
    <w:rsid w:val="006B0997"/>
    <w:rsid w:val="006B7138"/>
    <w:rsid w:val="006F5D0E"/>
    <w:rsid w:val="007106D1"/>
    <w:rsid w:val="00712D94"/>
    <w:rsid w:val="007156BD"/>
    <w:rsid w:val="007346BF"/>
    <w:rsid w:val="00745930"/>
    <w:rsid w:val="0076703E"/>
    <w:rsid w:val="00774628"/>
    <w:rsid w:val="00776B6F"/>
    <w:rsid w:val="00780620"/>
    <w:rsid w:val="00781922"/>
    <w:rsid w:val="0079275C"/>
    <w:rsid w:val="007B31DC"/>
    <w:rsid w:val="007B6091"/>
    <w:rsid w:val="007B6A01"/>
    <w:rsid w:val="007C5A2C"/>
    <w:rsid w:val="007D7209"/>
    <w:rsid w:val="007F0E20"/>
    <w:rsid w:val="007F3B99"/>
    <w:rsid w:val="008171E8"/>
    <w:rsid w:val="00845F2A"/>
    <w:rsid w:val="00846B7C"/>
    <w:rsid w:val="00851127"/>
    <w:rsid w:val="008A1F08"/>
    <w:rsid w:val="008A4022"/>
    <w:rsid w:val="008B0D5D"/>
    <w:rsid w:val="008B6BF6"/>
    <w:rsid w:val="008C4EC6"/>
    <w:rsid w:val="008C757B"/>
    <w:rsid w:val="008D4A0A"/>
    <w:rsid w:val="008D6A6E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971A2"/>
    <w:rsid w:val="009A622B"/>
    <w:rsid w:val="009A6A71"/>
    <w:rsid w:val="009A7DF3"/>
    <w:rsid w:val="009B1C56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0560"/>
    <w:rsid w:val="00A84A3B"/>
    <w:rsid w:val="00AB0555"/>
    <w:rsid w:val="00AB099D"/>
    <w:rsid w:val="00AC06D5"/>
    <w:rsid w:val="00AC35C0"/>
    <w:rsid w:val="00AD4702"/>
    <w:rsid w:val="00AF186C"/>
    <w:rsid w:val="00AF315A"/>
    <w:rsid w:val="00B0402B"/>
    <w:rsid w:val="00B16CF6"/>
    <w:rsid w:val="00B2058B"/>
    <w:rsid w:val="00B26882"/>
    <w:rsid w:val="00B30114"/>
    <w:rsid w:val="00B330A4"/>
    <w:rsid w:val="00B34E25"/>
    <w:rsid w:val="00B358B9"/>
    <w:rsid w:val="00B448D1"/>
    <w:rsid w:val="00B475D2"/>
    <w:rsid w:val="00B557DA"/>
    <w:rsid w:val="00B65C62"/>
    <w:rsid w:val="00B76FFE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870"/>
    <w:rsid w:val="00C05FA6"/>
    <w:rsid w:val="00C168E1"/>
    <w:rsid w:val="00C20404"/>
    <w:rsid w:val="00C211F8"/>
    <w:rsid w:val="00C321E8"/>
    <w:rsid w:val="00C456AB"/>
    <w:rsid w:val="00C52FD2"/>
    <w:rsid w:val="00C676F0"/>
    <w:rsid w:val="00C83EB5"/>
    <w:rsid w:val="00CA370E"/>
    <w:rsid w:val="00CB0A0E"/>
    <w:rsid w:val="00CB1E5A"/>
    <w:rsid w:val="00CB5D13"/>
    <w:rsid w:val="00CC4336"/>
    <w:rsid w:val="00CC5AB6"/>
    <w:rsid w:val="00CD5EE6"/>
    <w:rsid w:val="00CD69DB"/>
    <w:rsid w:val="00D42962"/>
    <w:rsid w:val="00D72400"/>
    <w:rsid w:val="00D73B0E"/>
    <w:rsid w:val="00D77659"/>
    <w:rsid w:val="00DA3200"/>
    <w:rsid w:val="00DB261B"/>
    <w:rsid w:val="00DB5EF5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A0FF7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63807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467281AA-C72C-4B77-B9D6-19B6BF441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2822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Victor E. Vélez Cucuta</cp:lastModifiedBy>
  <cp:revision>2</cp:revision>
  <cp:lastPrinted>2025-02-17T12:55:00Z</cp:lastPrinted>
  <dcterms:created xsi:type="dcterms:W3CDTF">2025-06-30T16:23:00Z</dcterms:created>
  <dcterms:modified xsi:type="dcterms:W3CDTF">2025-06-30T16:23:00Z</dcterms:modified>
</cp:coreProperties>
</file>