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356118BB" w14:textId="77777777" w:rsidR="002670C1" w:rsidRPr="005A7E47" w:rsidRDefault="002670C1" w:rsidP="002670C1">
      <w:pPr>
        <w:tabs>
          <w:tab w:val="left" w:pos="5080"/>
        </w:tabs>
        <w:jc w:val="center"/>
        <w:rPr>
          <w:rFonts w:ascii="Book Antiqua" w:hAnsi="Book Antiqua"/>
          <w:lang w:val="es-ES_tradnl"/>
        </w:rPr>
      </w:pPr>
    </w:p>
    <w:p w14:paraId="68FE966C" w14:textId="2F339FFC"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3D1498">
        <w:rPr>
          <w:rFonts w:ascii="Book Antiqua" w:hAnsi="Book Antiqua"/>
          <w:szCs w:val="24"/>
          <w:lang w:val="es-ES_tradnl"/>
        </w:rPr>
        <w:t>2d</w:t>
      </w:r>
      <w:r w:rsidR="002670C1" w:rsidRPr="005A7E47">
        <w:rPr>
          <w:rFonts w:ascii="Book Antiqua" w:hAnsi="Book Antiqua"/>
          <w:szCs w:val="24"/>
          <w:lang w:val="es-ES_tradnl"/>
        </w:rPr>
        <w:t>a. Sesión</w:t>
      </w:r>
    </w:p>
    <w:p w14:paraId="158D734E" w14:textId="4A7AA8DB"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6E8D3ED1" w14:textId="77777777" w:rsidR="002670C1" w:rsidRPr="005A7E47" w:rsidRDefault="002670C1" w:rsidP="002670C1">
      <w:pPr>
        <w:rPr>
          <w:rFonts w:ascii="Book Antiqua" w:hAnsi="Book Antiqua"/>
          <w:lang w:val="es-ES_tradnl"/>
        </w:rPr>
      </w:pPr>
    </w:p>
    <w:p w14:paraId="3BAFBCB4"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5FE72B11" w14:textId="77777777" w:rsidR="002670C1" w:rsidRPr="005A7E47" w:rsidRDefault="002670C1" w:rsidP="002670C1">
      <w:pPr>
        <w:jc w:val="center"/>
        <w:rPr>
          <w:rFonts w:ascii="Book Antiqua" w:hAnsi="Book Antiqua" w:cs="Tahoma"/>
          <w:b/>
          <w:sz w:val="20"/>
          <w:szCs w:val="20"/>
          <w:lang w:val="es-ES_tradnl"/>
        </w:rPr>
      </w:pPr>
    </w:p>
    <w:p w14:paraId="426C17AC" w14:textId="77777777" w:rsidR="002670C1" w:rsidRPr="005A7E47" w:rsidRDefault="002670C1" w:rsidP="002670C1">
      <w:pPr>
        <w:jc w:val="center"/>
        <w:rPr>
          <w:rFonts w:ascii="Book Antiqua" w:hAnsi="Book Antiqua" w:cs="Tahoma"/>
          <w:b/>
          <w:sz w:val="20"/>
          <w:szCs w:val="20"/>
          <w:lang w:val="es-ES_tradnl"/>
        </w:rPr>
      </w:pPr>
    </w:p>
    <w:p w14:paraId="50D16FCA" w14:textId="56C9CD25"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E854C5">
        <w:rPr>
          <w:rFonts w:ascii="Book Antiqua" w:hAnsi="Book Antiqua" w:cs="Tahoma"/>
          <w:b/>
          <w:sz w:val="52"/>
          <w:szCs w:val="52"/>
          <w:lang w:val="es-ES_tradnl"/>
        </w:rPr>
        <w:t>353</w:t>
      </w:r>
    </w:p>
    <w:p w14:paraId="2AB71EBC" w14:textId="77777777" w:rsidR="001A14B6" w:rsidRPr="005A7E47" w:rsidRDefault="001A14B6" w:rsidP="001A14B6">
      <w:pPr>
        <w:jc w:val="center"/>
        <w:rPr>
          <w:rFonts w:ascii="Book Antiqua" w:hAnsi="Book Antiqua" w:cs="Tahoma"/>
          <w:b/>
          <w:sz w:val="52"/>
          <w:szCs w:val="52"/>
          <w:lang w:val="es-ES_tradnl"/>
        </w:rPr>
      </w:pPr>
    </w:p>
    <w:p w14:paraId="0DBA772C"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457A7DD8" w14:textId="77777777" w:rsidR="002670C1" w:rsidRPr="005A7E47" w:rsidRDefault="002670C1" w:rsidP="002670C1">
      <w:pPr>
        <w:jc w:val="center"/>
        <w:rPr>
          <w:rFonts w:ascii="Book Antiqua" w:hAnsi="Book Antiqua" w:cs="Tahoma"/>
          <w:b/>
          <w:sz w:val="28"/>
          <w:szCs w:val="28"/>
          <w:lang w:val="es-ES_tradnl"/>
        </w:rPr>
      </w:pPr>
    </w:p>
    <w:p w14:paraId="073A9D6A" w14:textId="0B6CA25C" w:rsidR="002670C1" w:rsidRPr="005A7E47" w:rsidRDefault="002670C1" w:rsidP="002670C1">
      <w:pPr>
        <w:jc w:val="center"/>
        <w:rPr>
          <w:rFonts w:ascii="Book Antiqua" w:hAnsi="Book Antiqua" w:cs="Tahoma"/>
          <w:lang w:val="es-ES_tradnl"/>
        </w:rPr>
      </w:pPr>
      <w:r w:rsidRPr="005A7E47">
        <w:rPr>
          <w:rFonts w:ascii="Book Antiqua" w:hAnsi="Book Antiqua" w:cs="Tahoma"/>
          <w:lang w:val="es-ES_tradnl"/>
        </w:rPr>
        <w:t xml:space="preserve"> </w:t>
      </w:r>
      <w:r w:rsidR="005A6152">
        <w:rPr>
          <w:rFonts w:ascii="Book Antiqua" w:hAnsi="Book Antiqua" w:cs="Tahoma"/>
          <w:lang w:val="es-ES_tradnl"/>
        </w:rPr>
        <w:t>1</w:t>
      </w:r>
      <w:r w:rsidRPr="005A7E47">
        <w:rPr>
          <w:rFonts w:ascii="Book Antiqua" w:hAnsi="Book Antiqua" w:cs="Tahoma"/>
          <w:lang w:val="es-ES_tradnl"/>
        </w:rPr>
        <w:t xml:space="preserve"> de </w:t>
      </w:r>
      <w:r w:rsidR="005A6152">
        <w:rPr>
          <w:rFonts w:ascii="Book Antiqua" w:hAnsi="Book Antiqua" w:cs="Tahoma"/>
          <w:lang w:val="es-ES_tradnl"/>
        </w:rPr>
        <w:t>octubre</w:t>
      </w:r>
      <w:r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4A980496" w14:textId="77777777" w:rsidR="002670C1" w:rsidRPr="005A7E47" w:rsidRDefault="002670C1" w:rsidP="002670C1">
      <w:pPr>
        <w:jc w:val="both"/>
        <w:rPr>
          <w:rFonts w:ascii="Book Antiqua" w:hAnsi="Book Antiqua" w:cs="Tahoma"/>
          <w:sz w:val="20"/>
          <w:szCs w:val="20"/>
          <w:lang w:val="es-ES_tradnl"/>
        </w:rPr>
      </w:pPr>
    </w:p>
    <w:p w14:paraId="44F4CFAD" w14:textId="77777777" w:rsidR="00EF143E" w:rsidRPr="005A7E47" w:rsidRDefault="00EF143E" w:rsidP="002670C1">
      <w:pPr>
        <w:jc w:val="both"/>
        <w:rPr>
          <w:rFonts w:ascii="Book Antiqua" w:hAnsi="Book Antiqua" w:cs="Tahoma"/>
          <w:sz w:val="20"/>
          <w:szCs w:val="20"/>
          <w:lang w:val="es-ES_tradnl"/>
        </w:rPr>
      </w:pPr>
    </w:p>
    <w:p w14:paraId="7ECFE9E0"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094C21E7" w14:textId="77777777" w:rsidR="002670C1" w:rsidRPr="00506C85" w:rsidRDefault="002670C1" w:rsidP="002670C1">
      <w:pPr>
        <w:jc w:val="both"/>
        <w:rPr>
          <w:rFonts w:ascii="Book Antiqua" w:hAnsi="Book Antiqua" w:cs="Tahoma"/>
          <w:lang w:val="es-ES_tradnl"/>
        </w:rPr>
      </w:pPr>
    </w:p>
    <w:p w14:paraId="37CB50E6" w14:textId="656EF7D3" w:rsidR="00682883" w:rsidRPr="00E854C5" w:rsidRDefault="002670C1" w:rsidP="00682883">
      <w:pPr>
        <w:jc w:val="both"/>
        <w:rPr>
          <w:rFonts w:ascii="Book Antiqua" w:hAnsi="Book Antiqua" w:cs="Tahoma"/>
          <w:lang w:val="es-ES_tradnl"/>
        </w:rPr>
      </w:pPr>
      <w:r w:rsidRPr="00E854C5">
        <w:rPr>
          <w:rFonts w:ascii="Book Antiqua" w:hAnsi="Book Antiqua" w:cs="Tahoma"/>
          <w:lang w:val="es-ES_tradnl"/>
        </w:rPr>
        <w:tab/>
      </w:r>
      <w:r w:rsidR="008A4022" w:rsidRPr="00E854C5">
        <w:rPr>
          <w:rFonts w:ascii="Book Antiqua" w:hAnsi="Book Antiqua" w:cs="Tahoma"/>
          <w:lang w:val="es-ES_tradnl"/>
        </w:rPr>
        <w:t>La Comisión de Asuntos Internos de la Cámara de Representantes, previo estudio y con</w:t>
      </w:r>
      <w:r w:rsidR="00062F39" w:rsidRPr="00E854C5">
        <w:rPr>
          <w:rFonts w:ascii="Book Antiqua" w:hAnsi="Book Antiqua" w:cs="Tahoma"/>
          <w:lang w:val="es-ES_tradnl"/>
        </w:rPr>
        <w:t>sideración de la R. de la C.</w:t>
      </w:r>
      <w:r w:rsidR="00E854C5" w:rsidRPr="00E854C5">
        <w:rPr>
          <w:rFonts w:ascii="Book Antiqua" w:hAnsi="Book Antiqua" w:cs="Tahoma"/>
          <w:lang w:val="es-ES_tradnl"/>
        </w:rPr>
        <w:t xml:space="preserve"> 353</w:t>
      </w:r>
      <w:r w:rsidR="00FA5F29" w:rsidRPr="00E854C5">
        <w:rPr>
          <w:rFonts w:ascii="Book Antiqua" w:hAnsi="Book Antiqua" w:cs="Tahoma"/>
          <w:lang w:val="es-ES_tradnl"/>
        </w:rPr>
        <w:t xml:space="preserve">, </w:t>
      </w:r>
      <w:r w:rsidR="00682883" w:rsidRPr="00E854C5">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E854C5" w:rsidRDefault="00BC1CB2" w:rsidP="007F3B99">
      <w:pPr>
        <w:jc w:val="both"/>
        <w:rPr>
          <w:rFonts w:ascii="Book Antiqua" w:hAnsi="Book Antiqua" w:cs="Tahoma"/>
          <w:lang w:val="es-ES_tradnl"/>
        </w:rPr>
      </w:pPr>
    </w:p>
    <w:p w14:paraId="716A98FC" w14:textId="08611B9D" w:rsidR="008D4A0A" w:rsidRPr="00E854C5" w:rsidRDefault="00BC1CB2" w:rsidP="00E854C5">
      <w:pPr>
        <w:ind w:left="567" w:hanging="567"/>
        <w:jc w:val="both"/>
        <w:rPr>
          <w:rFonts w:ascii="Book Antiqua" w:hAnsi="Book Antiqua"/>
          <w:lang w:val="es-ES_tradnl"/>
        </w:rPr>
      </w:pPr>
      <w:r w:rsidRPr="00E854C5">
        <w:rPr>
          <w:rFonts w:ascii="Book Antiqua" w:hAnsi="Book Antiqua" w:cs="Tahoma"/>
          <w:lang w:val="es-ES_tradnl"/>
        </w:rPr>
        <w:t xml:space="preserve"> </w:t>
      </w:r>
      <w:r w:rsidR="00E86FF9" w:rsidRPr="00E854C5">
        <w:rPr>
          <w:rFonts w:ascii="Book Antiqua" w:hAnsi="Book Antiqua" w:cs="Tahoma"/>
          <w:lang w:val="es-ES_tradnl"/>
        </w:rPr>
        <w:t>“</w:t>
      </w:r>
      <w:r w:rsidR="00E86FF9" w:rsidRPr="00E854C5">
        <w:rPr>
          <w:rFonts w:ascii="Book Antiqua" w:hAnsi="Book Antiqua"/>
          <w:lang w:val="es-ES_tradnl"/>
        </w:rPr>
        <w:t>Para</w:t>
      </w:r>
      <w:r w:rsidR="00E86FF9" w:rsidRPr="00E854C5">
        <w:rPr>
          <w:lang w:val="es-ES_tradnl"/>
        </w:rPr>
        <w:t xml:space="preserve"> </w:t>
      </w:r>
      <w:bookmarkStart w:id="0" w:name="_Hlk481777822"/>
      <w:bookmarkStart w:id="1" w:name="_Hlk481778563"/>
      <w:bookmarkStart w:id="2" w:name="_Hlk188016072"/>
      <w:r w:rsidR="00272823" w:rsidRPr="00E854C5">
        <w:rPr>
          <w:rFonts w:ascii="Book Antiqua" w:hAnsi="Book Antiqua"/>
          <w:lang w:val="es-ES_tradnl"/>
        </w:rPr>
        <w:t xml:space="preserve">ordenar </w:t>
      </w:r>
      <w:bookmarkStart w:id="3" w:name="_Hlk481775927"/>
      <w:r w:rsidR="00272823" w:rsidRPr="00E854C5">
        <w:rPr>
          <w:rFonts w:ascii="Book Antiqua" w:hAnsi="Book Antiqua"/>
          <w:lang w:val="es-ES_tradnl"/>
        </w:rPr>
        <w:t xml:space="preserve">a la Comisión </w:t>
      </w:r>
      <w:r w:rsidR="00C321E8" w:rsidRPr="00E854C5">
        <w:rPr>
          <w:rFonts w:ascii="Book Antiqua" w:hAnsi="Book Antiqua"/>
          <w:lang w:val="es-ES_tradnl"/>
        </w:rPr>
        <w:t>de</w:t>
      </w:r>
      <w:r w:rsidR="00DF3E6F" w:rsidRPr="00E854C5">
        <w:rPr>
          <w:rFonts w:ascii="Book Antiqua" w:hAnsi="Book Antiqua"/>
          <w:lang w:val="es-ES_tradnl"/>
        </w:rPr>
        <w:t xml:space="preserve"> </w:t>
      </w:r>
      <w:bookmarkEnd w:id="0"/>
      <w:bookmarkEnd w:id="3"/>
      <w:bookmarkEnd w:id="1"/>
      <w:bookmarkEnd w:id="2"/>
      <w:r w:rsidR="00E854C5" w:rsidRPr="00E854C5">
        <w:rPr>
          <w:rFonts w:ascii="Book Antiqua" w:hAnsi="Book Antiqua"/>
          <w:lang w:val="es-ES_tradnl"/>
        </w:rPr>
        <w:t>la Región Norte de la Cámara de Representantes de Puerto Rico, realizar una investigación exhaustiva sobre las medidas de preparación, resiliencia y redundancia implementadas por las compañías de telecomunicaciones que operan dentro de la jurisdicción de Barceloneta, Manatí, Vega Baja, Vega Alta, Dorado, Toa Baja, Toa Alta, Naranjito, Comerío, Corozal, Morovis, Orocovis, Ciales y Florida, como parte de los preparativos para la temporada de huracanes del año 2025</w:t>
      </w:r>
      <w:r w:rsidR="00D16413">
        <w:rPr>
          <w:rFonts w:ascii="Book Antiqua" w:hAnsi="Book Antiqua"/>
          <w:lang w:val="es-ES_tradnl"/>
        </w:rPr>
        <w:t xml:space="preserve"> y subsiguientes</w:t>
      </w:r>
      <w:r w:rsidR="00E854C5" w:rsidRPr="00E854C5">
        <w:rPr>
          <w:rFonts w:ascii="Book Antiqua" w:hAnsi="Book Antiqua"/>
          <w:lang w:val="es-ES_tradnl"/>
        </w:rPr>
        <w:t>; evaluar la capacidad de estas compañías para mantener la continuidad de los servicios de telefonía, internet y datos móviles durante y después de eventos atmosféricos severos; identificar las inversiones realizadas en infraestructura crítica, incluyendo sistemas de respaldo energético, soterramiento de cables y despliegue de tecnología redundante; examinar los protocolos de respuesta ante emergencias y la coordinación con agencias gubernamentales y municipales; y para otros fines relacionados.</w:t>
      </w:r>
      <w:r w:rsidR="00FA5F29" w:rsidRPr="00E854C5">
        <w:rPr>
          <w:rFonts w:ascii="Book Antiqua" w:hAnsi="Book Antiqua"/>
          <w:bCs/>
          <w:lang w:val="es-ES_tradnl"/>
        </w:rPr>
        <w:t>”</w:t>
      </w:r>
    </w:p>
    <w:p w14:paraId="0066EB36" w14:textId="77777777" w:rsidR="00AD4702" w:rsidRPr="00E854C5" w:rsidRDefault="00AD4702" w:rsidP="00AF186C">
      <w:pPr>
        <w:jc w:val="both"/>
        <w:rPr>
          <w:rFonts w:ascii="Book Antiqua" w:hAnsi="Book Antiqua" w:cs="Tahoma"/>
          <w:lang w:val="es-ES_tradnl"/>
        </w:rPr>
      </w:pPr>
    </w:p>
    <w:p w14:paraId="5331B0D5" w14:textId="77777777" w:rsidR="008A1F08" w:rsidRPr="00E854C5" w:rsidRDefault="008A1F08" w:rsidP="009852EB">
      <w:pPr>
        <w:jc w:val="center"/>
        <w:outlineLvl w:val="0"/>
        <w:rPr>
          <w:rFonts w:ascii="Book Antiqua" w:hAnsi="Book Antiqua" w:cs="Tahoma"/>
          <w:b/>
          <w:u w:val="single"/>
          <w:lang w:val="es-ES_tradnl"/>
        </w:rPr>
      </w:pPr>
      <w:r w:rsidRPr="00E854C5">
        <w:rPr>
          <w:rFonts w:ascii="Book Antiqua" w:hAnsi="Book Antiqua" w:cs="Tahoma"/>
          <w:b/>
          <w:u w:val="single"/>
          <w:lang w:val="es-ES_tradnl"/>
        </w:rPr>
        <w:t>ALCANCE Y ANÁLISIS DE LA MEDIDA</w:t>
      </w:r>
    </w:p>
    <w:p w14:paraId="553B3D6B" w14:textId="77777777" w:rsidR="00DE02EB" w:rsidRPr="00E854C5" w:rsidRDefault="00DE02EB" w:rsidP="009852EB">
      <w:pPr>
        <w:jc w:val="center"/>
        <w:outlineLvl w:val="0"/>
        <w:rPr>
          <w:rFonts w:ascii="Book Antiqua" w:hAnsi="Book Antiqua" w:cs="Tahoma"/>
          <w:b/>
          <w:u w:val="single"/>
          <w:lang w:val="es-ES_tradnl"/>
        </w:rPr>
      </w:pPr>
    </w:p>
    <w:p w14:paraId="05C2D145" w14:textId="40BED4D1" w:rsidR="00E854C5" w:rsidRPr="00E854C5" w:rsidRDefault="00DE02EB" w:rsidP="00D16413">
      <w:pPr>
        <w:ind w:firstLine="708"/>
        <w:jc w:val="both"/>
        <w:rPr>
          <w:rFonts w:ascii="Book Antiqua" w:hAnsi="Book Antiqua"/>
          <w:lang w:val="es-ES_tradnl"/>
        </w:rPr>
      </w:pPr>
      <w:r w:rsidRPr="00E854C5">
        <w:rPr>
          <w:rFonts w:ascii="Book Antiqua" w:hAnsi="Book Antiqua"/>
          <w:lang w:val="es-ES_tradnl"/>
        </w:rPr>
        <w:t>La</w:t>
      </w:r>
      <w:r w:rsidR="00194744" w:rsidRPr="00E854C5">
        <w:rPr>
          <w:rFonts w:ascii="Book Antiqua" w:hAnsi="Book Antiqua"/>
          <w:lang w:val="es-ES_tradnl"/>
        </w:rPr>
        <w:t xml:space="preserve"> Resolución de la Cámara Núm.</w:t>
      </w:r>
      <w:r w:rsidR="000F1167" w:rsidRPr="00E854C5">
        <w:rPr>
          <w:rFonts w:ascii="Book Antiqua" w:hAnsi="Book Antiqua"/>
          <w:lang w:val="es-ES_tradnl"/>
        </w:rPr>
        <w:t xml:space="preserve"> </w:t>
      </w:r>
      <w:r w:rsidR="00E854C5" w:rsidRPr="00E854C5">
        <w:rPr>
          <w:rFonts w:ascii="Book Antiqua" w:hAnsi="Book Antiqua"/>
          <w:lang w:val="es-ES_tradnl"/>
        </w:rPr>
        <w:t xml:space="preserve">353 </w:t>
      </w:r>
      <w:r w:rsidR="00DF3E6F" w:rsidRPr="00E854C5">
        <w:rPr>
          <w:rFonts w:ascii="Book Antiqua" w:hAnsi="Book Antiqua"/>
          <w:lang w:val="es-ES_tradnl"/>
        </w:rPr>
        <w:t xml:space="preserve">tiene el propósito de </w:t>
      </w:r>
      <w:r w:rsidR="00E854C5" w:rsidRPr="00E854C5">
        <w:rPr>
          <w:rFonts w:ascii="Book Antiqua" w:hAnsi="Book Antiqua"/>
          <w:lang w:val="es-ES_tradnl"/>
        </w:rPr>
        <w:t xml:space="preserve">investigar las gestiones de las compañías de telecomunicaciones en los municipios bajo la jurisdicción </w:t>
      </w:r>
      <w:r w:rsidR="00E854C5" w:rsidRPr="00E854C5">
        <w:rPr>
          <w:rFonts w:ascii="Book Antiqua" w:hAnsi="Book Antiqua"/>
          <w:lang w:val="es-ES_tradnl"/>
        </w:rPr>
        <w:lastRenderedPageBreak/>
        <w:t>de la Comisión de la Región Norte, con el fin de evaluar su preparación para la temporada de huracanes de 2025</w:t>
      </w:r>
      <w:r w:rsidR="00D16413">
        <w:rPr>
          <w:rFonts w:ascii="Book Antiqua" w:hAnsi="Book Antiqua"/>
          <w:lang w:val="es-ES_tradnl"/>
        </w:rPr>
        <w:t xml:space="preserve"> y subsiguientes</w:t>
      </w:r>
      <w:r w:rsidR="00E854C5" w:rsidRPr="00E854C5">
        <w:rPr>
          <w:rFonts w:ascii="Book Antiqua" w:hAnsi="Book Antiqua"/>
          <w:lang w:val="es-ES_tradnl"/>
        </w:rPr>
        <w:t>. La medida busca identificar las inversiones en infraestructura crítica, los sistemas de respaldo energético y la implementación de tecnología redundante para garantizar la continuidad de los servicios esenciales de telefonía, internet y datos móviles durante emergencias.</w:t>
      </w:r>
    </w:p>
    <w:p w14:paraId="6723228A" w14:textId="77777777" w:rsidR="00E854C5" w:rsidRPr="00E854C5" w:rsidRDefault="00E854C5" w:rsidP="00E854C5">
      <w:pPr>
        <w:jc w:val="both"/>
        <w:rPr>
          <w:rFonts w:ascii="Book Antiqua" w:hAnsi="Book Antiqua"/>
          <w:lang w:val="es-ES_tradnl"/>
        </w:rPr>
      </w:pPr>
    </w:p>
    <w:p w14:paraId="1DE301F6" w14:textId="2363226A" w:rsidR="00E854C5" w:rsidRPr="00E854C5" w:rsidRDefault="00E854C5" w:rsidP="00D16413">
      <w:pPr>
        <w:ind w:firstLine="708"/>
        <w:jc w:val="both"/>
        <w:rPr>
          <w:rFonts w:ascii="Book Antiqua" w:hAnsi="Book Antiqua"/>
          <w:lang w:val="es-ES_tradnl"/>
        </w:rPr>
      </w:pPr>
      <w:r w:rsidRPr="00E854C5">
        <w:rPr>
          <w:rFonts w:ascii="Book Antiqua" w:hAnsi="Book Antiqua"/>
          <w:lang w:val="es-ES_tradnl"/>
        </w:rPr>
        <w:t>En la Exposición de Motivos se reseñan los graves problemas experimentados en Puerto Rico durante los huracanes María (2017), Fiona (2022) y la tormenta tropical Ernesto (2024), los cuales provocaron fallas masivas en la conectividad de la isla. Estos antecedentes justifican la necesidad de examinar el estado actual de la infraestructura de telecomunicaciones y la coordinación con agencias gubernamentales y municipales en la región norte.</w:t>
      </w:r>
    </w:p>
    <w:p w14:paraId="5BD463E9" w14:textId="77777777" w:rsidR="00E854C5" w:rsidRPr="00E854C5" w:rsidRDefault="00E854C5" w:rsidP="00E854C5">
      <w:pPr>
        <w:jc w:val="both"/>
        <w:rPr>
          <w:rFonts w:ascii="Book Antiqua" w:hAnsi="Book Antiqua"/>
          <w:lang w:val="es-ES_tradnl"/>
        </w:rPr>
      </w:pPr>
    </w:p>
    <w:p w14:paraId="05E78832" w14:textId="08EEBD94" w:rsidR="00DF3E6F" w:rsidRPr="00E854C5" w:rsidRDefault="00E854C5" w:rsidP="00D16413">
      <w:pPr>
        <w:ind w:firstLine="708"/>
        <w:jc w:val="both"/>
        <w:rPr>
          <w:rFonts w:ascii="Book Antiqua" w:hAnsi="Book Antiqua"/>
          <w:lang w:val="es-ES_tradnl"/>
        </w:rPr>
      </w:pPr>
      <w:r w:rsidRPr="00E854C5">
        <w:rPr>
          <w:rFonts w:ascii="Book Antiqua" w:hAnsi="Book Antiqua"/>
          <w:lang w:val="es-ES_tradnl"/>
        </w:rPr>
        <w:t>Esta Comisión entiende que la medida es de gran pertinencia, pues promueve la fiscalización legislativa en un área vital para la seguridad ciudadana, la resiliencia comunitaria y la capacidad de respuesta del país ante desastres naturales.</w:t>
      </w:r>
    </w:p>
    <w:p w14:paraId="7645A4CC" w14:textId="77777777" w:rsidR="006150BB" w:rsidRPr="00E854C5" w:rsidRDefault="006150BB" w:rsidP="006150BB">
      <w:pPr>
        <w:pStyle w:val="NormalWeb"/>
        <w:jc w:val="center"/>
        <w:outlineLvl w:val="0"/>
        <w:rPr>
          <w:rFonts w:ascii="Book Antiqua" w:hAnsi="Book Antiqua"/>
          <w:b/>
          <w:sz w:val="24"/>
          <w:szCs w:val="24"/>
          <w:u w:val="single"/>
          <w:lang w:val="es-ES_tradnl"/>
        </w:rPr>
      </w:pPr>
      <w:r w:rsidRPr="00E854C5">
        <w:rPr>
          <w:rFonts w:ascii="Book Antiqua" w:hAnsi="Book Antiqua"/>
          <w:b/>
          <w:sz w:val="24"/>
          <w:szCs w:val="24"/>
          <w:u w:val="single"/>
          <w:lang w:val="es-ES_tradnl"/>
        </w:rPr>
        <w:t>CONCLUSIÓN Y RECOMENDACIÓN</w:t>
      </w:r>
    </w:p>
    <w:p w14:paraId="284E870A" w14:textId="2C779133" w:rsidR="001A02E8" w:rsidRPr="00E854C5" w:rsidRDefault="00E854C5" w:rsidP="00E854C5">
      <w:pPr>
        <w:pStyle w:val="NormalWeb"/>
        <w:jc w:val="both"/>
        <w:rPr>
          <w:rFonts w:ascii="Book Antiqua" w:hAnsi="Book Antiqua"/>
          <w:sz w:val="24"/>
          <w:szCs w:val="24"/>
          <w:lang w:val="es-ES_tradnl"/>
        </w:rPr>
      </w:pPr>
      <w:r w:rsidRPr="00E854C5">
        <w:rPr>
          <w:rFonts w:ascii="Book Antiqua" w:hAnsi="Book Antiqua"/>
          <w:sz w:val="24"/>
          <w:szCs w:val="24"/>
          <w:lang w:val="es-ES_tradnl"/>
        </w:rPr>
        <w:t xml:space="preserve">     </w:t>
      </w:r>
      <w:r w:rsidR="001A02E8" w:rsidRPr="00E854C5">
        <w:rPr>
          <w:rFonts w:ascii="Book Antiqua" w:hAnsi="Book Antiqua"/>
          <w:sz w:val="24"/>
          <w:szCs w:val="24"/>
          <w:lang w:val="es-ES_tradnl"/>
        </w:rPr>
        <w:t>Considerando los elementos analizados, esta Comisión concluye que la medida examinada responde a un interés legislativo legítimo y debidamente fundamentado. En consecuencia, se recomienda la aprobación de l</w:t>
      </w:r>
      <w:r w:rsidRPr="00E854C5">
        <w:rPr>
          <w:rFonts w:ascii="Book Antiqua" w:hAnsi="Book Antiqua"/>
          <w:sz w:val="24"/>
          <w:szCs w:val="24"/>
          <w:lang w:val="es-ES_tradnl"/>
        </w:rPr>
        <w:t>a Resolución de la Cámara 353</w:t>
      </w:r>
      <w:r w:rsidR="001A02E8" w:rsidRPr="00E854C5">
        <w:rPr>
          <w:rFonts w:ascii="Book Antiqua" w:hAnsi="Book Antiqua"/>
          <w:sz w:val="24"/>
          <w:szCs w:val="24"/>
          <w:lang w:val="es-ES_tradnl"/>
        </w:rPr>
        <w:t>, con las enmiendas que obran en el entirillado electrónico que acompaña este informe.</w:t>
      </w:r>
    </w:p>
    <w:p w14:paraId="50FFCE58" w14:textId="77777777" w:rsidR="006150BB" w:rsidRPr="00DE02EB" w:rsidRDefault="006150BB" w:rsidP="006150BB">
      <w:pPr>
        <w:jc w:val="both"/>
        <w:rPr>
          <w:rFonts w:ascii="Book Antiqua" w:hAnsi="Book Antiqua" w:cs="Tahoma"/>
          <w:lang w:val="es-ES_tradnl"/>
        </w:rPr>
      </w:pPr>
      <w:r w:rsidRPr="00DE02EB">
        <w:rPr>
          <w:rFonts w:ascii="Book Antiqua" w:hAnsi="Book Antiqua" w:cs="Tahoma"/>
          <w:lang w:val="es-ES_tradnl"/>
        </w:rPr>
        <w:t>Respetuosamente sometido,</w:t>
      </w:r>
    </w:p>
    <w:p w14:paraId="788BD5EC" w14:textId="77777777" w:rsidR="00DF3E6F" w:rsidRPr="00D16413" w:rsidRDefault="00DF3E6F" w:rsidP="00DF3E6F">
      <w:pPr>
        <w:jc w:val="both"/>
        <w:rPr>
          <w:rFonts w:ascii="Book Antiqua" w:hAnsi="Book Antiqua"/>
          <w:lang w:val="es-PR"/>
        </w:rPr>
      </w:pPr>
    </w:p>
    <w:p w14:paraId="3F4BB2E4" w14:textId="591E7D20" w:rsidR="00F27289" w:rsidRPr="005A7E47" w:rsidRDefault="000F1167" w:rsidP="000F1167">
      <w:pPr>
        <w:jc w:val="both"/>
        <w:rPr>
          <w:rFonts w:ascii="Book Antiqua" w:hAnsi="Book Antiqua"/>
          <w:b/>
          <w:u w:val="single"/>
          <w:lang w:val="es-ES_tradnl"/>
        </w:rPr>
      </w:pPr>
      <w:r w:rsidRPr="00D16413">
        <w:rPr>
          <w:rFonts w:ascii="Book Antiqua" w:hAnsi="Book Antiqua"/>
          <w:lang w:val="es-PR"/>
        </w:rPr>
        <w:t xml:space="preserve">    </w:t>
      </w:r>
    </w:p>
    <w:p w14:paraId="539E1B06" w14:textId="77777777" w:rsidR="00580E90" w:rsidRPr="005A7E47" w:rsidRDefault="00580E90" w:rsidP="003F3D8D">
      <w:pPr>
        <w:jc w:val="both"/>
        <w:rPr>
          <w:rFonts w:ascii="Book Antiqua" w:hAnsi="Book Antiqua" w:cs="Tahoma"/>
          <w:lang w:val="es-ES_tradnl"/>
        </w:rPr>
      </w:pPr>
    </w:p>
    <w:p w14:paraId="0D4A074B" w14:textId="77777777" w:rsidR="003F3D8D" w:rsidRPr="005A7E47" w:rsidRDefault="003F3D8D" w:rsidP="003F3D8D">
      <w:pPr>
        <w:jc w:val="both"/>
        <w:rPr>
          <w:rFonts w:ascii="Book Antiqua" w:hAnsi="Book Antiqua" w:cs="Tahoma"/>
          <w:b/>
          <w:bCs/>
          <w:lang w:val="es-ES_tradnl"/>
        </w:rPr>
      </w:pPr>
    </w:p>
    <w:p w14:paraId="6C06768D" w14:textId="77777777" w:rsidR="003F3D8D" w:rsidRPr="005A7E47" w:rsidRDefault="003F3D8D" w:rsidP="003F3D8D">
      <w:pPr>
        <w:rPr>
          <w:rFonts w:ascii="Book Antiqua" w:hAnsi="Book Antiqua" w:cs="Tahoma"/>
          <w:lang w:val="es-ES_tradnl"/>
        </w:rPr>
      </w:pPr>
    </w:p>
    <w:p w14:paraId="7DC33FC3" w14:textId="4F4319C4" w:rsidR="00307416" w:rsidRPr="005A7E47" w:rsidRDefault="003F3D8D" w:rsidP="008A4022">
      <w:pPr>
        <w:rPr>
          <w:rFonts w:ascii="Book Antiqua" w:hAnsi="Book Antiqua"/>
          <w:b/>
          <w:smallCaps/>
          <w:lang w:val="es-ES_tradnl"/>
        </w:rPr>
      </w:pPr>
      <w:r w:rsidRPr="005A7E47">
        <w:rPr>
          <w:rFonts w:ascii="Book Antiqua" w:hAnsi="Book Antiqua" w:cs="Tahoma"/>
          <w:b/>
          <w:bCs/>
          <w:lang w:val="es-ES_tradnl"/>
        </w:rPr>
        <w:t>PEDRO JULIO SANTIAGO GUZMÁN</w:t>
      </w:r>
      <w:r w:rsidRPr="005A7E47">
        <w:rPr>
          <w:rFonts w:ascii="Book Antiqua" w:hAnsi="Book Antiqua" w:cs="Tahoma"/>
          <w:lang w:val="es-ES_tradnl"/>
        </w:rPr>
        <w:br/>
        <w:t>Presidente</w:t>
      </w:r>
      <w:r w:rsidRPr="005A7E47">
        <w:rPr>
          <w:rFonts w:ascii="Book Antiqua" w:hAnsi="Book Antiqua" w:cs="Tahoma"/>
          <w:lang w:val="es-ES_tradnl"/>
        </w:rPr>
        <w:br/>
        <w:t>Comisión de Asuntos Internos</w:t>
      </w:r>
    </w:p>
    <w:sectPr w:rsidR="00307416" w:rsidRPr="005A7E47"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80EEE" w14:textId="77777777" w:rsidR="00E854C5" w:rsidRDefault="00E854C5" w:rsidP="00614C2C">
      <w:r>
        <w:separator/>
      </w:r>
    </w:p>
  </w:endnote>
  <w:endnote w:type="continuationSeparator" w:id="0">
    <w:p w14:paraId="483CD127" w14:textId="77777777" w:rsidR="00E854C5" w:rsidRDefault="00E854C5"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E854C5" w:rsidRDefault="00E854C5">
        <w:pPr>
          <w:pStyle w:val="Footer"/>
          <w:jc w:val="center"/>
        </w:pPr>
        <w:r>
          <w:fldChar w:fldCharType="begin"/>
        </w:r>
        <w:r>
          <w:instrText xml:space="preserve"> PAGE   \* MERGEFORMAT </w:instrText>
        </w:r>
        <w:r>
          <w:fldChar w:fldCharType="separate"/>
        </w:r>
        <w:r w:rsidR="00607295">
          <w:rPr>
            <w:noProof/>
          </w:rPr>
          <w:t>2</w:t>
        </w:r>
        <w:r>
          <w:rPr>
            <w:noProof/>
          </w:rPr>
          <w:fldChar w:fldCharType="end"/>
        </w:r>
      </w:p>
    </w:sdtContent>
  </w:sdt>
  <w:p w14:paraId="36B11BF2" w14:textId="77777777" w:rsidR="00E854C5" w:rsidRDefault="00E85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24CF" w14:textId="77777777" w:rsidR="00E854C5" w:rsidRDefault="00E854C5" w:rsidP="00614C2C">
      <w:r>
        <w:separator/>
      </w:r>
    </w:p>
  </w:footnote>
  <w:footnote w:type="continuationSeparator" w:id="0">
    <w:p w14:paraId="6D8415B7" w14:textId="77777777" w:rsidR="00E854C5" w:rsidRDefault="00E854C5"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3820107">
    <w:abstractNumId w:val="6"/>
  </w:num>
  <w:num w:numId="2" w16cid:durableId="988902665">
    <w:abstractNumId w:val="12"/>
  </w:num>
  <w:num w:numId="3" w16cid:durableId="638417439">
    <w:abstractNumId w:val="3"/>
  </w:num>
  <w:num w:numId="4" w16cid:durableId="2080787313">
    <w:abstractNumId w:val="1"/>
  </w:num>
  <w:num w:numId="5" w16cid:durableId="1308437677">
    <w:abstractNumId w:val="7"/>
  </w:num>
  <w:num w:numId="6" w16cid:durableId="523981558">
    <w:abstractNumId w:val="4"/>
  </w:num>
  <w:num w:numId="7" w16cid:durableId="1390691223">
    <w:abstractNumId w:val="5"/>
  </w:num>
  <w:num w:numId="8" w16cid:durableId="279803943">
    <w:abstractNumId w:val="8"/>
  </w:num>
  <w:num w:numId="9" w16cid:durableId="810172610">
    <w:abstractNumId w:val="9"/>
  </w:num>
  <w:num w:numId="10" w16cid:durableId="1996832571">
    <w:abstractNumId w:val="0"/>
  </w:num>
  <w:num w:numId="11" w16cid:durableId="661470318">
    <w:abstractNumId w:val="2"/>
  </w:num>
  <w:num w:numId="12" w16cid:durableId="1064721479">
    <w:abstractNumId w:val="11"/>
  </w:num>
  <w:num w:numId="13" w16cid:durableId="5535871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02E8"/>
    <w:rsid w:val="001A14B6"/>
    <w:rsid w:val="001A7203"/>
    <w:rsid w:val="001B61AD"/>
    <w:rsid w:val="001D3E64"/>
    <w:rsid w:val="001E064A"/>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D1498"/>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6152"/>
    <w:rsid w:val="005A7E47"/>
    <w:rsid w:val="005D0B8C"/>
    <w:rsid w:val="005D3224"/>
    <w:rsid w:val="005D51AC"/>
    <w:rsid w:val="005F6537"/>
    <w:rsid w:val="00601225"/>
    <w:rsid w:val="00606351"/>
    <w:rsid w:val="00607295"/>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27153"/>
    <w:rsid w:val="00846B7C"/>
    <w:rsid w:val="00851127"/>
    <w:rsid w:val="00864CA0"/>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16413"/>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54C5"/>
    <w:rsid w:val="00E8699D"/>
    <w:rsid w:val="00E86FF9"/>
    <w:rsid w:val="00EB0209"/>
    <w:rsid w:val="00EB3FFE"/>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F784D25B-EA45-42BD-8B62-5E6CC7641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03004436">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52161931">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489</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6</cp:revision>
  <cp:lastPrinted>2025-02-17T12:55:00Z</cp:lastPrinted>
  <dcterms:created xsi:type="dcterms:W3CDTF">2025-09-30T01:32:00Z</dcterms:created>
  <dcterms:modified xsi:type="dcterms:W3CDTF">2025-10-01T13:46:00Z</dcterms:modified>
</cp:coreProperties>
</file>