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5C328" w14:textId="2F4A60D7" w:rsidR="00B25CCC" w:rsidRPr="00A803AE" w:rsidRDefault="00D7108F" w:rsidP="00AF4494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A803AE">
        <w:rPr>
          <w:rFonts w:ascii="Book Antiqua" w:hAnsi="Book Antiqua"/>
          <w:sz w:val="28"/>
          <w:szCs w:val="28"/>
          <w:lang w:val="es-ES"/>
        </w:rPr>
        <w:t>GOBIERNO</w:t>
      </w:r>
      <w:r w:rsidR="00B25CCC" w:rsidRPr="00A803AE">
        <w:rPr>
          <w:rFonts w:ascii="Book Antiqua" w:hAnsi="Book Antiqua"/>
          <w:sz w:val="28"/>
          <w:szCs w:val="28"/>
          <w:lang w:val="es-ES"/>
        </w:rPr>
        <w:t xml:space="preserve"> DE PUERTO RICO</w:t>
      </w:r>
    </w:p>
    <w:p w14:paraId="487CA57B" w14:textId="77777777" w:rsidR="00B25CCC" w:rsidRPr="00A803AE" w:rsidRDefault="00B25CCC" w:rsidP="00AF4494">
      <w:pPr>
        <w:jc w:val="center"/>
        <w:rPr>
          <w:rFonts w:ascii="Book Antiqua" w:hAnsi="Book Antiqua"/>
          <w:lang w:val="es-ES"/>
        </w:rPr>
      </w:pPr>
    </w:p>
    <w:p w14:paraId="70E53240" w14:textId="124F701A" w:rsidR="00B25CCC" w:rsidRPr="00A803AE" w:rsidRDefault="00D7108F" w:rsidP="00AF4494">
      <w:pPr>
        <w:pStyle w:val="Title2"/>
        <w:tabs>
          <w:tab w:val="clear" w:pos="7776"/>
        </w:tabs>
        <w:rPr>
          <w:rFonts w:ascii="Book Antiqua" w:hAnsi="Book Antiqua"/>
          <w:lang w:val="es-ES"/>
        </w:rPr>
      </w:pPr>
      <w:r w:rsidRPr="00A803AE">
        <w:rPr>
          <w:rFonts w:ascii="Book Antiqua" w:hAnsi="Book Antiqua"/>
          <w:lang w:val="es-ES"/>
        </w:rPr>
        <w:t>20m</w:t>
      </w:r>
      <w:r w:rsidR="00B25CCC" w:rsidRPr="00A803AE">
        <w:rPr>
          <w:rFonts w:ascii="Book Antiqua" w:hAnsi="Book Antiqua"/>
          <w:lang w:val="es-ES"/>
        </w:rPr>
        <w:t>a. Asamblea</w:t>
      </w:r>
      <w:r w:rsidR="00B25CCC" w:rsidRPr="00A803AE">
        <w:rPr>
          <w:rFonts w:ascii="Book Antiqua" w:hAnsi="Book Antiqua"/>
          <w:lang w:val="es-ES"/>
        </w:rPr>
        <w:tab/>
      </w:r>
      <w:r w:rsidRPr="00A803AE">
        <w:rPr>
          <w:rFonts w:ascii="Book Antiqua" w:hAnsi="Book Antiqua"/>
          <w:lang w:val="es-ES"/>
        </w:rPr>
        <w:t>1r</w:t>
      </w:r>
      <w:r w:rsidR="00B25CCC" w:rsidRPr="00A803AE">
        <w:rPr>
          <w:rFonts w:ascii="Book Antiqua" w:hAnsi="Book Antiqua"/>
          <w:lang w:val="es-ES"/>
        </w:rPr>
        <w:t>a. Sesión</w:t>
      </w:r>
    </w:p>
    <w:p w14:paraId="23C5C7E6" w14:textId="77777777" w:rsidR="00B25CCC" w:rsidRPr="00A803AE" w:rsidRDefault="00B25CCC" w:rsidP="00AF4494">
      <w:pPr>
        <w:pStyle w:val="Title2"/>
        <w:tabs>
          <w:tab w:val="clear" w:pos="7776"/>
        </w:tabs>
        <w:rPr>
          <w:rFonts w:ascii="Book Antiqua" w:hAnsi="Book Antiqua"/>
          <w:lang w:val="es-ES"/>
        </w:rPr>
      </w:pPr>
      <w:r w:rsidRPr="00A803AE">
        <w:rPr>
          <w:rFonts w:ascii="Book Antiqua" w:hAnsi="Book Antiqua"/>
          <w:lang w:val="es-ES"/>
        </w:rPr>
        <w:tab/>
        <w:t>Legislativa</w:t>
      </w:r>
      <w:r w:rsidRPr="00A803AE">
        <w:rPr>
          <w:rFonts w:ascii="Book Antiqua" w:hAnsi="Book Antiqua"/>
          <w:lang w:val="es-ES"/>
        </w:rPr>
        <w:tab/>
      </w:r>
      <w:r w:rsidRPr="00A803AE">
        <w:rPr>
          <w:rFonts w:ascii="Book Antiqua" w:hAnsi="Book Antiqua"/>
          <w:lang w:val="es-ES"/>
        </w:rPr>
        <w:tab/>
        <w:t xml:space="preserve">      Ordinaria</w:t>
      </w:r>
    </w:p>
    <w:p w14:paraId="759285C3" w14:textId="77777777" w:rsidR="00B25CCC" w:rsidRPr="00A803AE" w:rsidRDefault="00B25CCC" w:rsidP="00AF4494">
      <w:pPr>
        <w:rPr>
          <w:rFonts w:ascii="Book Antiqua" w:hAnsi="Book Antiqua"/>
          <w:lang w:val="es-ES"/>
        </w:rPr>
      </w:pPr>
    </w:p>
    <w:p w14:paraId="1122876C" w14:textId="77777777" w:rsidR="00B25CCC" w:rsidRPr="00A803AE" w:rsidRDefault="00B25CCC" w:rsidP="00AF4494">
      <w:pPr>
        <w:jc w:val="center"/>
        <w:rPr>
          <w:rFonts w:ascii="Book Antiqua" w:hAnsi="Book Antiqua"/>
          <w:b/>
          <w:sz w:val="36"/>
          <w:szCs w:val="32"/>
          <w:lang w:val="es-ES"/>
        </w:rPr>
      </w:pPr>
      <w:r w:rsidRPr="00A803AE">
        <w:rPr>
          <w:rFonts w:ascii="Book Antiqua" w:hAnsi="Book Antiqua"/>
          <w:b/>
          <w:sz w:val="36"/>
          <w:szCs w:val="32"/>
          <w:lang w:val="es-ES"/>
        </w:rPr>
        <w:t>CÁMARA DE REPRESENTANTES</w:t>
      </w:r>
    </w:p>
    <w:p w14:paraId="74B1FE31" w14:textId="77777777" w:rsidR="00B25CCC" w:rsidRPr="00A803AE" w:rsidRDefault="00B25CCC" w:rsidP="00AF4494">
      <w:pPr>
        <w:jc w:val="center"/>
        <w:rPr>
          <w:rFonts w:ascii="Book Antiqua" w:hAnsi="Book Antiqua"/>
          <w:b/>
          <w:szCs w:val="32"/>
          <w:lang w:val="es-ES"/>
        </w:rPr>
      </w:pPr>
    </w:p>
    <w:p w14:paraId="6B719456" w14:textId="3A0465AC" w:rsidR="00B25CCC" w:rsidRPr="00A803AE" w:rsidRDefault="00B25CCC" w:rsidP="00AF4494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A803AE">
        <w:rPr>
          <w:rFonts w:ascii="Book Antiqua" w:hAnsi="Book Antiqua"/>
          <w:b/>
          <w:sz w:val="52"/>
          <w:szCs w:val="52"/>
          <w:lang w:val="es-ES"/>
        </w:rPr>
        <w:t xml:space="preserve">R. de la C. </w:t>
      </w:r>
      <w:r w:rsidR="00AA039F">
        <w:rPr>
          <w:rFonts w:ascii="Book Antiqua" w:hAnsi="Book Antiqua"/>
          <w:b/>
          <w:sz w:val="52"/>
          <w:szCs w:val="52"/>
          <w:lang w:val="es-ES"/>
        </w:rPr>
        <w:t>353</w:t>
      </w:r>
    </w:p>
    <w:p w14:paraId="7F548EDD" w14:textId="77777777" w:rsidR="00B25CCC" w:rsidRPr="00A803AE" w:rsidRDefault="00B25CCC" w:rsidP="00AF4494">
      <w:pPr>
        <w:jc w:val="center"/>
        <w:rPr>
          <w:rFonts w:ascii="Book Antiqua" w:hAnsi="Book Antiqua"/>
          <w:b/>
          <w:lang w:val="es-ES"/>
        </w:rPr>
      </w:pPr>
    </w:p>
    <w:p w14:paraId="69F9BC94" w14:textId="5BA1EFAF" w:rsidR="00B25CCC" w:rsidRPr="00A803AE" w:rsidRDefault="00AA039F" w:rsidP="00AF4494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5</w:t>
      </w:r>
      <w:r w:rsidR="0054382A" w:rsidRPr="00A803AE">
        <w:rPr>
          <w:rFonts w:ascii="Book Antiqua" w:hAnsi="Book Antiqua"/>
          <w:lang w:val="es-ES"/>
        </w:rPr>
        <w:t xml:space="preserve"> </w:t>
      </w:r>
      <w:r w:rsidR="00B25CCC" w:rsidRPr="00A803AE">
        <w:rPr>
          <w:rFonts w:ascii="Book Antiqua" w:hAnsi="Book Antiqua"/>
          <w:lang w:val="es-ES"/>
        </w:rPr>
        <w:t xml:space="preserve">DE </w:t>
      </w:r>
      <w:r w:rsidR="00205EF0">
        <w:rPr>
          <w:rFonts w:ascii="Book Antiqua" w:hAnsi="Book Antiqua"/>
          <w:lang w:val="es-ES"/>
        </w:rPr>
        <w:t>JUNIO</w:t>
      </w:r>
      <w:r w:rsidR="00B25CCC" w:rsidRPr="00A803AE">
        <w:rPr>
          <w:rFonts w:ascii="Book Antiqua" w:hAnsi="Book Antiqua"/>
          <w:lang w:val="es-ES"/>
        </w:rPr>
        <w:t xml:space="preserve"> DE 202</w:t>
      </w:r>
      <w:r w:rsidR="00D7108F" w:rsidRPr="00A803AE">
        <w:rPr>
          <w:rFonts w:ascii="Book Antiqua" w:hAnsi="Book Antiqua"/>
          <w:lang w:val="es-ES"/>
        </w:rPr>
        <w:t>5</w:t>
      </w:r>
    </w:p>
    <w:p w14:paraId="2CC46331" w14:textId="77777777" w:rsidR="00B25CCC" w:rsidRPr="00A803AE" w:rsidRDefault="00B25CCC" w:rsidP="00AF4494">
      <w:pPr>
        <w:jc w:val="center"/>
        <w:rPr>
          <w:rFonts w:ascii="Book Antiqua" w:hAnsi="Book Antiqua"/>
          <w:szCs w:val="24"/>
          <w:lang w:val="es-ES"/>
        </w:rPr>
      </w:pPr>
    </w:p>
    <w:p w14:paraId="051E1816" w14:textId="384980CD" w:rsidR="00B25CCC" w:rsidRPr="00A803AE" w:rsidRDefault="00B25CCC" w:rsidP="00AF4494">
      <w:pPr>
        <w:jc w:val="center"/>
        <w:rPr>
          <w:rFonts w:ascii="Book Antiqua" w:hAnsi="Book Antiqua"/>
          <w:i/>
          <w:lang w:val="es-ES"/>
        </w:rPr>
      </w:pPr>
      <w:r w:rsidRPr="00A803AE">
        <w:rPr>
          <w:rFonts w:ascii="Book Antiqua" w:hAnsi="Book Antiqua"/>
          <w:lang w:val="es-ES"/>
        </w:rPr>
        <w:t xml:space="preserve">Presentada por </w:t>
      </w:r>
      <w:r w:rsidR="006721FA" w:rsidRPr="00A803AE">
        <w:rPr>
          <w:rFonts w:ascii="Book Antiqua" w:hAnsi="Book Antiqua"/>
          <w:lang w:val="es-ES"/>
        </w:rPr>
        <w:t>el</w:t>
      </w:r>
      <w:r w:rsidRPr="00A803AE">
        <w:rPr>
          <w:rFonts w:ascii="Book Antiqua" w:hAnsi="Book Antiqua"/>
          <w:lang w:val="es-ES"/>
        </w:rPr>
        <w:t xml:space="preserve"> representante</w:t>
      </w:r>
      <w:r w:rsidR="0026407E" w:rsidRPr="00A803AE">
        <w:rPr>
          <w:rFonts w:ascii="Book Antiqua" w:hAnsi="Book Antiqua"/>
          <w:lang w:val="es-ES"/>
        </w:rPr>
        <w:t xml:space="preserve"> </w:t>
      </w:r>
      <w:r w:rsidR="003E4893" w:rsidRPr="00A803AE">
        <w:rPr>
          <w:rFonts w:ascii="Book Antiqua" w:hAnsi="Book Antiqua"/>
          <w:i/>
          <w:lang w:val="es-ES"/>
        </w:rPr>
        <w:t>Nieves Rosario</w:t>
      </w:r>
      <w:r w:rsidRPr="00A803AE">
        <w:rPr>
          <w:rFonts w:ascii="Book Antiqua" w:hAnsi="Book Antiqua"/>
          <w:i/>
          <w:lang w:val="es-ES"/>
        </w:rPr>
        <w:t xml:space="preserve"> </w:t>
      </w:r>
    </w:p>
    <w:p w14:paraId="6E8EA9D4" w14:textId="77777777" w:rsidR="00B25CCC" w:rsidRPr="00A803AE" w:rsidRDefault="00B25CCC" w:rsidP="00AF4494">
      <w:pPr>
        <w:jc w:val="center"/>
        <w:rPr>
          <w:rFonts w:ascii="Book Antiqua" w:hAnsi="Book Antiqua"/>
          <w:i/>
          <w:lang w:val="es-ES"/>
        </w:rPr>
      </w:pPr>
    </w:p>
    <w:p w14:paraId="5C508B2E" w14:textId="27C29ED6" w:rsidR="00AF4494" w:rsidRPr="00A803AE" w:rsidRDefault="00AF4494" w:rsidP="00AF4494">
      <w:pPr>
        <w:suppressLineNumbers/>
        <w:contextualSpacing/>
        <w:jc w:val="center"/>
        <w:rPr>
          <w:rFonts w:ascii="Book Antiqua" w:eastAsiaTheme="minorHAnsi" w:hAnsi="Book Antiqua" w:cstheme="minorBidi"/>
          <w:szCs w:val="24"/>
          <w:lang w:val="es-ES"/>
        </w:rPr>
      </w:pPr>
      <w:r w:rsidRPr="00A803AE">
        <w:rPr>
          <w:rFonts w:ascii="Book Antiqua" w:eastAsiaTheme="minorHAnsi" w:hAnsi="Book Antiqua" w:cstheme="minorBidi"/>
          <w:szCs w:val="24"/>
          <w:lang w:val="es-ES"/>
        </w:rPr>
        <w:t xml:space="preserve">Referida a </w:t>
      </w:r>
      <w:r w:rsidR="00205EF0">
        <w:rPr>
          <w:rFonts w:ascii="Book Antiqua" w:eastAsiaTheme="minorHAnsi" w:hAnsi="Book Antiqua" w:cstheme="minorBidi"/>
          <w:szCs w:val="24"/>
          <w:lang w:val="es-ES"/>
        </w:rPr>
        <w:t>la Comisión de Asuntos Internos</w:t>
      </w:r>
    </w:p>
    <w:p w14:paraId="55CEE9FE" w14:textId="77777777" w:rsidR="00B25CCC" w:rsidRPr="00A803AE" w:rsidRDefault="00B25CCC" w:rsidP="00AF4494">
      <w:pPr>
        <w:jc w:val="center"/>
        <w:rPr>
          <w:rFonts w:ascii="Book Antiqua" w:hAnsi="Book Antiqua"/>
          <w:lang w:val="es-ES"/>
        </w:rPr>
      </w:pPr>
    </w:p>
    <w:p w14:paraId="7DF38C1D" w14:textId="77777777" w:rsidR="00B25CCC" w:rsidRPr="00A803AE" w:rsidRDefault="00B25CCC" w:rsidP="00AF4494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A803AE">
        <w:rPr>
          <w:rFonts w:ascii="Book Antiqua" w:hAnsi="Book Antiqua"/>
          <w:b/>
          <w:sz w:val="28"/>
          <w:szCs w:val="28"/>
          <w:lang w:val="es-ES"/>
        </w:rPr>
        <w:t>RESOLUCIÓN</w:t>
      </w:r>
    </w:p>
    <w:p w14:paraId="03532262" w14:textId="77777777" w:rsidR="00B25CCC" w:rsidRPr="00A803AE" w:rsidRDefault="00B25CCC" w:rsidP="00AF4494">
      <w:pPr>
        <w:jc w:val="both"/>
        <w:rPr>
          <w:rFonts w:ascii="Book Antiqua" w:hAnsi="Book Antiqua"/>
          <w:lang w:val="es-ES"/>
        </w:rPr>
      </w:pPr>
    </w:p>
    <w:p w14:paraId="75D17B5A" w14:textId="4CEDDA7C" w:rsidR="0026407E" w:rsidRPr="00A803AE" w:rsidRDefault="00B25CCC" w:rsidP="00205EF0">
      <w:pPr>
        <w:ind w:left="720" w:hanging="720"/>
        <w:jc w:val="both"/>
        <w:rPr>
          <w:rFonts w:ascii="Book Antiqua" w:hAnsi="Book Antiqua"/>
          <w:szCs w:val="24"/>
          <w:lang w:val="es-ES"/>
        </w:rPr>
      </w:pPr>
      <w:bookmarkStart w:id="0" w:name="_Hlk493581372"/>
      <w:r w:rsidRPr="00A803AE">
        <w:rPr>
          <w:rFonts w:ascii="Book Antiqua" w:hAnsi="Book Antiqua"/>
          <w:szCs w:val="24"/>
          <w:lang w:val="es-ES"/>
        </w:rPr>
        <w:t xml:space="preserve">Para ordenar a la </w:t>
      </w:r>
      <w:r w:rsidR="000C6AB2" w:rsidRPr="00A803AE">
        <w:rPr>
          <w:rFonts w:ascii="Book Antiqua" w:hAnsi="Book Antiqua"/>
          <w:szCs w:val="24"/>
          <w:lang w:val="es-ES"/>
        </w:rPr>
        <w:t xml:space="preserve">Comisión </w:t>
      </w:r>
      <w:r w:rsidR="00B913DE" w:rsidRPr="00A803AE">
        <w:rPr>
          <w:rFonts w:ascii="Book Antiqua" w:hAnsi="Book Antiqua"/>
          <w:szCs w:val="24"/>
          <w:lang w:val="es-ES"/>
        </w:rPr>
        <w:t>de la Región Norte</w:t>
      </w:r>
      <w:r w:rsidR="000C6AB2" w:rsidRPr="00A803AE">
        <w:rPr>
          <w:rFonts w:ascii="Book Antiqua" w:hAnsi="Book Antiqua"/>
          <w:szCs w:val="24"/>
          <w:lang w:val="es-ES"/>
        </w:rPr>
        <w:t xml:space="preserve"> de la Cámara de Representantes de Puerto Rico,</w:t>
      </w:r>
      <w:r w:rsidR="00B913DE" w:rsidRPr="00A803AE">
        <w:rPr>
          <w:rFonts w:ascii="Book Antiqua" w:hAnsi="Book Antiqua"/>
          <w:szCs w:val="24"/>
          <w:lang w:val="es-ES"/>
        </w:rPr>
        <w:t xml:space="preserve"> </w:t>
      </w:r>
      <w:r w:rsidR="0026407E" w:rsidRPr="00A803AE">
        <w:rPr>
          <w:rFonts w:ascii="Book Antiqua" w:hAnsi="Book Antiqua"/>
          <w:szCs w:val="24"/>
          <w:lang w:val="es-ES"/>
        </w:rPr>
        <w:t xml:space="preserve">realizar una investigación exhaustiva sobre </w:t>
      </w:r>
      <w:r w:rsidR="00A803AE" w:rsidRPr="00A803AE">
        <w:rPr>
          <w:rFonts w:ascii="Book Antiqua" w:hAnsi="Book Antiqua"/>
          <w:szCs w:val="24"/>
          <w:lang w:val="es-ES"/>
        </w:rPr>
        <w:t xml:space="preserve">las medidas de preparación, resiliencia y redundancia implementadas por las compañías de telecomunicaciones que operan dentro de la jurisdicción de Barceloneta, Manatí, Vega Baja, Vega Alta, Dorado, </w:t>
      </w:r>
      <w:proofErr w:type="spellStart"/>
      <w:r w:rsidR="00A803AE" w:rsidRPr="00A803AE">
        <w:rPr>
          <w:rFonts w:ascii="Book Antiqua" w:hAnsi="Book Antiqua"/>
          <w:szCs w:val="24"/>
          <w:lang w:val="es-ES"/>
        </w:rPr>
        <w:t>Toa</w:t>
      </w:r>
      <w:proofErr w:type="spellEnd"/>
      <w:r w:rsidR="00A803AE" w:rsidRPr="00A803AE">
        <w:rPr>
          <w:rFonts w:ascii="Book Antiqua" w:hAnsi="Book Antiqua"/>
          <w:szCs w:val="24"/>
          <w:lang w:val="es-ES"/>
        </w:rPr>
        <w:t xml:space="preserve"> Baja, </w:t>
      </w:r>
      <w:proofErr w:type="spellStart"/>
      <w:r w:rsidR="00A803AE" w:rsidRPr="00A803AE">
        <w:rPr>
          <w:rFonts w:ascii="Book Antiqua" w:hAnsi="Book Antiqua"/>
          <w:szCs w:val="24"/>
          <w:lang w:val="es-ES"/>
        </w:rPr>
        <w:t>Toa</w:t>
      </w:r>
      <w:proofErr w:type="spellEnd"/>
      <w:r w:rsidR="00A803AE" w:rsidRPr="00A803AE">
        <w:rPr>
          <w:rFonts w:ascii="Book Antiqua" w:hAnsi="Book Antiqua"/>
          <w:szCs w:val="24"/>
          <w:lang w:val="es-ES"/>
        </w:rPr>
        <w:t xml:space="preserve"> Alta, Naranjito, Comerío, Corozal, Morovis, Orocovis, </w:t>
      </w:r>
      <w:proofErr w:type="spellStart"/>
      <w:r w:rsidR="00A803AE" w:rsidRPr="00A803AE">
        <w:rPr>
          <w:rFonts w:ascii="Book Antiqua" w:hAnsi="Book Antiqua"/>
          <w:szCs w:val="24"/>
          <w:lang w:val="es-ES"/>
        </w:rPr>
        <w:t>Ciales</w:t>
      </w:r>
      <w:proofErr w:type="spellEnd"/>
      <w:r w:rsidR="00A803AE" w:rsidRPr="00A803AE">
        <w:rPr>
          <w:rFonts w:ascii="Book Antiqua" w:hAnsi="Book Antiqua"/>
          <w:szCs w:val="24"/>
          <w:lang w:val="es-ES"/>
        </w:rPr>
        <w:t xml:space="preserve"> y Florida, como parte de los preparativos para la temporada de huracanes que comienza el 1 de junio de 2025 y culmina el 30 de noviembre de 2025; evaluar la capacidad de estas compañías para mantener la continuidad de los servicios de telefonía, internet y datos móviles durante y después de eventos atmosféricos severos; identificar las inversiones realizadas en infraestructura crítica, incluyendo sistemas de respaldo energético, soterramiento de cables y despliegue de tecnología redundante; examinar los protocolos de respuesta ante emergencias y la coordinación con agencias gubernamentales y municipales; y para otros fines relacionados.</w:t>
      </w:r>
    </w:p>
    <w:p w14:paraId="4F25B80C" w14:textId="77777777" w:rsidR="00A803AE" w:rsidRPr="00A803AE" w:rsidRDefault="00A803AE" w:rsidP="00205EF0">
      <w:pPr>
        <w:ind w:left="720" w:hanging="720"/>
        <w:jc w:val="both"/>
        <w:rPr>
          <w:rFonts w:ascii="Book Antiqua" w:hAnsi="Book Antiqua"/>
          <w:szCs w:val="24"/>
          <w:lang w:val="es-ES"/>
        </w:rPr>
      </w:pPr>
    </w:p>
    <w:bookmarkEnd w:id="0"/>
    <w:p w14:paraId="704C1465" w14:textId="77777777" w:rsidR="00B25CCC" w:rsidRPr="00A803AE" w:rsidRDefault="00B25CCC" w:rsidP="00AF4494">
      <w:pPr>
        <w:jc w:val="center"/>
        <w:rPr>
          <w:rFonts w:ascii="Book Antiqua" w:hAnsi="Book Antiqua"/>
          <w:caps/>
          <w:szCs w:val="24"/>
          <w:lang w:val="es-ES"/>
        </w:rPr>
      </w:pPr>
      <w:r w:rsidRPr="00A803AE">
        <w:rPr>
          <w:rFonts w:ascii="Book Antiqua" w:hAnsi="Book Antiqua"/>
          <w:caps/>
          <w:szCs w:val="24"/>
          <w:lang w:val="es-ES"/>
        </w:rPr>
        <w:t>EXPOSICIóN DE MOTIVOS</w:t>
      </w:r>
    </w:p>
    <w:p w14:paraId="2ECD3F2A" w14:textId="77777777" w:rsidR="00AF4494" w:rsidRPr="00A803AE" w:rsidRDefault="00AF4494" w:rsidP="00AF4494">
      <w:pPr>
        <w:jc w:val="center"/>
        <w:rPr>
          <w:rFonts w:ascii="Book Antiqua" w:hAnsi="Book Antiqua"/>
          <w:caps/>
          <w:szCs w:val="24"/>
          <w:lang w:val="es-ES"/>
        </w:rPr>
      </w:pPr>
    </w:p>
    <w:p w14:paraId="12C7D7DA" w14:textId="4547521A" w:rsidR="0026407E" w:rsidRPr="00A803AE" w:rsidRDefault="003E4893" w:rsidP="003E4893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A803AE">
        <w:rPr>
          <w:rFonts w:ascii="Book Antiqua" w:hAnsi="Book Antiqua"/>
          <w:sz w:val="24"/>
          <w:szCs w:val="24"/>
          <w:lang w:val="es-ES"/>
        </w:rPr>
        <w:t>Puerto Rico ha enfrentado desafíos significativos en su infraestructura de telecomunicaciones debido a eventos naturales como los huracanes María (2017), Fiona (2022) y la tormenta tropical Ernesto (2024). Estos fenómenos provocaron interrupciones masivas en los servicios de electricidad, agua y comunicaciones, afectando gravemente la conectividad en toda la isla. Por ejemplo, durante el huracán María, el 95% de las redes celulares quedaron inoperativas, y el 85% de los cables telefónicos y de internet aéreos fueron derribados</w:t>
      </w:r>
      <w:r w:rsidR="00E30B72" w:rsidRPr="00A803AE">
        <w:rPr>
          <w:rFonts w:ascii="Book Antiqua" w:hAnsi="Book Antiqua"/>
          <w:sz w:val="24"/>
          <w:szCs w:val="24"/>
          <w:lang w:val="es-ES"/>
        </w:rPr>
        <w:t>.</w:t>
      </w:r>
    </w:p>
    <w:p w14:paraId="273E8520" w14:textId="77777777" w:rsidR="00E30B72" w:rsidRPr="00A803AE" w:rsidRDefault="00E30B72" w:rsidP="003E4893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75C68AE3" w14:textId="132A448F" w:rsidR="00E30B72" w:rsidRPr="00A803AE" w:rsidRDefault="00E30B72" w:rsidP="003E4893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A803AE">
        <w:rPr>
          <w:rFonts w:ascii="Book Antiqua" w:hAnsi="Book Antiqua"/>
          <w:sz w:val="24"/>
          <w:szCs w:val="24"/>
          <w:lang w:val="es-ES"/>
        </w:rPr>
        <w:t xml:space="preserve">El gobierno de Puerto Rico ha tomado medidas para fortalecer la infraestructura de telecomunicaciones ante desastres naturales. La gobernadora </w:t>
      </w:r>
      <w:proofErr w:type="spellStart"/>
      <w:r w:rsidRPr="00A803AE">
        <w:rPr>
          <w:rFonts w:ascii="Book Antiqua" w:hAnsi="Book Antiqua"/>
          <w:sz w:val="24"/>
          <w:szCs w:val="24"/>
          <w:lang w:val="es-ES"/>
        </w:rPr>
        <w:t>Jenniffer</w:t>
      </w:r>
      <w:proofErr w:type="spellEnd"/>
      <w:r w:rsidRPr="00A803AE">
        <w:rPr>
          <w:rFonts w:ascii="Book Antiqua" w:hAnsi="Book Antiqua"/>
          <w:sz w:val="24"/>
          <w:szCs w:val="24"/>
          <w:lang w:val="es-ES"/>
        </w:rPr>
        <w:t xml:space="preserve"> González Colón presentó el Plan de Manejo de Emergencias para la temporada de huracanes, que incluye la coordinación entre agencias y la asignación de $1,250 millones para emergencias. </w:t>
      </w:r>
    </w:p>
    <w:p w14:paraId="05001A70" w14:textId="77777777" w:rsidR="00E30B72" w:rsidRPr="00A803AE" w:rsidRDefault="00E30B72" w:rsidP="003E4893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640F6C3E" w14:textId="4C355DA0" w:rsidR="00E30B72" w:rsidRPr="00A803AE" w:rsidRDefault="00E30B72" w:rsidP="003E4893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A803AE">
        <w:rPr>
          <w:rFonts w:ascii="Book Antiqua" w:hAnsi="Book Antiqua"/>
          <w:sz w:val="24"/>
          <w:szCs w:val="24"/>
          <w:lang w:val="es-ES"/>
        </w:rPr>
        <w:t xml:space="preserve">Los municipios del área norte de Puerto Rico, como Vega Baja, Arecibo, Manatí y Barceloneta, debe ser priorizados en los planes de contingencia de las compañías de telecomunicaciones debido a su densidad poblacional y vulnerabilidad a eventos naturales. Debemos conocer si Claro ha reforzado su infraestructura en estas áreas mediante el soterramiento de cables y la instalación de generadores de respaldo. Asimismo, deseamos investigar si Liberty ha trabajado en la expansión de su red de fibra óptica y en la implementación de sistemas de respaldo energético para garantizar la continuidad del servicio durante emergencias. </w:t>
      </w:r>
      <w:r w:rsidR="00C81464" w:rsidRPr="00A803AE">
        <w:rPr>
          <w:rFonts w:ascii="Book Antiqua" w:hAnsi="Book Antiqua"/>
          <w:sz w:val="24"/>
          <w:szCs w:val="24"/>
          <w:lang w:val="es-ES"/>
        </w:rPr>
        <w:t>Es crucial</w:t>
      </w:r>
      <w:r w:rsidRPr="00A803AE">
        <w:rPr>
          <w:rFonts w:ascii="Book Antiqua" w:hAnsi="Book Antiqua"/>
          <w:sz w:val="24"/>
          <w:szCs w:val="24"/>
          <w:lang w:val="es-ES"/>
        </w:rPr>
        <w:t xml:space="preserve"> asegurar que los residentes de la región norte mantengan la conectividad en situaciones críticas.</w:t>
      </w:r>
    </w:p>
    <w:p w14:paraId="1AAED3AB" w14:textId="77777777" w:rsidR="00AF4494" w:rsidRPr="00A803AE" w:rsidRDefault="00AF4494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2382EB98" w14:textId="7EF97448" w:rsidR="00E4614B" w:rsidRPr="00A803AE" w:rsidRDefault="007E5304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A803AE">
        <w:rPr>
          <w:rFonts w:ascii="Book Antiqua" w:hAnsi="Book Antiqua"/>
          <w:sz w:val="24"/>
          <w:szCs w:val="24"/>
          <w:lang w:val="es-ES"/>
        </w:rPr>
        <w:t>Por las razones antes expuestas</w:t>
      </w:r>
      <w:r w:rsidR="0026407E" w:rsidRPr="00A803AE">
        <w:rPr>
          <w:rFonts w:ascii="Book Antiqua" w:hAnsi="Book Antiqua"/>
          <w:sz w:val="24"/>
          <w:szCs w:val="24"/>
          <w:lang w:val="es-ES"/>
        </w:rPr>
        <w:t xml:space="preserve">, </w:t>
      </w:r>
      <w:r w:rsidR="00371186" w:rsidRPr="00A803AE">
        <w:rPr>
          <w:rFonts w:ascii="Book Antiqua" w:hAnsi="Book Antiqua"/>
          <w:sz w:val="24"/>
          <w:szCs w:val="24"/>
          <w:lang w:val="es-ES"/>
        </w:rPr>
        <w:t>estimamos</w:t>
      </w:r>
      <w:r w:rsidR="0026407E" w:rsidRPr="00A803AE">
        <w:rPr>
          <w:rFonts w:ascii="Book Antiqua" w:hAnsi="Book Antiqua"/>
          <w:sz w:val="24"/>
          <w:szCs w:val="24"/>
          <w:lang w:val="es-ES"/>
        </w:rPr>
        <w:t xml:space="preserve"> necesario </w:t>
      </w:r>
      <w:r w:rsidR="00E4614B" w:rsidRPr="00A803AE">
        <w:rPr>
          <w:rFonts w:ascii="Book Antiqua" w:hAnsi="Book Antiqua"/>
          <w:sz w:val="24"/>
          <w:szCs w:val="24"/>
          <w:lang w:val="es-ES"/>
        </w:rPr>
        <w:t xml:space="preserve">realizar una investigación exhaustiva sobre </w:t>
      </w:r>
      <w:r w:rsidR="00197734" w:rsidRPr="00A803AE">
        <w:rPr>
          <w:rFonts w:ascii="Book Antiqua" w:hAnsi="Book Antiqua"/>
          <w:sz w:val="24"/>
          <w:szCs w:val="24"/>
          <w:lang w:val="es-ES"/>
        </w:rPr>
        <w:t>las gestiones</w:t>
      </w:r>
      <w:r w:rsidR="00D2196E" w:rsidRPr="00A803AE">
        <w:rPr>
          <w:rFonts w:ascii="Book Antiqua" w:hAnsi="Book Antiqua"/>
          <w:sz w:val="24"/>
          <w:szCs w:val="24"/>
          <w:lang w:val="es-ES"/>
        </w:rPr>
        <w:t xml:space="preserve"> que han realizado las </w:t>
      </w:r>
      <w:r w:rsidR="00C81464" w:rsidRPr="00A803AE">
        <w:rPr>
          <w:rFonts w:ascii="Book Antiqua" w:hAnsi="Book Antiqua"/>
          <w:sz w:val="24"/>
          <w:szCs w:val="24"/>
          <w:lang w:val="es-ES"/>
        </w:rPr>
        <w:t xml:space="preserve">compañías de telecomunicaciones </w:t>
      </w:r>
      <w:r w:rsidR="00D2196E" w:rsidRPr="00A803AE">
        <w:rPr>
          <w:rFonts w:ascii="Book Antiqua" w:hAnsi="Book Antiqua"/>
          <w:sz w:val="24"/>
          <w:szCs w:val="24"/>
          <w:lang w:val="es-ES"/>
        </w:rPr>
        <w:t xml:space="preserve">dentro de la jurisdicción </w:t>
      </w:r>
      <w:r w:rsidR="00C81464" w:rsidRPr="00A803AE">
        <w:rPr>
          <w:rFonts w:ascii="Book Antiqua" w:hAnsi="Book Antiqua"/>
          <w:sz w:val="24"/>
          <w:szCs w:val="24"/>
          <w:lang w:val="es-ES"/>
        </w:rPr>
        <w:t xml:space="preserve">que comprende los municipios de Barceloneta, Manatí, Vega Baja, Vega Alta, Dorado, </w:t>
      </w:r>
      <w:proofErr w:type="spellStart"/>
      <w:r w:rsidR="00C81464" w:rsidRPr="00A803AE">
        <w:rPr>
          <w:rFonts w:ascii="Book Antiqua" w:hAnsi="Book Antiqua"/>
          <w:sz w:val="24"/>
          <w:szCs w:val="24"/>
          <w:lang w:val="es-ES"/>
        </w:rPr>
        <w:t>Toa</w:t>
      </w:r>
      <w:proofErr w:type="spellEnd"/>
      <w:r w:rsidR="00C81464" w:rsidRPr="00A803AE">
        <w:rPr>
          <w:rFonts w:ascii="Book Antiqua" w:hAnsi="Book Antiqua"/>
          <w:sz w:val="24"/>
          <w:szCs w:val="24"/>
          <w:lang w:val="es-ES"/>
        </w:rPr>
        <w:t xml:space="preserve"> Baja, </w:t>
      </w:r>
      <w:proofErr w:type="spellStart"/>
      <w:r w:rsidR="00C81464" w:rsidRPr="00A803AE">
        <w:rPr>
          <w:rFonts w:ascii="Book Antiqua" w:hAnsi="Book Antiqua"/>
          <w:sz w:val="24"/>
          <w:szCs w:val="24"/>
          <w:lang w:val="es-ES"/>
        </w:rPr>
        <w:t>Toa</w:t>
      </w:r>
      <w:proofErr w:type="spellEnd"/>
      <w:r w:rsidR="00C81464" w:rsidRPr="00A803AE">
        <w:rPr>
          <w:rFonts w:ascii="Book Antiqua" w:hAnsi="Book Antiqua"/>
          <w:sz w:val="24"/>
          <w:szCs w:val="24"/>
          <w:lang w:val="es-ES"/>
        </w:rPr>
        <w:t xml:space="preserve"> Alta, Naranjito, Comerío, Corozal, Morovis, Orocovis, </w:t>
      </w:r>
      <w:proofErr w:type="spellStart"/>
      <w:r w:rsidR="00C81464" w:rsidRPr="00A803AE">
        <w:rPr>
          <w:rFonts w:ascii="Book Antiqua" w:hAnsi="Book Antiqua"/>
          <w:sz w:val="24"/>
          <w:szCs w:val="24"/>
          <w:lang w:val="es-ES"/>
        </w:rPr>
        <w:t>Ciales</w:t>
      </w:r>
      <w:proofErr w:type="spellEnd"/>
      <w:r w:rsidR="00C81464" w:rsidRPr="00A803AE">
        <w:rPr>
          <w:rFonts w:ascii="Book Antiqua" w:hAnsi="Book Antiqua"/>
          <w:sz w:val="24"/>
          <w:szCs w:val="24"/>
          <w:lang w:val="es-ES"/>
        </w:rPr>
        <w:t xml:space="preserve"> y Florida</w:t>
      </w:r>
      <w:r w:rsidR="00D2196E" w:rsidRPr="00A803AE">
        <w:rPr>
          <w:rFonts w:ascii="Book Antiqua" w:hAnsi="Book Antiqua"/>
          <w:sz w:val="24"/>
          <w:szCs w:val="24"/>
          <w:lang w:val="es-ES"/>
        </w:rPr>
        <w:t xml:space="preserve">, como parte de los preparativos para la temporada de huracanes que comienza el 1 de junio de 2025 y culmina el 30 de noviembre de 2025; identificar </w:t>
      </w:r>
      <w:r w:rsidR="00C81464" w:rsidRPr="00A803AE">
        <w:rPr>
          <w:rFonts w:ascii="Book Antiqua" w:hAnsi="Book Antiqua"/>
          <w:sz w:val="24"/>
          <w:szCs w:val="24"/>
          <w:lang w:val="es-ES"/>
        </w:rPr>
        <w:t xml:space="preserve">la implementación de medidas de redundancia y respaldo energético para garantizar la continuidad del servicio durante emergencias dentro de </w:t>
      </w:r>
      <w:r w:rsidR="00D2196E" w:rsidRPr="00A803AE">
        <w:rPr>
          <w:rFonts w:ascii="Book Antiqua" w:hAnsi="Book Antiqua"/>
          <w:sz w:val="24"/>
          <w:szCs w:val="24"/>
          <w:lang w:val="es-ES"/>
        </w:rPr>
        <w:t>dicha jurisdicción</w:t>
      </w:r>
      <w:r w:rsidRPr="00A803AE">
        <w:rPr>
          <w:rFonts w:ascii="Book Antiqua" w:hAnsi="Book Antiqua"/>
          <w:sz w:val="24"/>
          <w:szCs w:val="24"/>
          <w:lang w:val="es-ES"/>
        </w:rPr>
        <w:t>.</w:t>
      </w:r>
    </w:p>
    <w:p w14:paraId="2F900E6F" w14:textId="77777777" w:rsidR="00AF4494" w:rsidRPr="00A803AE" w:rsidRDefault="00AF4494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60017340" w14:textId="6921D1B4" w:rsidR="00B25CCC" w:rsidRPr="00A803AE" w:rsidRDefault="00B25CCC" w:rsidP="00AF4494">
      <w:pPr>
        <w:jc w:val="both"/>
        <w:rPr>
          <w:rFonts w:ascii="Book Antiqua" w:hAnsi="Book Antiqua"/>
          <w:szCs w:val="24"/>
          <w:lang w:val="es-ES"/>
        </w:rPr>
      </w:pPr>
      <w:r w:rsidRPr="00A803AE">
        <w:rPr>
          <w:rFonts w:ascii="Book Antiqua" w:hAnsi="Book Antiqua"/>
          <w:i/>
          <w:caps/>
          <w:szCs w:val="24"/>
          <w:lang w:val="es-ES"/>
        </w:rPr>
        <w:t>RESUéLVESE POR LA CáMARA DE REPRESENTANTES DE PUERTO RICO:</w:t>
      </w:r>
      <w:r w:rsidRPr="00A803AE">
        <w:rPr>
          <w:rFonts w:ascii="Book Antiqua" w:hAnsi="Book Antiqua"/>
          <w:szCs w:val="24"/>
          <w:lang w:val="es-ES"/>
        </w:rPr>
        <w:t xml:space="preserve"> </w:t>
      </w:r>
    </w:p>
    <w:p w14:paraId="4946D33C" w14:textId="77777777" w:rsidR="00AF4494" w:rsidRPr="00A803AE" w:rsidRDefault="00AF4494" w:rsidP="00AF4494">
      <w:pPr>
        <w:jc w:val="both"/>
        <w:rPr>
          <w:rFonts w:ascii="Book Antiqua" w:hAnsi="Book Antiqua"/>
          <w:szCs w:val="24"/>
          <w:lang w:val="es-ES"/>
        </w:rPr>
      </w:pPr>
    </w:p>
    <w:p w14:paraId="4D811978" w14:textId="77777777" w:rsidR="00AF4494" w:rsidRPr="00A803AE" w:rsidRDefault="00AF4494" w:rsidP="00AF4494">
      <w:pPr>
        <w:spacing w:line="480" w:lineRule="auto"/>
        <w:ind w:firstLine="630"/>
        <w:jc w:val="both"/>
        <w:rPr>
          <w:rFonts w:ascii="Book Antiqua" w:hAnsi="Book Antiqua"/>
          <w:szCs w:val="24"/>
          <w:lang w:val="es-ES"/>
        </w:rPr>
        <w:sectPr w:rsidR="00AF4494" w:rsidRPr="00A803AE" w:rsidSect="00B25CCC">
          <w:headerReference w:type="even" r:id="rId7"/>
          <w:headerReference w:type="default" r:id="rId8"/>
          <w:footerReference w:type="even" r:id="rId9"/>
          <w:footerReference w:type="default" r:id="rId10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2D12F784" w14:textId="6BBA0D07" w:rsidR="00A803AE" w:rsidRDefault="00C0034D" w:rsidP="00AF4494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803AE">
        <w:rPr>
          <w:rFonts w:ascii="Book Antiqua" w:hAnsi="Book Antiqua"/>
          <w:szCs w:val="24"/>
          <w:lang w:val="es-ES"/>
        </w:rPr>
        <w:t>Sección 1.-</w:t>
      </w:r>
      <w:r w:rsidRPr="00A803AE">
        <w:rPr>
          <w:rFonts w:ascii="Book Antiqua" w:eastAsiaTheme="minorHAnsi" w:hAnsi="Book Antiqua"/>
          <w:szCs w:val="24"/>
          <w:lang w:val="es-ES"/>
        </w:rPr>
        <w:t xml:space="preserve">Se ordena a </w:t>
      </w:r>
      <w:r w:rsidR="00AC1DD2" w:rsidRPr="00A803AE">
        <w:rPr>
          <w:rFonts w:ascii="Book Antiqua" w:hAnsi="Book Antiqua"/>
          <w:szCs w:val="24"/>
          <w:lang w:val="es-ES"/>
        </w:rPr>
        <w:t xml:space="preserve">la Comisión de la Región Norte de la Cámara de Representantes de Puerto Rico, realizar una investigación exhaustiva sobre </w:t>
      </w:r>
      <w:r w:rsidR="00A803AE" w:rsidRPr="00A803AE">
        <w:rPr>
          <w:rFonts w:ascii="Book Antiqua" w:hAnsi="Book Antiqua"/>
          <w:szCs w:val="24"/>
          <w:lang w:val="es-ES"/>
        </w:rPr>
        <w:t xml:space="preserve">las medidas de preparación, resiliencia y redundancia implementadas por las compañías de telecomunicaciones que operan dentro de la jurisdicción de Barceloneta, Manatí, Vega Baja, Vega Alta, Dorado, </w:t>
      </w:r>
      <w:proofErr w:type="spellStart"/>
      <w:r w:rsidR="00A803AE" w:rsidRPr="00A803AE">
        <w:rPr>
          <w:rFonts w:ascii="Book Antiqua" w:hAnsi="Book Antiqua"/>
          <w:szCs w:val="24"/>
          <w:lang w:val="es-ES"/>
        </w:rPr>
        <w:t>Toa</w:t>
      </w:r>
      <w:proofErr w:type="spellEnd"/>
      <w:r w:rsidR="00A803AE" w:rsidRPr="00A803AE">
        <w:rPr>
          <w:rFonts w:ascii="Book Antiqua" w:hAnsi="Book Antiqua"/>
          <w:szCs w:val="24"/>
          <w:lang w:val="es-ES"/>
        </w:rPr>
        <w:t xml:space="preserve"> Baja, </w:t>
      </w:r>
      <w:proofErr w:type="spellStart"/>
      <w:r w:rsidR="00A803AE" w:rsidRPr="00A803AE">
        <w:rPr>
          <w:rFonts w:ascii="Book Antiqua" w:hAnsi="Book Antiqua"/>
          <w:szCs w:val="24"/>
          <w:lang w:val="es-ES"/>
        </w:rPr>
        <w:t>Toa</w:t>
      </w:r>
      <w:proofErr w:type="spellEnd"/>
      <w:r w:rsidR="00A803AE" w:rsidRPr="00A803AE">
        <w:rPr>
          <w:rFonts w:ascii="Book Antiqua" w:hAnsi="Book Antiqua"/>
          <w:szCs w:val="24"/>
          <w:lang w:val="es-ES"/>
        </w:rPr>
        <w:t xml:space="preserve"> Alta, Naranjito, Comerío, Corozal, Morovis, Orocovis, </w:t>
      </w:r>
      <w:proofErr w:type="spellStart"/>
      <w:r w:rsidR="00A803AE" w:rsidRPr="00A803AE">
        <w:rPr>
          <w:rFonts w:ascii="Book Antiqua" w:hAnsi="Book Antiqua"/>
          <w:szCs w:val="24"/>
          <w:lang w:val="es-ES"/>
        </w:rPr>
        <w:t>Ciales</w:t>
      </w:r>
      <w:proofErr w:type="spellEnd"/>
      <w:r w:rsidR="00A803AE" w:rsidRPr="00A803AE">
        <w:rPr>
          <w:rFonts w:ascii="Book Antiqua" w:hAnsi="Book Antiqua"/>
          <w:szCs w:val="24"/>
          <w:lang w:val="es-ES"/>
        </w:rPr>
        <w:t xml:space="preserve"> y Florida, como parte de los preparativos para la temporada de huracanes que comienza el 1 de junio de 2025 y culmina el 30 de noviembre de 2025; evaluar la capacidad de estas compañías para mantener la continuidad de los servicios </w:t>
      </w:r>
      <w:r w:rsidR="00A803AE" w:rsidRPr="00A803AE">
        <w:rPr>
          <w:rFonts w:ascii="Book Antiqua" w:hAnsi="Book Antiqua"/>
          <w:szCs w:val="24"/>
          <w:lang w:val="es-ES"/>
        </w:rPr>
        <w:lastRenderedPageBreak/>
        <w:t>de telefonía, internet y datos móviles durante y después de eventos atmosféricos severos; identificar las inversiones realizadas en infraestructura crítica, incluyendo sistemas de respaldo energético, soterramiento de cables y despliegue de tecnología redundante; examinar los protocolos de respuesta ante emergencias y la coordinación con agencias gubernamentales y municipales</w:t>
      </w:r>
      <w:r w:rsidR="00A803AE">
        <w:rPr>
          <w:rFonts w:ascii="Book Antiqua" w:hAnsi="Book Antiqua"/>
          <w:szCs w:val="24"/>
          <w:lang w:val="es-ES"/>
        </w:rPr>
        <w:t>.</w:t>
      </w:r>
    </w:p>
    <w:p w14:paraId="7092A655" w14:textId="59A2313B" w:rsidR="00C0034D" w:rsidRPr="00A803AE" w:rsidRDefault="00C0034D" w:rsidP="00AF4494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803AE">
        <w:rPr>
          <w:rFonts w:ascii="Book Antiqua" w:eastAsiaTheme="minorHAnsi" w:hAnsi="Book Antiqua"/>
          <w:bCs/>
          <w:szCs w:val="24"/>
          <w:lang w:val="es-ES"/>
        </w:rPr>
        <w:t>Sección 2.</w:t>
      </w:r>
      <w:r w:rsidR="00205EF0">
        <w:rPr>
          <w:rFonts w:ascii="Book Antiqua" w:eastAsiaTheme="minorHAnsi" w:hAnsi="Book Antiqua"/>
          <w:szCs w:val="24"/>
          <w:lang w:val="es-ES"/>
        </w:rPr>
        <w:t>-</w:t>
      </w:r>
      <w:r w:rsidR="00C77E0B" w:rsidRPr="00A803AE">
        <w:rPr>
          <w:rFonts w:ascii="Book Antiqua" w:eastAsiaTheme="minorHAnsi" w:hAnsi="Book Antiqua"/>
          <w:szCs w:val="24"/>
          <w:lang w:val="es-ES"/>
        </w:rPr>
        <w:t xml:space="preserve">La </w:t>
      </w:r>
      <w:r w:rsidR="00EB6716" w:rsidRPr="00A803AE">
        <w:rPr>
          <w:rFonts w:ascii="Book Antiqua" w:hAnsi="Book Antiqua"/>
          <w:szCs w:val="24"/>
          <w:lang w:val="es-ES"/>
        </w:rPr>
        <w:t>Comisión realizará aquellas vistas que sean necesarias; citará funcionarios; requerirá información y realizará inspecciones oculares a los fines de cumplir con el mandato de esta Resolución</w:t>
      </w:r>
      <w:r w:rsidRPr="00A803AE">
        <w:rPr>
          <w:rFonts w:ascii="Book Antiqua" w:eastAsiaTheme="minorHAnsi" w:hAnsi="Book Antiqua"/>
          <w:szCs w:val="24"/>
          <w:lang w:val="es-ES"/>
        </w:rPr>
        <w:t>.</w:t>
      </w:r>
    </w:p>
    <w:p w14:paraId="3733EA35" w14:textId="7457E908" w:rsidR="00C77E0B" w:rsidRPr="00A803AE" w:rsidRDefault="00C77E0B" w:rsidP="00AF4494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803AE">
        <w:rPr>
          <w:rFonts w:ascii="Book Antiqua" w:hAnsi="Book Antiqua"/>
          <w:szCs w:val="24"/>
          <w:lang w:val="es-ES"/>
        </w:rPr>
        <w:t xml:space="preserve">Sección 3.-La Comisión rendirá un informe final con sus hallazgos, conclusiones y recomendaciones, </w:t>
      </w:r>
      <w:r w:rsidR="001C0283" w:rsidRPr="00A803AE">
        <w:rPr>
          <w:rFonts w:ascii="Book Antiqua" w:hAnsi="Book Antiqua"/>
          <w:szCs w:val="24"/>
          <w:lang w:val="es-ES"/>
        </w:rPr>
        <w:t xml:space="preserve">dentro del término de </w:t>
      </w:r>
      <w:r w:rsidR="00AC1DD2" w:rsidRPr="00A803AE">
        <w:rPr>
          <w:rFonts w:ascii="Book Antiqua" w:hAnsi="Book Antiqua"/>
          <w:szCs w:val="24"/>
          <w:lang w:val="es-ES"/>
        </w:rPr>
        <w:t>noventa</w:t>
      </w:r>
      <w:r w:rsidR="001C0283" w:rsidRPr="00A803AE">
        <w:rPr>
          <w:rFonts w:ascii="Book Antiqua" w:hAnsi="Book Antiqua"/>
          <w:szCs w:val="24"/>
          <w:lang w:val="es-ES"/>
        </w:rPr>
        <w:t xml:space="preserve"> (</w:t>
      </w:r>
      <w:r w:rsidR="00AC1DD2" w:rsidRPr="00A803AE">
        <w:rPr>
          <w:rFonts w:ascii="Book Antiqua" w:hAnsi="Book Antiqua"/>
          <w:szCs w:val="24"/>
          <w:lang w:val="es-ES"/>
        </w:rPr>
        <w:t>90</w:t>
      </w:r>
      <w:r w:rsidR="001C0283" w:rsidRPr="00A803AE">
        <w:rPr>
          <w:rFonts w:ascii="Book Antiqua" w:hAnsi="Book Antiqua"/>
          <w:szCs w:val="24"/>
          <w:lang w:val="es-ES"/>
        </w:rPr>
        <w:t>) días, contados a partir de la aprobación de esta Resolución</w:t>
      </w:r>
      <w:r w:rsidRPr="00A803AE">
        <w:rPr>
          <w:rFonts w:ascii="Book Antiqua" w:hAnsi="Book Antiqua"/>
          <w:szCs w:val="24"/>
          <w:lang w:val="es-ES"/>
        </w:rPr>
        <w:t>.</w:t>
      </w:r>
    </w:p>
    <w:p w14:paraId="5DFBBEFB" w14:textId="44780D62" w:rsidR="00B25CCC" w:rsidRPr="00A803AE" w:rsidRDefault="00C77E0B" w:rsidP="00AF4494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A803AE">
        <w:rPr>
          <w:rFonts w:ascii="Book Antiqua" w:hAnsi="Book Antiqua"/>
          <w:szCs w:val="24"/>
          <w:lang w:val="es-ES"/>
        </w:rPr>
        <w:t>Sección 4.-Esta Resolución entrará en vigor inmediatamente después de su aprobación.</w:t>
      </w:r>
    </w:p>
    <w:sectPr w:rsidR="00B25CCC" w:rsidRPr="00A803AE" w:rsidSect="00B25CCC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AA90A" w14:textId="77777777" w:rsidR="00813456" w:rsidRDefault="00813456">
      <w:r>
        <w:separator/>
      </w:r>
    </w:p>
  </w:endnote>
  <w:endnote w:type="continuationSeparator" w:id="0">
    <w:p w14:paraId="053E66B3" w14:textId="77777777" w:rsidR="00813456" w:rsidRDefault="00813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C0034D" w:rsidRDefault="00C0034D">
    <w:pPr>
      <w:pStyle w:val="Piedepgina"/>
      <w:framePr w:wrap="around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3BF4B7D5" w14:textId="77777777" w:rsidR="00C0034D" w:rsidRDefault="00C0034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C0034D" w:rsidRDefault="00C0034D">
    <w:pPr>
      <w:pStyle w:val="Piedepgina"/>
      <w:framePr w:wrap="around" w:vAnchor="text" w:hAnchor="margin" w:xAlign="right" w:y="1"/>
      <w:rPr>
        <w:rStyle w:val="Nmerodepgina"/>
        <w:rFonts w:eastAsiaTheme="majorEastAsia"/>
      </w:rPr>
    </w:pPr>
  </w:p>
  <w:p w14:paraId="4F836377" w14:textId="77777777" w:rsidR="00C0034D" w:rsidRDefault="00C0034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B51DC" w14:textId="77777777" w:rsidR="00813456" w:rsidRDefault="00813456">
      <w:r>
        <w:separator/>
      </w:r>
    </w:p>
  </w:footnote>
  <w:footnote w:type="continuationSeparator" w:id="0">
    <w:p w14:paraId="6F7C1201" w14:textId="77777777" w:rsidR="00813456" w:rsidRDefault="00813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C0034D" w:rsidRDefault="00C0034D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5EFEEB9A" w14:textId="77777777" w:rsidR="00C0034D" w:rsidRDefault="00C003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C0034D" w:rsidRPr="00072A94" w:rsidRDefault="00C0034D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F03CC7">
      <w:rPr>
        <w:rFonts w:ascii="Book Antiqua" w:hAnsi="Book Antiqua"/>
        <w:noProof/>
        <w:szCs w:val="18"/>
      </w:rPr>
      <w:t>3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C0034D" w:rsidRDefault="00C0034D"/>
  <w:p w14:paraId="2763B849" w14:textId="77777777" w:rsidR="00C0034D" w:rsidRDefault="00C0034D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C0034D" w:rsidRDefault="00C0034D">
    <w:pPr>
      <w:pStyle w:val="Encabezado"/>
      <w:jc w:val="center"/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separate"/>
    </w:r>
    <w:r w:rsidR="00F03CC7">
      <w:rPr>
        <w:rStyle w:val="Nmerodepgina"/>
        <w:rFonts w:eastAsiaTheme="majorEastAsia"/>
        <w:noProof/>
      </w:rPr>
      <w:t>4</w:t>
    </w:r>
    <w:r>
      <w:rPr>
        <w:rStyle w:val="Nmerodepgina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B751F"/>
    <w:multiLevelType w:val="multilevel"/>
    <w:tmpl w:val="7F7C58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3252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155E5"/>
    <w:rsid w:val="00031775"/>
    <w:rsid w:val="00050A57"/>
    <w:rsid w:val="0009320F"/>
    <w:rsid w:val="000C2DBB"/>
    <w:rsid w:val="000C6AB2"/>
    <w:rsid w:val="000D5F3D"/>
    <w:rsid w:val="000F0607"/>
    <w:rsid w:val="00122B17"/>
    <w:rsid w:val="00144606"/>
    <w:rsid w:val="0019566F"/>
    <w:rsid w:val="00197734"/>
    <w:rsid w:val="001C0283"/>
    <w:rsid w:val="00205EF0"/>
    <w:rsid w:val="0021027C"/>
    <w:rsid w:val="002142EE"/>
    <w:rsid w:val="00253092"/>
    <w:rsid w:val="0026407E"/>
    <w:rsid w:val="00281684"/>
    <w:rsid w:val="00282479"/>
    <w:rsid w:val="002B5386"/>
    <w:rsid w:val="00306752"/>
    <w:rsid w:val="003448B8"/>
    <w:rsid w:val="00357DA0"/>
    <w:rsid w:val="0037089C"/>
    <w:rsid w:val="00371186"/>
    <w:rsid w:val="003E4893"/>
    <w:rsid w:val="00460F79"/>
    <w:rsid w:val="00463C75"/>
    <w:rsid w:val="00472E2B"/>
    <w:rsid w:val="004C5A7F"/>
    <w:rsid w:val="004F0E79"/>
    <w:rsid w:val="00504648"/>
    <w:rsid w:val="00532401"/>
    <w:rsid w:val="0054382A"/>
    <w:rsid w:val="0054505E"/>
    <w:rsid w:val="00586C65"/>
    <w:rsid w:val="005B32DA"/>
    <w:rsid w:val="005F64EE"/>
    <w:rsid w:val="00602731"/>
    <w:rsid w:val="00602BEB"/>
    <w:rsid w:val="00625F81"/>
    <w:rsid w:val="00637D55"/>
    <w:rsid w:val="00652F5A"/>
    <w:rsid w:val="006721FA"/>
    <w:rsid w:val="0068676F"/>
    <w:rsid w:val="00692A2D"/>
    <w:rsid w:val="006A1550"/>
    <w:rsid w:val="006A258D"/>
    <w:rsid w:val="006B0B56"/>
    <w:rsid w:val="006E4A70"/>
    <w:rsid w:val="006F49D4"/>
    <w:rsid w:val="00705526"/>
    <w:rsid w:val="007121ED"/>
    <w:rsid w:val="007508BE"/>
    <w:rsid w:val="0076563E"/>
    <w:rsid w:val="007D1779"/>
    <w:rsid w:val="007E5304"/>
    <w:rsid w:val="007E5CB8"/>
    <w:rsid w:val="007E769B"/>
    <w:rsid w:val="007E78F3"/>
    <w:rsid w:val="00813456"/>
    <w:rsid w:val="0082688B"/>
    <w:rsid w:val="0086337E"/>
    <w:rsid w:val="008B59E8"/>
    <w:rsid w:val="008B66EC"/>
    <w:rsid w:val="008C0085"/>
    <w:rsid w:val="008D13D6"/>
    <w:rsid w:val="008D224C"/>
    <w:rsid w:val="008D2E44"/>
    <w:rsid w:val="00922B17"/>
    <w:rsid w:val="0095158D"/>
    <w:rsid w:val="00956BDE"/>
    <w:rsid w:val="00984892"/>
    <w:rsid w:val="009C1A9E"/>
    <w:rsid w:val="009F02E5"/>
    <w:rsid w:val="00A56D30"/>
    <w:rsid w:val="00A71E52"/>
    <w:rsid w:val="00A803AE"/>
    <w:rsid w:val="00A84A31"/>
    <w:rsid w:val="00A94792"/>
    <w:rsid w:val="00AA039F"/>
    <w:rsid w:val="00AB0F85"/>
    <w:rsid w:val="00AB3BEF"/>
    <w:rsid w:val="00AC1DD2"/>
    <w:rsid w:val="00AC6FA0"/>
    <w:rsid w:val="00AE20EA"/>
    <w:rsid w:val="00AE4E88"/>
    <w:rsid w:val="00AE6682"/>
    <w:rsid w:val="00AF4494"/>
    <w:rsid w:val="00B052F3"/>
    <w:rsid w:val="00B25CCC"/>
    <w:rsid w:val="00B30D27"/>
    <w:rsid w:val="00B913DE"/>
    <w:rsid w:val="00BB261D"/>
    <w:rsid w:val="00BF42D6"/>
    <w:rsid w:val="00C0034D"/>
    <w:rsid w:val="00C266BA"/>
    <w:rsid w:val="00C51010"/>
    <w:rsid w:val="00C77E0B"/>
    <w:rsid w:val="00C81464"/>
    <w:rsid w:val="00CA4EF9"/>
    <w:rsid w:val="00CA5DE2"/>
    <w:rsid w:val="00CC68F8"/>
    <w:rsid w:val="00D218EE"/>
    <w:rsid w:val="00D2196E"/>
    <w:rsid w:val="00D37442"/>
    <w:rsid w:val="00D40709"/>
    <w:rsid w:val="00D57638"/>
    <w:rsid w:val="00D7108F"/>
    <w:rsid w:val="00D93074"/>
    <w:rsid w:val="00D944CC"/>
    <w:rsid w:val="00D96357"/>
    <w:rsid w:val="00E30B72"/>
    <w:rsid w:val="00E352D4"/>
    <w:rsid w:val="00E4614B"/>
    <w:rsid w:val="00E65FC1"/>
    <w:rsid w:val="00E672FC"/>
    <w:rsid w:val="00E91A9B"/>
    <w:rsid w:val="00EA1D88"/>
    <w:rsid w:val="00EB0AB8"/>
    <w:rsid w:val="00EB132B"/>
    <w:rsid w:val="00EB6716"/>
    <w:rsid w:val="00EC3925"/>
    <w:rsid w:val="00EE66B2"/>
    <w:rsid w:val="00EF2D4B"/>
    <w:rsid w:val="00EF34FB"/>
    <w:rsid w:val="00F03CC7"/>
    <w:rsid w:val="00F205FC"/>
    <w:rsid w:val="00F351E8"/>
    <w:rsid w:val="00FA31B7"/>
    <w:rsid w:val="00FB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FEB019F"/>
  <w15:docId w15:val="{F8E7A4F8-3548-4CDC-B74A-2E5DF2162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25C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25C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5C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B25CCC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B25CCC"/>
  </w:style>
  <w:style w:type="paragraph" w:styleId="Piedepgina">
    <w:name w:val="footer"/>
    <w:basedOn w:val="Normal"/>
    <w:link w:val="PiedepginaC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PiedepginaCar">
    <w:name w:val="Pie de página Car"/>
    <w:basedOn w:val="Fuentedeprrafopredeter"/>
    <w:link w:val="Piedepgina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Nmerodelnea">
    <w:name w:val="line number"/>
    <w:basedOn w:val="Fuentedeprrafopredeter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unhideWhenUsed/>
    <w:rsid w:val="0026407E"/>
    <w:pPr>
      <w:spacing w:before="100" w:beforeAutospacing="1" w:after="100" w:afterAutospacing="1"/>
    </w:pPr>
    <w:rPr>
      <w:rFonts w:eastAsiaTheme="minorHAnsi"/>
      <w:sz w:val="20"/>
    </w:rPr>
  </w:style>
  <w:style w:type="character" w:styleId="Textoennegrita">
    <w:name w:val="Strong"/>
    <w:basedOn w:val="Fuentedeprrafopredeter"/>
    <w:uiPriority w:val="22"/>
    <w:qFormat/>
    <w:rsid w:val="00C003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Rocío Alayón Morell</cp:lastModifiedBy>
  <cp:revision>3</cp:revision>
  <cp:lastPrinted>2025-01-10T02:31:00Z</cp:lastPrinted>
  <dcterms:created xsi:type="dcterms:W3CDTF">2025-06-05T19:08:00Z</dcterms:created>
  <dcterms:modified xsi:type="dcterms:W3CDTF">2025-06-06T16:40:00Z</dcterms:modified>
</cp:coreProperties>
</file>