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5D1020D4"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814FD3">
        <w:rPr>
          <w:rFonts w:ascii="Book Antiqua" w:hAnsi="Book Antiqua"/>
          <w:b/>
          <w:sz w:val="52"/>
          <w:lang w:val="es-ES_tradnl"/>
        </w:rPr>
        <w:t>357</w:t>
      </w:r>
    </w:p>
    <w:p w14:paraId="4FB5DD3D" w14:textId="77777777" w:rsidR="001E0D88" w:rsidRPr="001E0D88" w:rsidRDefault="001E0D88" w:rsidP="001E0D88">
      <w:pPr>
        <w:jc w:val="center"/>
        <w:rPr>
          <w:rFonts w:ascii="Book Antiqua" w:hAnsi="Book Antiqua"/>
          <w:b/>
          <w:szCs w:val="24"/>
          <w:lang w:val="es-ES_tradnl"/>
        </w:rPr>
      </w:pPr>
    </w:p>
    <w:p w14:paraId="12915E35" w14:textId="0C3CED39" w:rsidR="007223FC" w:rsidRDefault="00FD653F" w:rsidP="001E0D88">
      <w:pPr>
        <w:jc w:val="center"/>
        <w:rPr>
          <w:rFonts w:ascii="Book Antiqua" w:hAnsi="Book Antiqua"/>
          <w:lang w:val="es-ES_tradnl"/>
        </w:rPr>
      </w:pPr>
      <w:r>
        <w:rPr>
          <w:rFonts w:ascii="Book Antiqua" w:hAnsi="Book Antiqua"/>
          <w:lang w:val="es-ES_tradnl"/>
        </w:rPr>
        <w:t xml:space="preserve">10 </w:t>
      </w:r>
      <w:r w:rsidR="00E03207">
        <w:rPr>
          <w:rFonts w:ascii="Book Antiqua" w:hAnsi="Book Antiqua"/>
          <w:lang w:val="es-ES_tradnl"/>
        </w:rPr>
        <w:t xml:space="preserve">DE </w:t>
      </w:r>
      <w:r w:rsidR="00D84023">
        <w:rPr>
          <w:rFonts w:ascii="Book Antiqua" w:hAnsi="Book Antiqua"/>
          <w:lang w:val="es-ES_tradnl"/>
        </w:rPr>
        <w:t>JUNI</w:t>
      </w:r>
      <w:r w:rsidR="00486727">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7A88A04F" w14:textId="77777777" w:rsidR="00A45E32" w:rsidRDefault="00A45E32" w:rsidP="00A45E32">
      <w:pPr>
        <w:jc w:val="center"/>
        <w:rPr>
          <w:rFonts w:ascii="Book Antiqua" w:hAnsi="Book Antiqua"/>
          <w:i/>
          <w:iCs/>
          <w:lang w:val="es-ES_tradnl"/>
        </w:rPr>
      </w:pPr>
      <w:r>
        <w:rPr>
          <w:rFonts w:ascii="Book Antiqua" w:hAnsi="Book Antiqua"/>
          <w:lang w:val="es-ES_tradnl"/>
        </w:rPr>
        <w:t>Presentada por el representante</w:t>
      </w:r>
      <w:r w:rsidRPr="00A903E7">
        <w:rPr>
          <w:rFonts w:ascii="Book Antiqua" w:hAnsi="Book Antiqua"/>
          <w:i/>
          <w:iCs/>
          <w:lang w:val="es-ES_tradnl"/>
        </w:rPr>
        <w:t xml:space="preserve"> </w:t>
      </w:r>
      <w:r w:rsidRPr="0044682A">
        <w:rPr>
          <w:rFonts w:ascii="Book Antiqua" w:hAnsi="Book Antiqua"/>
          <w:i/>
          <w:iCs/>
          <w:lang w:val="es-ES_tradnl"/>
        </w:rPr>
        <w:t>Marquez Lebrón</w:t>
      </w:r>
      <w:r>
        <w:rPr>
          <w:rFonts w:ascii="Book Antiqua" w:hAnsi="Book Antiqua"/>
          <w:i/>
          <w:iCs/>
          <w:lang w:val="es-ES_tradnl"/>
        </w:rPr>
        <w:t xml:space="preserve">; </w:t>
      </w:r>
    </w:p>
    <w:p w14:paraId="667AEAC3" w14:textId="77777777" w:rsidR="00A45E32" w:rsidRDefault="00A45E32" w:rsidP="00A45E32">
      <w:pPr>
        <w:jc w:val="center"/>
        <w:rPr>
          <w:rFonts w:ascii="Book Antiqua" w:hAnsi="Book Antiqua"/>
          <w:i/>
          <w:lang w:val="es-ES_tradnl"/>
        </w:rPr>
      </w:pPr>
      <w:r w:rsidRPr="00AD3CBF">
        <w:rPr>
          <w:rFonts w:ascii="Book Antiqua" w:hAnsi="Book Antiqua"/>
          <w:lang w:val="es-ES_tradnl"/>
        </w:rPr>
        <w:t>y las</w:t>
      </w:r>
      <w:r>
        <w:rPr>
          <w:rFonts w:ascii="Book Antiqua" w:hAnsi="Book Antiqua"/>
          <w:i/>
          <w:iCs/>
          <w:lang w:val="es-ES_tradnl"/>
        </w:rPr>
        <w:t xml:space="preserve"> </w:t>
      </w:r>
      <w:r w:rsidRPr="00AD3CBF">
        <w:rPr>
          <w:rFonts w:ascii="Book Antiqua" w:hAnsi="Book Antiqua"/>
          <w:lang w:val="es-ES_tradnl"/>
        </w:rPr>
        <w:t xml:space="preserve">representantes </w:t>
      </w:r>
      <w:r>
        <w:rPr>
          <w:rFonts w:ascii="Book Antiqua" w:hAnsi="Book Antiqua"/>
          <w:i/>
          <w:lang w:val="es-ES_tradnl"/>
        </w:rPr>
        <w:t xml:space="preserve">Gutiérrez Colón </w:t>
      </w:r>
      <w:r w:rsidRPr="00AD3CBF">
        <w:rPr>
          <w:rFonts w:ascii="Book Antiqua" w:hAnsi="Book Antiqua"/>
          <w:iCs/>
          <w:lang w:val="es-ES_tradnl"/>
        </w:rPr>
        <w:t>y</w:t>
      </w:r>
      <w:r>
        <w:rPr>
          <w:rFonts w:ascii="Book Antiqua" w:hAnsi="Book Antiqua"/>
          <w:i/>
          <w:lang w:val="es-ES_tradnl"/>
        </w:rPr>
        <w:t xml:space="preserve"> Lebrón Robles</w:t>
      </w:r>
    </w:p>
    <w:p w14:paraId="0A5F7370" w14:textId="77777777" w:rsidR="00B53DD9" w:rsidRDefault="00B53DD9" w:rsidP="001E0D88">
      <w:pPr>
        <w:jc w:val="center"/>
        <w:rPr>
          <w:rFonts w:ascii="Book Antiqua" w:hAnsi="Book Antiqua"/>
          <w:iCs/>
          <w:lang w:val="es-ES_tradnl"/>
        </w:rPr>
      </w:pPr>
    </w:p>
    <w:p w14:paraId="6CA28D6E" w14:textId="77777777" w:rsidR="00A45E32" w:rsidRDefault="00A45E32" w:rsidP="00A45E32">
      <w:pPr>
        <w:jc w:val="center"/>
        <w:rPr>
          <w:rFonts w:ascii="Book Antiqua" w:hAnsi="Book Antiqua"/>
          <w:lang w:val="es-ES_tradnl"/>
        </w:rPr>
      </w:pPr>
      <w:r>
        <w:rPr>
          <w:rFonts w:ascii="Book Antiqua" w:hAnsi="Book Antiqua"/>
          <w:lang w:val="es-ES_tradnl"/>
        </w:rPr>
        <w:t>Referida a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78321A1C" w:rsidR="007223FC" w:rsidRPr="00F73338" w:rsidRDefault="007223FC" w:rsidP="001E0D88">
      <w:pPr>
        <w:ind w:left="360" w:hanging="360"/>
        <w:jc w:val="both"/>
        <w:rPr>
          <w:rFonts w:ascii="Book Antiqua" w:hAnsi="Book Antiqua"/>
          <w:lang w:val="es-ES_tradnl"/>
        </w:rPr>
      </w:pPr>
      <w:r w:rsidRPr="00F73338">
        <w:rPr>
          <w:rFonts w:ascii="Book Antiqua" w:hAnsi="Book Antiqua"/>
          <w:lang w:val="es-ES_tradnl"/>
        </w:rPr>
        <w:t xml:space="preserve">Para </w:t>
      </w:r>
      <w:r w:rsidR="00750E3E" w:rsidRPr="00750E3E">
        <w:rPr>
          <w:rFonts w:ascii="Book Antiqua" w:hAnsi="Book Antiqua"/>
          <w:lang w:val="es-ES_tradnl"/>
        </w:rPr>
        <w:t>exigir un cese al fuego inmediato, el levantamiento del bloqueo impuesto por las fuerzas militares israelíes y la preservación de los derechos humanos en Gaza.</w:t>
      </w:r>
      <w:r w:rsidR="00F17F4E" w:rsidRPr="00F73338">
        <w:rPr>
          <w:rFonts w:ascii="Book Antiqua" w:hAnsi="Book Antiqua"/>
          <w:lang w:val="es-ES_tradnl"/>
        </w:rPr>
        <w:t xml:space="preserve"> </w:t>
      </w:r>
      <w:r w:rsidR="00E67104" w:rsidRPr="00F73338">
        <w:rPr>
          <w:rFonts w:ascii="Book Antiqua" w:hAnsi="Book Antiqua"/>
          <w:lang w:val="es-ES_tradnl"/>
        </w:rPr>
        <w:t xml:space="preserve"> </w:t>
      </w:r>
    </w:p>
    <w:p w14:paraId="7309ED66" w14:textId="77777777" w:rsidR="00ED1E2F" w:rsidRPr="00F73338" w:rsidRDefault="00ED1E2F" w:rsidP="001E0D88">
      <w:pPr>
        <w:ind w:left="360" w:hanging="360"/>
        <w:jc w:val="both"/>
        <w:rPr>
          <w:rFonts w:ascii="Book Antiqua" w:hAnsi="Book Antiqua"/>
          <w:lang w:val="es-ES_tradnl"/>
        </w:rPr>
      </w:pPr>
    </w:p>
    <w:p w14:paraId="013310DC" w14:textId="68895503" w:rsidR="007223FC" w:rsidRPr="00F73338" w:rsidRDefault="007223FC" w:rsidP="00C779B6">
      <w:pPr>
        <w:jc w:val="center"/>
        <w:rPr>
          <w:rFonts w:ascii="Book Antiqua" w:hAnsi="Book Antiqua"/>
          <w:lang w:val="es-ES_tradnl"/>
        </w:rPr>
      </w:pPr>
      <w:r w:rsidRPr="00F73338">
        <w:rPr>
          <w:rFonts w:ascii="Book Antiqua" w:hAnsi="Book Antiqua"/>
          <w:lang w:val="es-ES_tradnl"/>
        </w:rPr>
        <w:t>EXPOSICIÓN DE MOTIVOS</w:t>
      </w:r>
    </w:p>
    <w:p w14:paraId="778F39FD" w14:textId="77777777" w:rsidR="00ED1E2F" w:rsidRPr="00F73338" w:rsidRDefault="00ED1E2F" w:rsidP="001E0D88">
      <w:pPr>
        <w:ind w:firstLine="360"/>
        <w:jc w:val="center"/>
        <w:rPr>
          <w:rFonts w:ascii="Book Antiqua" w:hAnsi="Book Antiqua"/>
          <w:lang w:val="es-ES_tradnl"/>
        </w:rPr>
      </w:pPr>
    </w:p>
    <w:p w14:paraId="77DAE171" w14:textId="77777777" w:rsidR="00601034" w:rsidRPr="00601034" w:rsidRDefault="00601034" w:rsidP="00601034">
      <w:pPr>
        <w:ind w:firstLine="360"/>
        <w:jc w:val="both"/>
        <w:rPr>
          <w:rFonts w:ascii="Book Antiqua" w:hAnsi="Book Antiqua"/>
          <w:lang w:val="es-419"/>
        </w:rPr>
      </w:pPr>
      <w:r w:rsidRPr="00601034">
        <w:rPr>
          <w:rFonts w:ascii="Book Antiqua" w:hAnsi="Book Antiqua"/>
          <w:lang w:val="es-419"/>
        </w:rPr>
        <w:t>Los visuales han recorrido el mundo. En segundos, edificios enteros –entre ellos, hospitales– han quedado destruidos. Se trata de la transmisión de la muerte en vivo. En términos proporcionales, cuando se ajustan las estadísticas a la duración de la guerra, es evidente que, en Gaza, nos encontramos ante uno de los ataques continuos más sangrientos para la niñez, los periodistas, el personal salubrista y los funcionarios de la Organización de Naciones Unidas (ONU) en la era posmoderna. El bombardeo indiscriminado de objetivos civiles ha volcado a la comunidad internacional a favor de exigir un cese inmediato de la violencia perpetrada por las fuerzas militares israelíes.</w:t>
      </w:r>
    </w:p>
    <w:p w14:paraId="11F08EC4" w14:textId="77777777" w:rsidR="00BD097D" w:rsidRDefault="00BD097D" w:rsidP="00601034">
      <w:pPr>
        <w:ind w:firstLine="360"/>
        <w:jc w:val="both"/>
        <w:rPr>
          <w:rFonts w:ascii="Book Antiqua" w:hAnsi="Book Antiqua"/>
          <w:lang w:val="es-419"/>
        </w:rPr>
      </w:pPr>
    </w:p>
    <w:p w14:paraId="2307A79C" w14:textId="1EE9FF36" w:rsidR="00601034" w:rsidRPr="00601034" w:rsidRDefault="00601034" w:rsidP="00601034">
      <w:pPr>
        <w:ind w:firstLine="360"/>
        <w:jc w:val="both"/>
        <w:rPr>
          <w:rFonts w:ascii="Book Antiqua" w:hAnsi="Book Antiqua"/>
          <w:lang w:val="es-419"/>
        </w:rPr>
      </w:pPr>
      <w:r w:rsidRPr="00601034">
        <w:rPr>
          <w:rFonts w:ascii="Book Antiqua" w:hAnsi="Book Antiqua"/>
          <w:lang w:val="es-419"/>
        </w:rPr>
        <w:t>A finales del mes de febrero de 2024, la cantidad de personas matadas en Gaza alcanzaba las 30,035. Más del 70% de los muertos reportados eran mujeres y niños. Esta última cifra oficial divulgada por el Ministerio de Salud de Gaza fue validada por la Oficina Regional de Emergencias de la Organización Mundial de la Salud. Desde entonces, la cantidad de muertos ha continuado aumentando. A la altura del 27 de mayo de 2025, la cantidad de personas matadas en Gaza ascendió a casi 56,000 locales;</w:t>
      </w:r>
      <w:r w:rsidRPr="00601034">
        <w:rPr>
          <w:rFonts w:ascii="Book Antiqua" w:hAnsi="Book Antiqua"/>
          <w:vertAlign w:val="superscript"/>
          <w:lang w:val="es-419"/>
        </w:rPr>
        <w:footnoteReference w:id="1"/>
      </w:r>
      <w:r w:rsidRPr="00601034">
        <w:rPr>
          <w:rFonts w:ascii="Book Antiqua" w:hAnsi="Book Antiqua"/>
          <w:lang w:val="es-419"/>
        </w:rPr>
        <w:t xml:space="preserve"> además </w:t>
      </w:r>
      <w:r w:rsidRPr="00601034">
        <w:rPr>
          <w:rFonts w:ascii="Book Antiqua" w:hAnsi="Book Antiqua"/>
          <w:lang w:val="es-419"/>
        </w:rPr>
        <w:lastRenderedPageBreak/>
        <w:t>de 180 periodistas,</w:t>
      </w:r>
      <w:r w:rsidRPr="00601034">
        <w:rPr>
          <w:rFonts w:ascii="Book Antiqua" w:hAnsi="Book Antiqua"/>
          <w:vertAlign w:val="superscript"/>
          <w:lang w:val="es-419"/>
        </w:rPr>
        <w:footnoteReference w:id="2"/>
      </w:r>
      <w:r w:rsidRPr="00601034">
        <w:rPr>
          <w:rFonts w:ascii="Book Antiqua" w:hAnsi="Book Antiqua"/>
          <w:lang w:val="es-419"/>
        </w:rPr>
        <w:t xml:space="preserve">  120 académicos</w:t>
      </w:r>
      <w:r w:rsidRPr="00601034">
        <w:rPr>
          <w:rFonts w:ascii="Book Antiqua" w:hAnsi="Book Antiqua"/>
          <w:vertAlign w:val="superscript"/>
          <w:lang w:val="es-419"/>
        </w:rPr>
        <w:footnoteReference w:id="3"/>
      </w:r>
      <w:r w:rsidRPr="00601034">
        <w:rPr>
          <w:rFonts w:ascii="Book Antiqua" w:hAnsi="Book Antiqua"/>
          <w:lang w:val="es-419"/>
        </w:rPr>
        <w:t xml:space="preserve"> y 224 trabajadores de ayuda humanitaria.</w:t>
      </w:r>
      <w:r w:rsidRPr="00601034">
        <w:rPr>
          <w:rFonts w:ascii="Book Antiqua" w:hAnsi="Book Antiqua"/>
          <w:vertAlign w:val="superscript"/>
          <w:lang w:val="es-419"/>
        </w:rPr>
        <w:footnoteReference w:id="4"/>
      </w:r>
      <w:r w:rsidRPr="00601034">
        <w:rPr>
          <w:rFonts w:ascii="Book Antiqua" w:hAnsi="Book Antiqua"/>
          <w:lang w:val="es-419"/>
        </w:rPr>
        <w:t xml:space="preserve"> El 80% de las personas muertas son civiles; y nuevamente, el 70% del total de muertes corresponde a mujeres y niños matados en edificios y zonas residenciales.</w:t>
      </w:r>
      <w:r w:rsidRPr="00601034">
        <w:rPr>
          <w:rFonts w:ascii="Book Antiqua" w:hAnsi="Book Antiqua"/>
          <w:vertAlign w:val="superscript"/>
          <w:lang w:val="es-419"/>
        </w:rPr>
        <w:footnoteReference w:id="5"/>
      </w:r>
      <w:r w:rsidRPr="00601034">
        <w:rPr>
          <w:rFonts w:ascii="Book Antiqua" w:hAnsi="Book Antiqua"/>
          <w:lang w:val="es-419"/>
        </w:rPr>
        <w:t xml:space="preserve"> La cifra de víctimas aumenta a cerca de 80,000 cuando se consideran las muertes indirectas generadas como resultado de las condiciones impuestas a la población </w:t>
      </w:r>
      <w:proofErr w:type="spellStart"/>
      <w:r w:rsidRPr="00601034">
        <w:rPr>
          <w:rFonts w:ascii="Book Antiqua" w:hAnsi="Book Antiqua"/>
          <w:lang w:val="es-419"/>
        </w:rPr>
        <w:t>gazatí</w:t>
      </w:r>
      <w:proofErr w:type="spellEnd"/>
      <w:r w:rsidRPr="00601034">
        <w:rPr>
          <w:rFonts w:ascii="Book Antiqua" w:hAnsi="Book Antiqua"/>
          <w:lang w:val="es-419"/>
        </w:rPr>
        <w:t>. Se destacan la interrupción de los servicios médicos y la destrucción de centros de salud, el resquebrajamiento de la cadena de producción y distribución de alimentos, la contaminación de las fuentes de agua y la destrucción de acueductos y sistemas de potabilización de aguas.</w:t>
      </w:r>
      <w:r w:rsidRPr="00601034">
        <w:rPr>
          <w:rFonts w:ascii="Book Antiqua" w:hAnsi="Book Antiqua"/>
          <w:vertAlign w:val="superscript"/>
          <w:lang w:val="es-419"/>
        </w:rPr>
        <w:footnoteReference w:id="6"/>
      </w:r>
      <w:r w:rsidRPr="00601034">
        <w:rPr>
          <w:rFonts w:ascii="Book Antiqua" w:hAnsi="Book Antiqua"/>
          <w:lang w:val="es-419"/>
        </w:rPr>
        <w:t xml:space="preserve"> A su vez, se ha corroborado la muerte de al menos 806 palestinos en el territorio ocupado de Cisjordania a raíz de la intensificación de la intervención israelí.</w:t>
      </w:r>
      <w:r w:rsidRPr="00601034">
        <w:rPr>
          <w:rFonts w:ascii="Book Antiqua" w:hAnsi="Book Antiqua"/>
          <w:vertAlign w:val="superscript"/>
          <w:lang w:val="es-419"/>
        </w:rPr>
        <w:footnoteReference w:id="7"/>
      </w:r>
    </w:p>
    <w:p w14:paraId="58B70E0C" w14:textId="77777777" w:rsidR="00BD097D" w:rsidRDefault="00BD097D" w:rsidP="00601034">
      <w:pPr>
        <w:ind w:firstLine="360"/>
        <w:jc w:val="both"/>
        <w:rPr>
          <w:rFonts w:ascii="Book Antiqua" w:hAnsi="Book Antiqua"/>
          <w:lang w:val="es-419"/>
        </w:rPr>
      </w:pPr>
    </w:p>
    <w:p w14:paraId="77B5D360" w14:textId="54A1A801" w:rsidR="00601034" w:rsidRPr="00601034" w:rsidRDefault="00601034" w:rsidP="00601034">
      <w:pPr>
        <w:ind w:firstLine="360"/>
        <w:jc w:val="both"/>
        <w:rPr>
          <w:rFonts w:ascii="Book Antiqua" w:hAnsi="Book Antiqua"/>
          <w:lang w:val="es-419"/>
        </w:rPr>
      </w:pPr>
      <w:r w:rsidRPr="00601034">
        <w:rPr>
          <w:rFonts w:ascii="Book Antiqua" w:hAnsi="Book Antiqua"/>
          <w:lang w:val="es-419"/>
        </w:rPr>
        <w:t xml:space="preserve">Tan repudiable es la violencia directa que hemos presenciado como la indirecta. El bloqueo inmisericorde e intransigente que han impuesto las fuerzas militares israelíes sobre Gaza hasta hoy también es responsable de la muerte y sufrimiento que experimenta la población palestina. Las declaraciones del ministro de defensa del gobierno israelí, </w:t>
      </w:r>
      <w:proofErr w:type="spellStart"/>
      <w:r w:rsidRPr="00601034">
        <w:rPr>
          <w:rFonts w:ascii="Book Antiqua" w:hAnsi="Book Antiqua"/>
          <w:lang w:val="es-419"/>
        </w:rPr>
        <w:t>Yoav</w:t>
      </w:r>
      <w:proofErr w:type="spellEnd"/>
      <w:r w:rsidRPr="00601034">
        <w:rPr>
          <w:rFonts w:ascii="Book Antiqua" w:hAnsi="Book Antiqua"/>
          <w:lang w:val="es-419"/>
        </w:rPr>
        <w:t xml:space="preserve"> </w:t>
      </w:r>
      <w:proofErr w:type="spellStart"/>
      <w:r w:rsidRPr="00601034">
        <w:rPr>
          <w:rFonts w:ascii="Book Antiqua" w:hAnsi="Book Antiqua"/>
          <w:lang w:val="es-419"/>
        </w:rPr>
        <w:t>Gallant</w:t>
      </w:r>
      <w:proofErr w:type="spellEnd"/>
      <w:r w:rsidRPr="00601034">
        <w:rPr>
          <w:rFonts w:ascii="Book Antiqua" w:hAnsi="Book Antiqua"/>
          <w:lang w:val="es-419"/>
        </w:rPr>
        <w:t xml:space="preserve">, quien afirmó: “Colocaremos a Gaza en un estado de sitio total; sin electricidad, sin comida, sin agua, sin gas. Será una clausura absoluta…”, implica el diseño de una estrategia de castigo colectivo sobre la población civil que constituye una violación crasa del derecho internacional. De hecho, tan violento ha sido el asedio impuesto sobre la región que, el 20 de febrero de 2024, el Programa Mundial de Alimentos de la ONU tuvo que cesar la entrega de víveres al norte de Gaza para proteger la vida de sus funcionarios. Desde entonces, la política militar establecida para restringir el suministro de comida ha exacerbado el hambre y ha colocado a un cuarto de la población palestina (de un total de 2.3 millones) en riesgo inmediato de desnutrición, inanición y muerte, principalmente a la niñez. Hoy por hoy, señala la UNICEF, Gaza tiene la proporción más elevada en el planeta de niñas y andarines privados de alimentos. Ésta es una situación que la organización cataloga como “pobreza alimentaria severa”. </w:t>
      </w:r>
    </w:p>
    <w:p w14:paraId="157B0390" w14:textId="77777777" w:rsidR="00601034" w:rsidRPr="00601034" w:rsidRDefault="00601034" w:rsidP="00601034">
      <w:pPr>
        <w:ind w:firstLine="360"/>
        <w:jc w:val="both"/>
        <w:rPr>
          <w:rFonts w:ascii="Book Antiqua" w:hAnsi="Book Antiqua"/>
          <w:lang w:val="es-419"/>
        </w:rPr>
      </w:pPr>
      <w:r w:rsidRPr="00601034">
        <w:rPr>
          <w:rFonts w:ascii="Book Antiqua" w:hAnsi="Book Antiqua"/>
          <w:lang w:val="es-419"/>
        </w:rPr>
        <w:lastRenderedPageBreak/>
        <w:t xml:space="preserve">A su vez, el bloqueo ha impuesto (como suele ocurrir en los escenarios de guerra) condiciones insalubres sobre la población. Los problemas de higiene, en combinación con las limitaciones al desplazamiento y la falta de servicios médicos, amenazan igualmente la vida de la niñez. La UNICEF reseña que, al presente, cerca del 90% de </w:t>
      </w:r>
      <w:proofErr w:type="gramStart"/>
      <w:r w:rsidRPr="00601034">
        <w:rPr>
          <w:rFonts w:ascii="Book Antiqua" w:hAnsi="Book Antiqua"/>
          <w:lang w:val="es-419"/>
        </w:rPr>
        <w:t>los niños y niñas</w:t>
      </w:r>
      <w:proofErr w:type="gramEnd"/>
      <w:r w:rsidRPr="00601034">
        <w:rPr>
          <w:rFonts w:ascii="Book Antiqua" w:hAnsi="Book Antiqua"/>
          <w:lang w:val="es-419"/>
        </w:rPr>
        <w:t xml:space="preserve"> se encuentran afectadas por enfermedades infecciosas y el 70% se encuentra en riesgo de deshidratación.</w:t>
      </w:r>
    </w:p>
    <w:p w14:paraId="5AD8A52C" w14:textId="77777777" w:rsidR="00BD097D" w:rsidRDefault="00BD097D" w:rsidP="00601034">
      <w:pPr>
        <w:ind w:firstLine="360"/>
        <w:jc w:val="both"/>
        <w:rPr>
          <w:rFonts w:ascii="Book Antiqua" w:hAnsi="Book Antiqua"/>
          <w:lang w:val="es-419"/>
        </w:rPr>
      </w:pPr>
    </w:p>
    <w:p w14:paraId="2B445E31" w14:textId="01A2BA7B" w:rsidR="00601034" w:rsidRPr="00601034" w:rsidRDefault="00601034" w:rsidP="00601034">
      <w:pPr>
        <w:ind w:firstLine="360"/>
        <w:jc w:val="both"/>
        <w:rPr>
          <w:rFonts w:ascii="Book Antiqua" w:hAnsi="Book Antiqua"/>
          <w:lang w:val="es-419"/>
        </w:rPr>
      </w:pPr>
      <w:r w:rsidRPr="00601034">
        <w:rPr>
          <w:rFonts w:ascii="Book Antiqua" w:hAnsi="Book Antiqua"/>
          <w:lang w:val="es-419"/>
        </w:rPr>
        <w:t>Como quien echa sal a la herida, en mayo de 2025 el gobierno de Israel divulgó un nuevo plan para reglamentar la provisión de ayuda humanitaria en Gaza, cuyo efecto, denuncian la ONU y otras organizaciones humanitarias, es la utilización de la distribución de alimentos con propósitos militares y políticos. Tras centralizar el traslado y provisión de víveres, Israel tendrá el poder de determinar quién recibe ayuda y de obligar a la población a trasladarse a donde ésta se esté distribuyendo, vaciando grandes partes del territorio palestino, lo cual viola el derecho internacional contra el desplazamiento forzoso de pueblos y comunidades.</w:t>
      </w:r>
      <w:r w:rsidRPr="00601034">
        <w:rPr>
          <w:rFonts w:ascii="Book Antiqua" w:hAnsi="Book Antiqua"/>
          <w:vertAlign w:val="superscript"/>
          <w:lang w:val="es-419"/>
        </w:rPr>
        <w:footnoteReference w:id="8"/>
      </w:r>
      <w:r w:rsidRPr="00601034">
        <w:rPr>
          <w:rFonts w:ascii="Book Antiqua" w:hAnsi="Book Antiqua"/>
          <w:lang w:val="es-419"/>
        </w:rPr>
        <w:t xml:space="preserve"> El primer ministro israelí, Benjamín Netanyahu, aseveró que bajo el nuevo mecanismo de “ayuda”, la población de Gaza eventualmente sería trasladada a una “zona estéril” en el extremo sur de la franja. Los palestinos que ingresen al área no necesariamente regresarán, concluyó el mandatario.</w:t>
      </w:r>
      <w:r w:rsidRPr="00601034">
        <w:rPr>
          <w:rFonts w:ascii="Book Antiqua" w:hAnsi="Book Antiqua"/>
          <w:vertAlign w:val="superscript"/>
          <w:lang w:val="es-419"/>
        </w:rPr>
        <w:footnoteReference w:id="9"/>
      </w:r>
      <w:r w:rsidRPr="00601034">
        <w:rPr>
          <w:rFonts w:ascii="Book Antiqua" w:hAnsi="Book Antiqua"/>
          <w:lang w:val="es-419"/>
        </w:rPr>
        <w:t xml:space="preserve"> Puesta en vigor, la propuesta permitirá que a la población se le distribuyan provisiones cuyo contenido calórico se encuentra por debajo de los estándares internacionales. Se planifica la distribución de productos equivalentes a 1,750 calorías por persona al día, cuando la Organización Mundial de la Salud, la UNICEF y el Programa Mundial de Alimentos requieren 2,100 calorías por día para cada persona en situación de emergencia.</w:t>
      </w:r>
    </w:p>
    <w:p w14:paraId="37909766" w14:textId="77777777" w:rsidR="00BD097D" w:rsidRDefault="00BD097D" w:rsidP="00601034">
      <w:pPr>
        <w:ind w:firstLine="360"/>
        <w:jc w:val="both"/>
        <w:rPr>
          <w:rFonts w:ascii="Book Antiqua" w:hAnsi="Book Antiqua"/>
          <w:lang w:val="es-419"/>
        </w:rPr>
      </w:pPr>
    </w:p>
    <w:p w14:paraId="78DE3E16" w14:textId="4445746F" w:rsidR="00601034" w:rsidRPr="00601034" w:rsidRDefault="00601034" w:rsidP="00601034">
      <w:pPr>
        <w:ind w:firstLine="360"/>
        <w:jc w:val="both"/>
        <w:rPr>
          <w:rFonts w:ascii="Book Antiqua" w:hAnsi="Book Antiqua"/>
          <w:lang w:val="es-ES"/>
        </w:rPr>
      </w:pPr>
      <w:r w:rsidRPr="00601034">
        <w:rPr>
          <w:rFonts w:ascii="Book Antiqua" w:hAnsi="Book Antiqua"/>
          <w:lang w:val="es-419"/>
        </w:rPr>
        <w:t xml:space="preserve">Los centros de distribución establecidos no constituyen espacios seguros ni respetados por las fuerzas militares. Durante la primera semana de junio de 2025, </w:t>
      </w:r>
      <w:r w:rsidRPr="00601034">
        <w:rPr>
          <w:rFonts w:ascii="Book Antiqua" w:hAnsi="Book Antiqua"/>
          <w:lang w:val="es-ES"/>
        </w:rPr>
        <w:t>el ejército israelí abrió fuego contra la población civil palestina cerca de un punto de distribución de alimentos en el sur de Gaza.</w:t>
      </w:r>
      <w:r w:rsidRPr="00601034">
        <w:rPr>
          <w:rFonts w:ascii="Book Antiqua" w:hAnsi="Book Antiqua"/>
          <w:lang w:val="es-419"/>
        </w:rPr>
        <w:t xml:space="preserve"> A</w:t>
      </w:r>
      <w:r w:rsidRPr="00601034">
        <w:rPr>
          <w:rFonts w:ascii="Book Antiqua" w:hAnsi="Book Antiqua"/>
          <w:lang w:val="es-ES"/>
        </w:rPr>
        <w:t xml:space="preserve">l menos 27 personas murieron y más de 160 resultaron heridas mientras esperaban ayuda en un punto designado por las autoridades de Israel y administrado por la Fundación Humanitaria de Gaza (GHF) en la rotonda de Al-Alam, en la ciudad de </w:t>
      </w:r>
      <w:proofErr w:type="spellStart"/>
      <w:r w:rsidRPr="00601034">
        <w:rPr>
          <w:rFonts w:ascii="Book Antiqua" w:hAnsi="Book Antiqua"/>
          <w:lang w:val="es-ES"/>
        </w:rPr>
        <w:t>Rafah</w:t>
      </w:r>
      <w:proofErr w:type="spellEnd"/>
      <w:r w:rsidRPr="00601034">
        <w:rPr>
          <w:rFonts w:ascii="Book Antiqua" w:hAnsi="Book Antiqua"/>
          <w:lang w:val="es-ES"/>
        </w:rPr>
        <w:t>. Ésta es la tercera vez en tres días que mueren palestinos civiles en la zona.</w:t>
      </w:r>
      <w:r w:rsidRPr="00601034">
        <w:rPr>
          <w:rFonts w:ascii="Book Antiqua" w:hAnsi="Book Antiqua"/>
          <w:vertAlign w:val="superscript"/>
          <w:lang w:val="es-ES"/>
        </w:rPr>
        <w:footnoteReference w:id="10"/>
      </w:r>
    </w:p>
    <w:p w14:paraId="27C8EAA5" w14:textId="77777777" w:rsidR="00BD097D" w:rsidRDefault="00BD097D" w:rsidP="00601034">
      <w:pPr>
        <w:ind w:firstLine="360"/>
        <w:jc w:val="both"/>
        <w:rPr>
          <w:rFonts w:ascii="Book Antiqua" w:hAnsi="Book Antiqua"/>
          <w:lang w:val="es-419"/>
        </w:rPr>
      </w:pPr>
    </w:p>
    <w:p w14:paraId="053AC102" w14:textId="05880331" w:rsidR="00D23274" w:rsidRPr="00F73338" w:rsidRDefault="00601034" w:rsidP="00601034">
      <w:pPr>
        <w:ind w:firstLine="360"/>
        <w:jc w:val="both"/>
        <w:rPr>
          <w:rFonts w:ascii="Book Antiqua" w:hAnsi="Book Antiqua"/>
          <w:lang w:val="es-PR"/>
        </w:rPr>
      </w:pPr>
      <w:r w:rsidRPr="00601034">
        <w:rPr>
          <w:rFonts w:ascii="Book Antiqua" w:hAnsi="Book Antiqua"/>
          <w:lang w:val="es-419"/>
        </w:rPr>
        <w:t xml:space="preserve">Todo lo reseñado en esta Resolución apunta a que la comunidad internacional observa la comisión de crímenes de guerra sistemáticos que deben categorizarse como genocidio </w:t>
      </w:r>
      <w:r w:rsidRPr="00601034">
        <w:rPr>
          <w:rFonts w:ascii="Book Antiqua" w:hAnsi="Book Antiqua"/>
          <w:lang w:val="es-419"/>
        </w:rPr>
        <w:lastRenderedPageBreak/>
        <w:t xml:space="preserve">o, cuanto menos, un continuo crimen de lesa humanidad. </w:t>
      </w:r>
      <w:r w:rsidR="00BD097D">
        <w:rPr>
          <w:rFonts w:ascii="Book Antiqua" w:hAnsi="Book Antiqua"/>
          <w:lang w:val="es-419"/>
        </w:rPr>
        <w:t xml:space="preserve">La Cámara de Representantes </w:t>
      </w:r>
      <w:r w:rsidRPr="00601034">
        <w:rPr>
          <w:rFonts w:ascii="Book Antiqua" w:hAnsi="Book Antiqua"/>
          <w:lang w:val="es-419"/>
        </w:rPr>
        <w:t>de Puerto Rico no debe permanecer silente ni indiferente ante la situación de sufrimiento, insalubridad, acoso, enfermedad y muerte que experimenta la población civil en Gaza. Puerto Rico es un pueblo solidario y amante de la paz que, aun en condiciones que limitan severamente su participación internacional, tiene que repudiar la violencia efectuada sobre cualquier pueblo, principalmente sobre la niñez, en cualquier rincón del planeta. Exigimos, de inmediato, un cese al fuego en Gaza, el levantamiento del bloqueo y la preservación de los derechos humanos en la región. Así se hace constar en esta Resolución.</w:t>
      </w:r>
    </w:p>
    <w:p w14:paraId="49F49AD7" w14:textId="77777777" w:rsidR="008629FB" w:rsidRPr="00F73338"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sidRPr="00F73338">
        <w:rPr>
          <w:rFonts w:ascii="Book Antiqua" w:hAnsi="Book Antiqua"/>
          <w:i/>
          <w:lang w:val="es-ES_tradnl"/>
        </w:rPr>
        <w:t>RESUÉLVESE POR LA CÁMARA DE REPRESENTANTES DE PUERTO</w:t>
      </w:r>
      <w:r>
        <w:rPr>
          <w:rFonts w:ascii="Book Antiqua" w:hAnsi="Book Antiqua"/>
          <w:i/>
          <w:lang w:val="es-ES_tradnl"/>
        </w:rPr>
        <w:t xml:space="preserve">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3354F7B7" w14:textId="77777777" w:rsidR="00601034" w:rsidRPr="00320D64" w:rsidRDefault="00601034" w:rsidP="00601034">
      <w:pPr>
        <w:spacing w:line="480" w:lineRule="auto"/>
        <w:ind w:firstLine="360"/>
        <w:jc w:val="both"/>
        <w:rPr>
          <w:rFonts w:ascii="Book Antiqua" w:hAnsi="Book Antiqua"/>
          <w:szCs w:val="24"/>
          <w:lang w:val="es-419"/>
        </w:rPr>
      </w:pPr>
      <w:r w:rsidRPr="00320D64">
        <w:rPr>
          <w:rFonts w:ascii="Book Antiqua" w:hAnsi="Book Antiqua"/>
          <w:szCs w:val="24"/>
          <w:lang w:val="es-419"/>
        </w:rPr>
        <w:t xml:space="preserve">Sección 1.- </w:t>
      </w:r>
      <w:r w:rsidRPr="00320D64">
        <w:rPr>
          <w:rFonts w:ascii="Book Antiqua" w:hAnsi="Book Antiqua"/>
          <w:color w:val="1E1E1E"/>
          <w:szCs w:val="24"/>
          <w:shd w:val="clear" w:color="auto" w:fill="FFFFFF"/>
          <w:lang w:val="es-419"/>
        </w:rPr>
        <w:t>Exigir un cese al fuego inmediato, el levantamiento del bloqueo impuesto por las fuerzas militares israelíes y la preservación de los derechos humanos en Gaza</w:t>
      </w:r>
      <w:r w:rsidRPr="00320D64">
        <w:rPr>
          <w:rFonts w:ascii="Book Antiqua" w:hAnsi="Book Antiqua"/>
          <w:szCs w:val="24"/>
          <w:lang w:val="es-419"/>
        </w:rPr>
        <w:t>.</w:t>
      </w:r>
    </w:p>
    <w:p w14:paraId="6A8E3044" w14:textId="5DB005AA" w:rsidR="00890C1A" w:rsidRPr="00ED1E2F" w:rsidRDefault="00601034" w:rsidP="00601034">
      <w:pPr>
        <w:spacing w:line="480" w:lineRule="auto"/>
        <w:ind w:firstLine="720"/>
        <w:jc w:val="both"/>
        <w:rPr>
          <w:rFonts w:ascii="Book Antiqua" w:hAnsi="Book Antiqua"/>
          <w:lang w:val="es-ES_tradnl"/>
        </w:rPr>
      </w:pPr>
      <w:r w:rsidRPr="00320D64">
        <w:rPr>
          <w:rFonts w:ascii="Book Antiqua" w:hAnsi="Book Antiqua"/>
          <w:szCs w:val="24"/>
          <w:lang w:val="es-419"/>
        </w:rPr>
        <w:t xml:space="preserve">Sección 2.- </w:t>
      </w:r>
      <w:r w:rsidRPr="00320D64">
        <w:rPr>
          <w:rFonts w:ascii="Book Antiqua" w:hAnsi="Book Antiqua"/>
          <w:lang w:val="es-419"/>
        </w:rPr>
        <w:t>Esta Resolución comenzará a regir inmediatamente después de su aprobación.</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29714" w14:textId="77777777" w:rsidR="00701E82" w:rsidRDefault="00701E82">
      <w:r>
        <w:separator/>
      </w:r>
    </w:p>
  </w:endnote>
  <w:endnote w:type="continuationSeparator" w:id="0">
    <w:p w14:paraId="38A15955" w14:textId="77777777" w:rsidR="00701E82" w:rsidRDefault="00701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326E5" w14:textId="77777777" w:rsidR="00701E82" w:rsidRDefault="00701E82">
      <w:r>
        <w:separator/>
      </w:r>
    </w:p>
  </w:footnote>
  <w:footnote w:type="continuationSeparator" w:id="0">
    <w:p w14:paraId="16993944" w14:textId="77777777" w:rsidR="00701E82" w:rsidRDefault="00701E82">
      <w:r>
        <w:continuationSeparator/>
      </w:r>
    </w:p>
  </w:footnote>
  <w:footnote w:id="1">
    <w:p w14:paraId="16AC6400" w14:textId="77777777" w:rsidR="00601034" w:rsidRPr="00E77E40" w:rsidRDefault="00601034" w:rsidP="00601034">
      <w:pPr>
        <w:pStyle w:val="FootnoteText"/>
        <w:jc w:val="both"/>
        <w:rPr>
          <w:rFonts w:ascii="Book Antiqua" w:hAnsi="Book Antiqua"/>
          <w:b/>
          <w:bCs/>
          <w:sz w:val="18"/>
          <w:szCs w:val="18"/>
          <w:lang w:val="en-US"/>
        </w:rPr>
      </w:pPr>
      <w:r w:rsidRPr="00E77E40">
        <w:rPr>
          <w:rFonts w:ascii="Book Antiqua" w:hAnsi="Book Antiqua"/>
          <w:sz w:val="18"/>
          <w:szCs w:val="18"/>
          <w:lang w:val="en-US"/>
        </w:rPr>
        <w:t xml:space="preserve">  </w:t>
      </w:r>
      <w:r w:rsidRPr="00E77E40">
        <w:rPr>
          <w:rStyle w:val="FootnoteReference"/>
          <w:rFonts w:ascii="Book Antiqua" w:hAnsi="Book Antiqua"/>
          <w:sz w:val="18"/>
          <w:szCs w:val="18"/>
        </w:rPr>
        <w:footnoteRef/>
      </w:r>
      <w:r w:rsidRPr="00E77E40">
        <w:rPr>
          <w:rFonts w:ascii="Book Antiqua" w:hAnsi="Book Antiqua"/>
          <w:sz w:val="18"/>
          <w:szCs w:val="18"/>
          <w:lang w:val="en-US"/>
        </w:rPr>
        <w:t xml:space="preserve"> United Nations Office for the Coordination of Humanitarian affairs, </w:t>
      </w:r>
      <w:r w:rsidRPr="00E77E40">
        <w:rPr>
          <w:rFonts w:ascii="Book Antiqua" w:hAnsi="Book Antiqua"/>
          <w:i/>
          <w:iCs/>
          <w:sz w:val="18"/>
          <w:szCs w:val="18"/>
          <w:lang w:val="en-US"/>
        </w:rPr>
        <w:t>Reported impact snapshot | Gaza Strip (21 May 2025)</w:t>
      </w:r>
      <w:r w:rsidRPr="00E77E40">
        <w:rPr>
          <w:rFonts w:ascii="Book Antiqua" w:hAnsi="Book Antiqua"/>
          <w:sz w:val="18"/>
          <w:szCs w:val="18"/>
          <w:lang w:val="en-US"/>
        </w:rPr>
        <w:t xml:space="preserve">: </w:t>
      </w:r>
      <w:hyperlink r:id="rId1" w:history="1">
        <w:r w:rsidRPr="00E77E40">
          <w:rPr>
            <w:rStyle w:val="Hyperlink"/>
            <w:rFonts w:ascii="Book Antiqua" w:hAnsi="Book Antiqua"/>
            <w:sz w:val="18"/>
            <w:szCs w:val="18"/>
            <w:lang w:val="en-US"/>
          </w:rPr>
          <w:t>https://www.ochaopt.org/content/reported-impact-snapshot-gaza-strip-21-may-2025</w:t>
        </w:r>
      </w:hyperlink>
      <w:r w:rsidRPr="00E77E40">
        <w:rPr>
          <w:rFonts w:ascii="Book Antiqua" w:hAnsi="Book Antiqua"/>
          <w:sz w:val="18"/>
          <w:szCs w:val="18"/>
          <w:lang w:val="en-US"/>
        </w:rPr>
        <w:t xml:space="preserve">. </w:t>
      </w:r>
    </w:p>
  </w:footnote>
  <w:footnote w:id="2">
    <w:p w14:paraId="6E851C87" w14:textId="77777777" w:rsidR="00601034" w:rsidRPr="00E77E40" w:rsidRDefault="00601034" w:rsidP="00601034">
      <w:pPr>
        <w:pStyle w:val="FootnoteText"/>
        <w:jc w:val="both"/>
        <w:rPr>
          <w:rFonts w:ascii="Book Antiqua" w:hAnsi="Book Antiqua"/>
          <w:b/>
          <w:bCs/>
          <w:sz w:val="18"/>
          <w:szCs w:val="18"/>
          <w:lang w:val="en-US"/>
        </w:rPr>
      </w:pPr>
      <w:r w:rsidRPr="00E77E40">
        <w:rPr>
          <w:rFonts w:ascii="Book Antiqua" w:hAnsi="Book Antiqua"/>
          <w:sz w:val="18"/>
          <w:szCs w:val="18"/>
          <w:lang w:val="en-US"/>
        </w:rPr>
        <w:t xml:space="preserve">  </w:t>
      </w:r>
      <w:r w:rsidRPr="00E77E40">
        <w:rPr>
          <w:rStyle w:val="FootnoteReference"/>
          <w:rFonts w:ascii="Book Antiqua" w:hAnsi="Book Antiqua"/>
          <w:sz w:val="18"/>
          <w:szCs w:val="18"/>
        </w:rPr>
        <w:footnoteRef/>
      </w:r>
      <w:r w:rsidRPr="00E77E40">
        <w:rPr>
          <w:rFonts w:ascii="Book Antiqua" w:hAnsi="Book Antiqua"/>
          <w:sz w:val="18"/>
          <w:szCs w:val="18"/>
          <w:lang w:val="en-US"/>
        </w:rPr>
        <w:t xml:space="preserve"> Committee to Protect Journalists, </w:t>
      </w:r>
      <w:r w:rsidRPr="00E77E40">
        <w:rPr>
          <w:rFonts w:ascii="Book Antiqua" w:hAnsi="Book Antiqua"/>
          <w:i/>
          <w:iCs/>
          <w:sz w:val="18"/>
          <w:szCs w:val="18"/>
          <w:lang w:val="en-US"/>
        </w:rPr>
        <w:t>Journalist casualties in the Israel-Gaza war</w:t>
      </w:r>
      <w:r w:rsidRPr="00E77E40">
        <w:rPr>
          <w:rFonts w:ascii="Book Antiqua" w:hAnsi="Book Antiqua"/>
          <w:sz w:val="18"/>
          <w:szCs w:val="18"/>
          <w:lang w:val="en-US"/>
        </w:rPr>
        <w:t xml:space="preserve">: </w:t>
      </w:r>
      <w:hyperlink r:id="rId2" w:history="1">
        <w:r w:rsidRPr="00E77E40">
          <w:rPr>
            <w:rStyle w:val="Hyperlink"/>
            <w:rFonts w:ascii="Book Antiqua" w:hAnsi="Book Antiqua"/>
            <w:sz w:val="18"/>
            <w:szCs w:val="18"/>
            <w:lang w:val="en-US"/>
          </w:rPr>
          <w:t>https://cpj.org/2023/10/journalist-casualties-in-the-israel-gaza-conflict/</w:t>
        </w:r>
      </w:hyperlink>
      <w:r w:rsidRPr="00E77E40">
        <w:rPr>
          <w:rFonts w:ascii="Book Antiqua" w:hAnsi="Book Antiqua"/>
          <w:sz w:val="18"/>
          <w:szCs w:val="18"/>
          <w:lang w:val="en-US"/>
        </w:rPr>
        <w:t xml:space="preserve">. </w:t>
      </w:r>
    </w:p>
  </w:footnote>
  <w:footnote w:id="3">
    <w:p w14:paraId="03A46C28" w14:textId="77777777" w:rsidR="00601034" w:rsidRPr="00E77E40" w:rsidRDefault="00601034" w:rsidP="00601034">
      <w:pPr>
        <w:pStyle w:val="FootnoteText"/>
        <w:jc w:val="both"/>
        <w:rPr>
          <w:rFonts w:ascii="Book Antiqua" w:hAnsi="Book Antiqua"/>
          <w:sz w:val="18"/>
          <w:szCs w:val="18"/>
          <w:lang w:val="en-US"/>
        </w:rPr>
      </w:pPr>
      <w:r w:rsidRPr="00E77E40">
        <w:rPr>
          <w:rFonts w:ascii="Book Antiqua" w:hAnsi="Book Antiqua"/>
          <w:sz w:val="18"/>
          <w:szCs w:val="18"/>
          <w:lang w:val="en-US"/>
        </w:rPr>
        <w:t xml:space="preserve">  </w:t>
      </w:r>
      <w:r w:rsidRPr="00E77E40">
        <w:rPr>
          <w:rStyle w:val="FootnoteReference"/>
          <w:rFonts w:ascii="Book Antiqua" w:hAnsi="Book Antiqua"/>
          <w:sz w:val="18"/>
          <w:szCs w:val="18"/>
        </w:rPr>
        <w:footnoteRef/>
      </w:r>
      <w:r w:rsidRPr="00E77E40">
        <w:rPr>
          <w:rFonts w:ascii="Book Antiqua" w:hAnsi="Book Antiqua"/>
          <w:sz w:val="18"/>
          <w:szCs w:val="18"/>
          <w:lang w:val="en-US"/>
        </w:rPr>
        <w:t xml:space="preserve"> </w:t>
      </w:r>
      <w:hyperlink r:id="rId3" w:history="1">
        <w:r w:rsidRPr="00E77E40">
          <w:rPr>
            <w:rStyle w:val="Hyperlink"/>
            <w:rFonts w:ascii="Book Antiqua" w:hAnsi="Book Antiqua"/>
            <w:sz w:val="18"/>
            <w:szCs w:val="18"/>
            <w:lang w:val="en-US"/>
          </w:rPr>
          <w:t>Rachel Hall</w:t>
        </w:r>
      </w:hyperlink>
      <w:r w:rsidRPr="00E77E40">
        <w:rPr>
          <w:rFonts w:ascii="Book Antiqua" w:hAnsi="Book Antiqua"/>
          <w:sz w:val="18"/>
          <w:szCs w:val="18"/>
          <w:lang w:val="en-US"/>
        </w:rPr>
        <w:t xml:space="preserve">, </w:t>
      </w:r>
      <w:r w:rsidRPr="00E77E40">
        <w:rPr>
          <w:rFonts w:ascii="Book Antiqua" w:hAnsi="Book Antiqua"/>
          <w:i/>
          <w:iCs/>
          <w:sz w:val="18"/>
          <w:szCs w:val="18"/>
          <w:lang w:val="en-US"/>
        </w:rPr>
        <w:t>‘I am physically here, but mentally in Gaza,’ says lecturer now living in UK</w:t>
      </w:r>
      <w:r w:rsidRPr="00E77E40">
        <w:rPr>
          <w:rFonts w:ascii="Book Antiqua" w:hAnsi="Book Antiqua"/>
          <w:sz w:val="18"/>
          <w:szCs w:val="18"/>
          <w:lang w:val="en-US"/>
        </w:rPr>
        <w:t xml:space="preserve">, The Guardian: </w:t>
      </w:r>
      <w:hyperlink r:id="rId4" w:history="1">
        <w:r w:rsidRPr="00E77E40">
          <w:rPr>
            <w:rStyle w:val="Hyperlink"/>
            <w:rFonts w:ascii="Book Antiqua" w:hAnsi="Book Antiqua"/>
            <w:sz w:val="18"/>
            <w:szCs w:val="18"/>
            <w:lang w:val="en-US"/>
          </w:rPr>
          <w:t>https://www.theguardian.com/world/2024/oct/10/i-am-physically-here-but-mentally-in-gaza-says-lecturer-now-living-in-uk</w:t>
        </w:r>
      </w:hyperlink>
      <w:r w:rsidRPr="00E77E40">
        <w:rPr>
          <w:rFonts w:ascii="Book Antiqua" w:hAnsi="Book Antiqua"/>
          <w:sz w:val="18"/>
          <w:szCs w:val="18"/>
          <w:lang w:val="en-US"/>
        </w:rPr>
        <w:t xml:space="preserve">. </w:t>
      </w:r>
    </w:p>
  </w:footnote>
  <w:footnote w:id="4">
    <w:p w14:paraId="55D5F533" w14:textId="77777777" w:rsidR="00601034" w:rsidRPr="00E77E40" w:rsidRDefault="00601034" w:rsidP="00601034">
      <w:pPr>
        <w:pStyle w:val="FootnoteText"/>
        <w:jc w:val="both"/>
        <w:rPr>
          <w:rFonts w:ascii="Book Antiqua" w:hAnsi="Book Antiqua"/>
          <w:sz w:val="18"/>
          <w:szCs w:val="18"/>
          <w:lang w:val="en-US"/>
        </w:rPr>
      </w:pPr>
      <w:r w:rsidRPr="00E77E40">
        <w:rPr>
          <w:rFonts w:ascii="Book Antiqua" w:hAnsi="Book Antiqua"/>
          <w:sz w:val="18"/>
          <w:szCs w:val="18"/>
          <w:lang w:val="en-US"/>
        </w:rPr>
        <w:t xml:space="preserve">  </w:t>
      </w:r>
      <w:r w:rsidRPr="00E77E40">
        <w:rPr>
          <w:rStyle w:val="FootnoteReference"/>
          <w:rFonts w:ascii="Book Antiqua" w:hAnsi="Book Antiqua"/>
          <w:sz w:val="18"/>
          <w:szCs w:val="18"/>
        </w:rPr>
        <w:footnoteRef/>
      </w:r>
      <w:r w:rsidRPr="00E77E40">
        <w:rPr>
          <w:rFonts w:ascii="Book Antiqua" w:hAnsi="Book Antiqua"/>
          <w:sz w:val="18"/>
          <w:szCs w:val="18"/>
          <w:lang w:val="en-US"/>
        </w:rPr>
        <w:t xml:space="preserve"> Gabe </w:t>
      </w:r>
      <w:proofErr w:type="spellStart"/>
      <w:r w:rsidRPr="00E77E40">
        <w:rPr>
          <w:rFonts w:ascii="Book Antiqua" w:hAnsi="Book Antiqua"/>
          <w:sz w:val="18"/>
          <w:szCs w:val="18"/>
          <w:lang w:val="en-US"/>
        </w:rPr>
        <w:t>Joselow</w:t>
      </w:r>
      <w:proofErr w:type="spellEnd"/>
      <w:r w:rsidRPr="00E77E40">
        <w:rPr>
          <w:rFonts w:ascii="Book Antiqua" w:hAnsi="Book Antiqua"/>
          <w:sz w:val="18"/>
          <w:szCs w:val="18"/>
          <w:lang w:val="en-US"/>
        </w:rPr>
        <w:t xml:space="preserve"> and Aurora </w:t>
      </w:r>
      <w:proofErr w:type="spellStart"/>
      <w:r w:rsidRPr="00E77E40">
        <w:rPr>
          <w:rFonts w:ascii="Book Antiqua" w:hAnsi="Book Antiqua"/>
          <w:sz w:val="18"/>
          <w:szCs w:val="18"/>
          <w:lang w:val="en-US"/>
        </w:rPr>
        <w:t>Almendral</w:t>
      </w:r>
      <w:proofErr w:type="spellEnd"/>
      <w:r w:rsidRPr="00E77E40">
        <w:rPr>
          <w:rFonts w:ascii="Book Antiqua" w:hAnsi="Book Antiqua"/>
          <w:sz w:val="18"/>
          <w:szCs w:val="18"/>
          <w:lang w:val="en-US"/>
        </w:rPr>
        <w:t xml:space="preserve">, </w:t>
      </w:r>
      <w:r w:rsidRPr="00E77E40">
        <w:rPr>
          <w:rFonts w:ascii="Book Antiqua" w:hAnsi="Book Antiqua"/>
          <w:i/>
          <w:iCs/>
          <w:sz w:val="18"/>
          <w:szCs w:val="18"/>
          <w:lang w:val="en-US"/>
        </w:rPr>
        <w:t>The IDF is supposed to protect aid workers. Aid agencies say the Israeli military has been attacking them for months</w:t>
      </w:r>
      <w:r w:rsidRPr="00E77E40">
        <w:rPr>
          <w:rFonts w:ascii="Book Antiqua" w:hAnsi="Book Antiqua"/>
          <w:sz w:val="18"/>
          <w:szCs w:val="18"/>
          <w:lang w:val="en-US"/>
        </w:rPr>
        <w:t xml:space="preserve">, NBC News: </w:t>
      </w:r>
      <w:hyperlink r:id="rId5" w:history="1">
        <w:r w:rsidRPr="00E77E40">
          <w:rPr>
            <w:rStyle w:val="Hyperlink"/>
            <w:rFonts w:ascii="Book Antiqua" w:hAnsi="Book Antiqua"/>
            <w:sz w:val="18"/>
            <w:szCs w:val="18"/>
            <w:lang w:val="en-US"/>
          </w:rPr>
          <w:t>https://www.nbcnews.com/news/world/world-central-kitchen-aid-worker-killings-israel-deconfliction-rcna146550</w:t>
        </w:r>
      </w:hyperlink>
      <w:r w:rsidRPr="00E77E40">
        <w:rPr>
          <w:rFonts w:ascii="Book Antiqua" w:hAnsi="Book Antiqua"/>
          <w:sz w:val="18"/>
          <w:szCs w:val="18"/>
          <w:lang w:val="en-US"/>
        </w:rPr>
        <w:t xml:space="preserve">. </w:t>
      </w:r>
    </w:p>
  </w:footnote>
  <w:footnote w:id="5">
    <w:p w14:paraId="0C2C87FD" w14:textId="77777777" w:rsidR="00601034" w:rsidRPr="00E77E40" w:rsidRDefault="00601034" w:rsidP="00601034">
      <w:pPr>
        <w:pStyle w:val="FootnoteText"/>
        <w:jc w:val="both"/>
        <w:rPr>
          <w:rFonts w:ascii="Book Antiqua" w:hAnsi="Book Antiqua"/>
          <w:sz w:val="18"/>
          <w:szCs w:val="18"/>
          <w:lang w:val="en-US"/>
        </w:rPr>
      </w:pPr>
      <w:r w:rsidRPr="00E77E40">
        <w:rPr>
          <w:rFonts w:ascii="Book Antiqua" w:hAnsi="Book Antiqua"/>
          <w:sz w:val="18"/>
          <w:szCs w:val="18"/>
          <w:lang w:val="en-US"/>
        </w:rPr>
        <w:t xml:space="preserve">  </w:t>
      </w:r>
      <w:r w:rsidRPr="00E77E40">
        <w:rPr>
          <w:rStyle w:val="FootnoteReference"/>
          <w:rFonts w:ascii="Book Antiqua" w:hAnsi="Book Antiqua"/>
          <w:sz w:val="18"/>
          <w:szCs w:val="18"/>
        </w:rPr>
        <w:footnoteRef/>
      </w:r>
      <w:r w:rsidRPr="00E77E40">
        <w:rPr>
          <w:rFonts w:ascii="Book Antiqua" w:hAnsi="Book Antiqua"/>
          <w:sz w:val="18"/>
          <w:szCs w:val="18"/>
          <w:lang w:val="en-US"/>
        </w:rPr>
        <w:t xml:space="preserve"> United Nations, </w:t>
      </w:r>
      <w:r w:rsidRPr="00E77E40">
        <w:rPr>
          <w:rFonts w:ascii="Book Antiqua" w:hAnsi="Book Antiqua"/>
          <w:i/>
          <w:iCs/>
          <w:sz w:val="18"/>
          <w:szCs w:val="18"/>
          <w:lang w:val="en-US"/>
        </w:rPr>
        <w:t xml:space="preserve">End unfolding genocide or watch it end life in Gaza: UN experts say States face defining choice, </w:t>
      </w:r>
      <w:r w:rsidRPr="00E77E40">
        <w:rPr>
          <w:rFonts w:ascii="Book Antiqua" w:hAnsi="Book Antiqua"/>
          <w:sz w:val="18"/>
          <w:szCs w:val="18"/>
          <w:lang w:val="en-US"/>
        </w:rPr>
        <w:t xml:space="preserve">Humans Rights Office of the High Commissioner: </w:t>
      </w:r>
      <w:hyperlink r:id="rId6" w:history="1">
        <w:r w:rsidRPr="00E77E40">
          <w:rPr>
            <w:rStyle w:val="Hyperlink"/>
            <w:rFonts w:ascii="Book Antiqua" w:hAnsi="Book Antiqua"/>
            <w:sz w:val="18"/>
            <w:szCs w:val="18"/>
            <w:lang w:val="en-US"/>
          </w:rPr>
          <w:t>https://www.ohchr.org/en/press-releases/2025/05/end-unfolding-genocide-or-watch-it-end-life-gaza-un-experts-say-states-face</w:t>
        </w:r>
      </w:hyperlink>
      <w:r w:rsidRPr="00E77E40">
        <w:rPr>
          <w:rFonts w:ascii="Book Antiqua" w:hAnsi="Book Antiqua"/>
          <w:sz w:val="18"/>
          <w:szCs w:val="18"/>
          <w:lang w:val="en-US"/>
        </w:rPr>
        <w:t xml:space="preserve">. </w:t>
      </w:r>
    </w:p>
    <w:p w14:paraId="23699BF3" w14:textId="77777777" w:rsidR="00601034" w:rsidRPr="00E77E40" w:rsidRDefault="00601034" w:rsidP="00601034">
      <w:pPr>
        <w:pStyle w:val="FootnoteText"/>
        <w:jc w:val="both"/>
        <w:rPr>
          <w:rFonts w:ascii="Book Antiqua" w:hAnsi="Book Antiqua"/>
          <w:sz w:val="18"/>
          <w:szCs w:val="18"/>
          <w:lang w:val="en-US"/>
        </w:rPr>
      </w:pPr>
      <w:r w:rsidRPr="00E77E40">
        <w:rPr>
          <w:rFonts w:ascii="Book Antiqua" w:hAnsi="Book Antiqua"/>
          <w:sz w:val="18"/>
          <w:szCs w:val="18"/>
          <w:lang w:val="en-US"/>
        </w:rPr>
        <w:t xml:space="preserve">    </w:t>
      </w:r>
      <w:hyperlink r:id="rId7" w:history="1">
        <w:r w:rsidRPr="00E77E40">
          <w:rPr>
            <w:rStyle w:val="Hyperlink"/>
            <w:rFonts w:ascii="Book Antiqua" w:hAnsi="Book Antiqua"/>
            <w:sz w:val="18"/>
            <w:szCs w:val="18"/>
            <w:lang w:val="en-US"/>
          </w:rPr>
          <w:t>Ivana Saric</w:t>
        </w:r>
      </w:hyperlink>
      <w:r w:rsidRPr="00E77E40">
        <w:rPr>
          <w:rFonts w:ascii="Book Antiqua" w:hAnsi="Book Antiqua"/>
          <w:sz w:val="18"/>
          <w:szCs w:val="18"/>
          <w:lang w:val="en-US"/>
        </w:rPr>
        <w:t xml:space="preserve">, </w:t>
      </w:r>
      <w:r w:rsidRPr="00E77E40">
        <w:rPr>
          <w:rFonts w:ascii="Book Antiqua" w:hAnsi="Book Antiqua"/>
          <w:i/>
          <w:iCs/>
          <w:sz w:val="18"/>
          <w:szCs w:val="18"/>
          <w:lang w:val="en-US"/>
        </w:rPr>
        <w:t>Nearly 70% of verified deaths in Gaza are women and children, UN report finds</w:t>
      </w:r>
      <w:r w:rsidRPr="00E77E40">
        <w:rPr>
          <w:rFonts w:ascii="Book Antiqua" w:hAnsi="Book Antiqua"/>
          <w:sz w:val="18"/>
          <w:szCs w:val="18"/>
          <w:lang w:val="en-US"/>
        </w:rPr>
        <w:t xml:space="preserve">, Axios: </w:t>
      </w:r>
      <w:hyperlink r:id="rId8" w:history="1">
        <w:r w:rsidRPr="00E77E40">
          <w:rPr>
            <w:rStyle w:val="Hyperlink"/>
            <w:rFonts w:ascii="Book Antiqua" w:hAnsi="Book Antiqua"/>
            <w:sz w:val="18"/>
            <w:szCs w:val="18"/>
            <w:lang w:val="en-US"/>
          </w:rPr>
          <w:t>https://www.axios.com/2024/11/08/un-report-70-gaza-dead</w:t>
        </w:r>
      </w:hyperlink>
      <w:r w:rsidRPr="00E77E40">
        <w:rPr>
          <w:rFonts w:ascii="Book Antiqua" w:hAnsi="Book Antiqua"/>
          <w:sz w:val="18"/>
          <w:szCs w:val="18"/>
          <w:lang w:val="en-US"/>
        </w:rPr>
        <w:t xml:space="preserve">. </w:t>
      </w:r>
    </w:p>
  </w:footnote>
  <w:footnote w:id="6">
    <w:p w14:paraId="2590851B" w14:textId="77777777" w:rsidR="00601034" w:rsidRPr="00E77E40" w:rsidRDefault="00601034" w:rsidP="00601034">
      <w:pPr>
        <w:pStyle w:val="FootnoteText"/>
        <w:jc w:val="both"/>
        <w:rPr>
          <w:rFonts w:ascii="Book Antiqua" w:hAnsi="Book Antiqua"/>
          <w:sz w:val="18"/>
          <w:szCs w:val="18"/>
          <w:lang w:val="en-US"/>
        </w:rPr>
      </w:pPr>
      <w:r w:rsidRPr="00E77E40">
        <w:rPr>
          <w:rStyle w:val="FootnoteReference"/>
          <w:rFonts w:ascii="Book Antiqua" w:hAnsi="Book Antiqua"/>
          <w:sz w:val="18"/>
          <w:szCs w:val="18"/>
        </w:rPr>
        <w:footnoteRef/>
      </w:r>
      <w:r w:rsidRPr="00E77E40">
        <w:rPr>
          <w:rFonts w:ascii="Book Antiqua" w:hAnsi="Book Antiqua"/>
          <w:sz w:val="18"/>
          <w:szCs w:val="18"/>
          <w:lang w:val="en-US"/>
        </w:rPr>
        <w:t xml:space="preserve"> </w:t>
      </w:r>
      <w:proofErr w:type="spellStart"/>
      <w:r w:rsidRPr="00E77E40">
        <w:rPr>
          <w:rFonts w:ascii="Book Antiqua" w:hAnsi="Book Antiqua"/>
          <w:sz w:val="18"/>
          <w:szCs w:val="18"/>
          <w:lang w:val="en-US"/>
        </w:rPr>
        <w:t>Jamaluddine</w:t>
      </w:r>
      <w:proofErr w:type="spellEnd"/>
      <w:r w:rsidRPr="00E77E40">
        <w:rPr>
          <w:rFonts w:ascii="Book Antiqua" w:hAnsi="Book Antiqua"/>
          <w:sz w:val="18"/>
          <w:szCs w:val="18"/>
          <w:lang w:val="en-US"/>
        </w:rPr>
        <w:t xml:space="preserve">, Zeina; </w:t>
      </w:r>
      <w:proofErr w:type="spellStart"/>
      <w:r w:rsidRPr="00E77E40">
        <w:rPr>
          <w:rFonts w:ascii="Book Antiqua" w:hAnsi="Book Antiqua"/>
          <w:sz w:val="18"/>
          <w:szCs w:val="18"/>
          <w:lang w:val="en-US"/>
        </w:rPr>
        <w:t>Abukmail</w:t>
      </w:r>
      <w:proofErr w:type="spellEnd"/>
      <w:r w:rsidRPr="00E77E40">
        <w:rPr>
          <w:rFonts w:ascii="Book Antiqua" w:hAnsi="Book Antiqua"/>
          <w:sz w:val="18"/>
          <w:szCs w:val="18"/>
          <w:lang w:val="en-US"/>
        </w:rPr>
        <w:t>, Hanan; Aly, Sarah; Campbell, Oona M R; Checchi, Francesco (January 2025). </w:t>
      </w:r>
      <w:r>
        <w:fldChar w:fldCharType="begin"/>
      </w:r>
      <w:r w:rsidRPr="00C779B6">
        <w:rPr>
          <w:lang w:val="en-US"/>
        </w:rPr>
        <w:instrText>HYPERLINK "https://linkinghub.elsevier.com/retrieve/pii/S0140673624026783"</w:instrText>
      </w:r>
      <w:r>
        <w:fldChar w:fldCharType="separate"/>
      </w:r>
      <w:r w:rsidRPr="00E77E40">
        <w:rPr>
          <w:rStyle w:val="Hyperlink"/>
          <w:rFonts w:ascii="Book Antiqua" w:hAnsi="Book Antiqua"/>
          <w:sz w:val="18"/>
          <w:szCs w:val="18"/>
          <w:lang w:val="en-US"/>
        </w:rPr>
        <w:t>"Traumatic injury mortality in the Gaza Strip from Oct 7, 2023, to June 30, 2024: a capture–recapture analysis"</w:t>
      </w:r>
      <w:r>
        <w:fldChar w:fldCharType="end"/>
      </w:r>
      <w:r w:rsidRPr="00E77E40">
        <w:rPr>
          <w:rFonts w:ascii="Book Antiqua" w:hAnsi="Book Antiqua"/>
          <w:sz w:val="18"/>
          <w:szCs w:val="18"/>
          <w:lang w:val="en-US"/>
        </w:rPr>
        <w:t>. </w:t>
      </w:r>
      <w:r w:rsidRPr="00E77E40">
        <w:rPr>
          <w:rFonts w:ascii="Book Antiqua" w:hAnsi="Book Antiqua"/>
          <w:i/>
          <w:iCs/>
          <w:sz w:val="18"/>
          <w:szCs w:val="18"/>
          <w:lang w:val="en-US"/>
        </w:rPr>
        <w:t>The Lancet</w:t>
      </w:r>
      <w:r w:rsidRPr="00E77E40">
        <w:rPr>
          <w:rFonts w:ascii="Book Antiqua" w:hAnsi="Book Antiqua"/>
          <w:sz w:val="18"/>
          <w:szCs w:val="18"/>
          <w:lang w:val="en-US"/>
        </w:rPr>
        <w:t>:</w:t>
      </w:r>
      <w:hyperlink r:id="rId9" w:history="1">
        <w:r w:rsidRPr="00E77E40">
          <w:rPr>
            <w:rStyle w:val="Hyperlink"/>
            <w:rFonts w:ascii="Book Antiqua" w:hAnsi="Book Antiqua"/>
            <w:sz w:val="18"/>
            <w:szCs w:val="18"/>
            <w:lang w:val="en-US"/>
          </w:rPr>
          <w:t>10.1016/S0140-6736(24)02678-3</w:t>
        </w:r>
      </w:hyperlink>
      <w:r w:rsidRPr="00E77E40">
        <w:rPr>
          <w:rFonts w:ascii="Book Antiqua" w:hAnsi="Book Antiqua"/>
          <w:sz w:val="18"/>
          <w:szCs w:val="18"/>
          <w:lang w:val="en-US"/>
        </w:rPr>
        <w:t>.</w:t>
      </w:r>
    </w:p>
  </w:footnote>
  <w:footnote w:id="7">
    <w:p w14:paraId="344F2FC1" w14:textId="77777777" w:rsidR="00601034" w:rsidRPr="00E77E40" w:rsidRDefault="00601034" w:rsidP="00601034">
      <w:pPr>
        <w:pStyle w:val="FootnoteText"/>
        <w:jc w:val="both"/>
        <w:rPr>
          <w:rFonts w:ascii="Book Antiqua" w:hAnsi="Book Antiqua"/>
          <w:sz w:val="18"/>
          <w:szCs w:val="18"/>
          <w:lang w:val="en-US"/>
        </w:rPr>
      </w:pPr>
      <w:r w:rsidRPr="00E77E40">
        <w:rPr>
          <w:rFonts w:ascii="Book Antiqua" w:hAnsi="Book Antiqua"/>
          <w:sz w:val="18"/>
          <w:szCs w:val="18"/>
          <w:lang w:val="en-US"/>
        </w:rPr>
        <w:t xml:space="preserve">  </w:t>
      </w:r>
      <w:r w:rsidRPr="00E77E40">
        <w:rPr>
          <w:rStyle w:val="FootnoteReference"/>
          <w:rFonts w:ascii="Book Antiqua" w:hAnsi="Book Antiqua"/>
          <w:sz w:val="18"/>
          <w:szCs w:val="18"/>
        </w:rPr>
        <w:footnoteRef/>
      </w:r>
      <w:r w:rsidRPr="00E77E40">
        <w:rPr>
          <w:rFonts w:ascii="Book Antiqua" w:hAnsi="Book Antiqua"/>
          <w:sz w:val="18"/>
          <w:szCs w:val="18"/>
          <w:lang w:val="en-US"/>
        </w:rPr>
        <w:t xml:space="preserve"> United Nations Office for the Coordination of Humanitarian affairs, </w:t>
      </w:r>
      <w:r w:rsidRPr="00E77E40">
        <w:rPr>
          <w:rFonts w:ascii="Book Antiqua" w:hAnsi="Book Antiqua"/>
          <w:i/>
          <w:iCs/>
          <w:sz w:val="18"/>
          <w:szCs w:val="18"/>
          <w:lang w:val="en-US"/>
        </w:rPr>
        <w:t>West Bank Monthly Snapshot - Casualties, Property Damage and Displacement | December 2024</w:t>
      </w:r>
      <w:r w:rsidRPr="00E77E40">
        <w:rPr>
          <w:rFonts w:ascii="Book Antiqua" w:hAnsi="Book Antiqua"/>
          <w:sz w:val="18"/>
          <w:szCs w:val="18"/>
          <w:lang w:val="en-US"/>
        </w:rPr>
        <w:t xml:space="preserve">: </w:t>
      </w:r>
      <w:hyperlink r:id="rId10" w:history="1">
        <w:r w:rsidRPr="00E77E40">
          <w:rPr>
            <w:rStyle w:val="Hyperlink"/>
            <w:rFonts w:ascii="Book Antiqua" w:hAnsi="Book Antiqua"/>
            <w:sz w:val="18"/>
            <w:szCs w:val="18"/>
            <w:lang w:val="en-US"/>
          </w:rPr>
          <w:t>https://www.ochaopt.org/content/west-bank-monthly-snapshot-casualties-property-damage-and-displacement-december-2024</w:t>
        </w:r>
      </w:hyperlink>
      <w:r w:rsidRPr="00E77E40">
        <w:rPr>
          <w:rFonts w:ascii="Book Antiqua" w:hAnsi="Book Antiqua"/>
          <w:sz w:val="18"/>
          <w:szCs w:val="18"/>
          <w:lang w:val="en-US"/>
        </w:rPr>
        <w:t xml:space="preserve">. </w:t>
      </w:r>
    </w:p>
  </w:footnote>
  <w:footnote w:id="8">
    <w:p w14:paraId="5CE7DBE0" w14:textId="77777777" w:rsidR="00601034" w:rsidRPr="00E77E40" w:rsidRDefault="00601034" w:rsidP="00601034">
      <w:pPr>
        <w:pStyle w:val="FootnoteText"/>
        <w:jc w:val="both"/>
        <w:rPr>
          <w:rFonts w:ascii="Book Antiqua" w:hAnsi="Book Antiqua"/>
          <w:b/>
          <w:bCs/>
          <w:sz w:val="18"/>
          <w:szCs w:val="18"/>
          <w:lang w:val="es-419"/>
        </w:rPr>
      </w:pPr>
      <w:r w:rsidRPr="00E77E40">
        <w:rPr>
          <w:rFonts w:ascii="Book Antiqua" w:hAnsi="Book Antiqua"/>
          <w:sz w:val="18"/>
          <w:szCs w:val="18"/>
          <w:lang w:val="en-US"/>
        </w:rPr>
        <w:t xml:space="preserve">  </w:t>
      </w:r>
      <w:r w:rsidRPr="00E77E40">
        <w:rPr>
          <w:rStyle w:val="FootnoteReference"/>
          <w:rFonts w:ascii="Book Antiqua" w:hAnsi="Book Antiqua"/>
          <w:sz w:val="18"/>
          <w:szCs w:val="18"/>
        </w:rPr>
        <w:footnoteRef/>
      </w:r>
      <w:r w:rsidRPr="00E77E40">
        <w:rPr>
          <w:rFonts w:ascii="Book Antiqua" w:hAnsi="Book Antiqua"/>
          <w:sz w:val="18"/>
          <w:szCs w:val="18"/>
        </w:rPr>
        <w:t xml:space="preserve"> </w:t>
      </w:r>
      <w:proofErr w:type="spellStart"/>
      <w:r w:rsidRPr="00E77E40">
        <w:rPr>
          <w:rFonts w:ascii="Book Antiqua" w:hAnsi="Book Antiqua"/>
          <w:sz w:val="18"/>
          <w:szCs w:val="18"/>
        </w:rPr>
        <w:t>The</w:t>
      </w:r>
      <w:proofErr w:type="spellEnd"/>
      <w:r w:rsidRPr="00E77E40">
        <w:rPr>
          <w:rFonts w:ascii="Book Antiqua" w:hAnsi="Book Antiqua"/>
          <w:sz w:val="18"/>
          <w:szCs w:val="18"/>
        </w:rPr>
        <w:t xml:space="preserve"> </w:t>
      </w:r>
      <w:proofErr w:type="spellStart"/>
      <w:r w:rsidRPr="00E77E40">
        <w:rPr>
          <w:rFonts w:ascii="Book Antiqua" w:hAnsi="Book Antiqua"/>
          <w:sz w:val="18"/>
          <w:szCs w:val="18"/>
        </w:rPr>
        <w:t>Associated</w:t>
      </w:r>
      <w:proofErr w:type="spellEnd"/>
      <w:r w:rsidRPr="00E77E40">
        <w:rPr>
          <w:rFonts w:ascii="Book Antiqua" w:hAnsi="Book Antiqua"/>
          <w:sz w:val="18"/>
          <w:szCs w:val="18"/>
        </w:rPr>
        <w:t xml:space="preserve"> </w:t>
      </w:r>
      <w:proofErr w:type="spellStart"/>
      <w:r w:rsidRPr="00E77E40">
        <w:rPr>
          <w:rFonts w:ascii="Book Antiqua" w:hAnsi="Book Antiqua"/>
          <w:sz w:val="18"/>
          <w:szCs w:val="18"/>
        </w:rPr>
        <w:t>Press</w:t>
      </w:r>
      <w:proofErr w:type="spellEnd"/>
      <w:r w:rsidRPr="00E77E40">
        <w:rPr>
          <w:rFonts w:ascii="Book Antiqua" w:hAnsi="Book Antiqua"/>
          <w:sz w:val="18"/>
          <w:szCs w:val="18"/>
        </w:rPr>
        <w:t>,</w:t>
      </w:r>
      <w:r w:rsidRPr="00E77E40">
        <w:rPr>
          <w:rFonts w:ascii="Book Antiqua" w:hAnsi="Book Antiqua"/>
          <w:b/>
          <w:bCs/>
          <w:sz w:val="18"/>
          <w:szCs w:val="18"/>
        </w:rPr>
        <w:t xml:space="preserve"> </w:t>
      </w:r>
      <w:r w:rsidRPr="00E77E40">
        <w:rPr>
          <w:rFonts w:ascii="Book Antiqua" w:hAnsi="Book Antiqua"/>
          <w:i/>
          <w:iCs/>
          <w:sz w:val="18"/>
          <w:szCs w:val="18"/>
          <w:lang w:val="es-419"/>
        </w:rPr>
        <w:t xml:space="preserve">Nuevo plan de ayuda para Gaza: ¿cómo funcionará y por qué algunos lo rechazan?, </w:t>
      </w:r>
      <w:r w:rsidRPr="00E77E40">
        <w:rPr>
          <w:rFonts w:ascii="Book Antiqua" w:hAnsi="Book Antiqua"/>
          <w:sz w:val="18"/>
          <w:szCs w:val="18"/>
          <w:lang w:val="es-419"/>
        </w:rPr>
        <w:t xml:space="preserve">El Nuevo Día: </w:t>
      </w:r>
      <w:hyperlink r:id="rId11" w:history="1">
        <w:r w:rsidRPr="00E77E40">
          <w:rPr>
            <w:rStyle w:val="Hyperlink"/>
            <w:rFonts w:ascii="Book Antiqua" w:hAnsi="Book Antiqua"/>
            <w:sz w:val="18"/>
            <w:szCs w:val="18"/>
            <w:lang w:val="es-419"/>
          </w:rPr>
          <w:t>https://www.elnuevodia.com/noticias/mundo/notas/nuevo-plan-de-ayuda-para-gaza-como-funcionara-y-por-que-algunos-lo-rechazan/</w:t>
        </w:r>
      </w:hyperlink>
      <w:r w:rsidRPr="00E77E40">
        <w:rPr>
          <w:rFonts w:ascii="Book Antiqua" w:hAnsi="Book Antiqua"/>
          <w:sz w:val="18"/>
          <w:szCs w:val="18"/>
          <w:lang w:val="es-419"/>
        </w:rPr>
        <w:t>.</w:t>
      </w:r>
    </w:p>
  </w:footnote>
  <w:footnote w:id="9">
    <w:p w14:paraId="45EAF545" w14:textId="77777777" w:rsidR="00601034" w:rsidRPr="00E77E40" w:rsidRDefault="00601034" w:rsidP="00601034">
      <w:pPr>
        <w:pStyle w:val="FootnoteText"/>
        <w:jc w:val="both"/>
        <w:rPr>
          <w:rFonts w:ascii="Book Antiqua" w:hAnsi="Book Antiqua"/>
          <w:i/>
          <w:iCs/>
          <w:sz w:val="18"/>
          <w:szCs w:val="18"/>
          <w:lang w:val="en-US"/>
        </w:rPr>
      </w:pPr>
      <w:r w:rsidRPr="00E77E40">
        <w:rPr>
          <w:rFonts w:ascii="Book Antiqua" w:hAnsi="Book Antiqua"/>
          <w:sz w:val="18"/>
          <w:szCs w:val="18"/>
        </w:rPr>
        <w:t xml:space="preserve">  </w:t>
      </w:r>
      <w:r w:rsidRPr="00E77E40">
        <w:rPr>
          <w:rStyle w:val="FootnoteReference"/>
          <w:rFonts w:ascii="Book Antiqua" w:hAnsi="Book Antiqua"/>
          <w:sz w:val="18"/>
          <w:szCs w:val="18"/>
        </w:rPr>
        <w:footnoteRef/>
      </w:r>
      <w:r w:rsidRPr="00601034">
        <w:rPr>
          <w:rFonts w:ascii="Book Antiqua" w:hAnsi="Book Antiqua"/>
          <w:sz w:val="18"/>
          <w:szCs w:val="18"/>
          <w:lang w:val="en-US"/>
        </w:rPr>
        <w:t xml:space="preserve"> </w:t>
      </w:r>
      <w:r w:rsidRPr="00601034">
        <w:rPr>
          <w:rFonts w:ascii="Book Antiqua" w:hAnsi="Book Antiqua"/>
          <w:i/>
          <w:iCs/>
          <w:sz w:val="18"/>
          <w:szCs w:val="18"/>
          <w:lang w:val="en-US"/>
        </w:rPr>
        <w:t>Id.</w:t>
      </w:r>
    </w:p>
  </w:footnote>
  <w:footnote w:id="10">
    <w:p w14:paraId="61D02A30" w14:textId="77777777" w:rsidR="00601034" w:rsidRPr="00E77E40" w:rsidRDefault="00601034" w:rsidP="00601034">
      <w:pPr>
        <w:pStyle w:val="FootnoteText"/>
        <w:jc w:val="both"/>
        <w:rPr>
          <w:rFonts w:ascii="Book Antiqua" w:hAnsi="Book Antiqua"/>
          <w:sz w:val="18"/>
          <w:szCs w:val="18"/>
          <w:lang w:val="en-US"/>
        </w:rPr>
      </w:pPr>
      <w:r w:rsidRPr="00E77E40">
        <w:rPr>
          <w:rFonts w:ascii="Book Antiqua" w:hAnsi="Book Antiqua"/>
          <w:sz w:val="18"/>
          <w:szCs w:val="18"/>
          <w:lang w:val="en-US"/>
        </w:rPr>
        <w:t xml:space="preserve">  </w:t>
      </w:r>
      <w:r w:rsidRPr="00E77E40">
        <w:rPr>
          <w:rStyle w:val="FootnoteReference"/>
          <w:rFonts w:ascii="Book Antiqua" w:hAnsi="Book Antiqua"/>
          <w:sz w:val="18"/>
          <w:szCs w:val="18"/>
        </w:rPr>
        <w:footnoteRef/>
      </w:r>
      <w:r w:rsidRPr="00E77E40">
        <w:rPr>
          <w:rFonts w:ascii="Book Antiqua" w:hAnsi="Book Antiqua"/>
          <w:sz w:val="18"/>
          <w:szCs w:val="18"/>
          <w:lang w:val="en-US"/>
        </w:rPr>
        <w:t xml:space="preserve"> Chantal Da Silva, </w:t>
      </w:r>
      <w:r w:rsidRPr="00E77E40">
        <w:rPr>
          <w:rFonts w:ascii="Book Antiqua" w:eastAsia="Aptos" w:hAnsi="Book Antiqua"/>
          <w:i/>
          <w:iCs/>
          <w:sz w:val="18"/>
          <w:szCs w:val="18"/>
          <w:lang w:val="en-US"/>
        </w:rPr>
        <w:t>Israeli forces in Gaza kill dozens of Palestinians seeking aid, health officials say</w:t>
      </w:r>
      <w:r>
        <w:rPr>
          <w:rFonts w:ascii="Book Antiqua" w:hAnsi="Book Antiqua"/>
          <w:sz w:val="18"/>
          <w:szCs w:val="18"/>
          <w:lang w:val="en-US"/>
        </w:rPr>
        <w:t>,</w:t>
      </w:r>
      <w:r w:rsidRPr="00E77E40">
        <w:rPr>
          <w:rFonts w:ascii="Book Antiqua" w:hAnsi="Book Antiqua"/>
          <w:sz w:val="18"/>
          <w:szCs w:val="18"/>
          <w:lang w:val="en-US"/>
        </w:rPr>
        <w:t xml:space="preserve"> NBC News: </w:t>
      </w:r>
      <w:hyperlink r:id="rId12" w:history="1">
        <w:r w:rsidRPr="00E77E40">
          <w:rPr>
            <w:rStyle w:val="Hyperlink"/>
            <w:rFonts w:ascii="Book Antiqua" w:hAnsi="Book Antiqua"/>
            <w:sz w:val="18"/>
            <w:szCs w:val="18"/>
            <w:lang w:val="en-US"/>
          </w:rPr>
          <w:t>https://www.nbcnews.com/world/gaza/israeli-forces-gaza-kill-27-palestinians-seeking-aid-health-officials-rcna210544</w:t>
        </w:r>
      </w:hyperlink>
      <w:r w:rsidRPr="00E77E40">
        <w:rPr>
          <w:rFonts w:ascii="Book Antiqua" w:hAnsi="Book Antiqua"/>
          <w:sz w:val="18"/>
          <w:szCs w:val="18"/>
          <w:lang w:val="en-US"/>
        </w:rPr>
        <w:t xml:space="preserve">. </w:t>
      </w:r>
    </w:p>
    <w:p w14:paraId="09EF5047" w14:textId="77777777" w:rsidR="00601034" w:rsidRPr="00E77E40" w:rsidRDefault="00601034" w:rsidP="00601034">
      <w:pPr>
        <w:pStyle w:val="FootnoteText"/>
        <w:jc w:val="both"/>
        <w:rPr>
          <w:rFonts w:ascii="Book Antiqua" w:hAnsi="Book Antiqua"/>
          <w:sz w:val="18"/>
          <w:szCs w:val="18"/>
          <w:lang w:val="en-US"/>
        </w:rPr>
      </w:pPr>
      <w:r w:rsidRPr="00E77E40">
        <w:rPr>
          <w:rFonts w:ascii="Book Antiqua" w:hAnsi="Book Antiqua"/>
          <w:sz w:val="18"/>
          <w:szCs w:val="18"/>
          <w:lang w:val="en-US"/>
        </w:rPr>
        <w:t xml:space="preserve">    Archie Bland, </w:t>
      </w:r>
      <w:r w:rsidRPr="00E77E40">
        <w:rPr>
          <w:rFonts w:ascii="Book Antiqua" w:eastAsia="Aptos" w:hAnsi="Book Antiqua"/>
          <w:i/>
          <w:iCs/>
          <w:sz w:val="18"/>
          <w:szCs w:val="18"/>
          <w:lang w:val="en-US"/>
        </w:rPr>
        <w:t>What we know about the killing of Palestinians at a food point in Gaza</w:t>
      </w:r>
      <w:r>
        <w:rPr>
          <w:rFonts w:ascii="Book Antiqua" w:hAnsi="Book Antiqua"/>
          <w:i/>
          <w:iCs/>
          <w:sz w:val="18"/>
          <w:szCs w:val="18"/>
          <w:lang w:val="en-US"/>
        </w:rPr>
        <w:t>,</w:t>
      </w:r>
      <w:r w:rsidRPr="00E77E40">
        <w:rPr>
          <w:rFonts w:ascii="Book Antiqua" w:hAnsi="Book Antiqua"/>
          <w:i/>
          <w:iCs/>
          <w:sz w:val="18"/>
          <w:szCs w:val="18"/>
          <w:lang w:val="en-US"/>
        </w:rPr>
        <w:t xml:space="preserve"> </w:t>
      </w:r>
      <w:r w:rsidRPr="00E77E40">
        <w:rPr>
          <w:rFonts w:ascii="Book Antiqua" w:hAnsi="Book Antiqua"/>
          <w:sz w:val="18"/>
          <w:szCs w:val="18"/>
          <w:lang w:val="en-US"/>
        </w:rPr>
        <w:t xml:space="preserve">The Guardian: </w:t>
      </w:r>
      <w:r>
        <w:fldChar w:fldCharType="begin"/>
      </w:r>
      <w:r w:rsidRPr="00C779B6">
        <w:rPr>
          <w:lang w:val="en-US"/>
        </w:rPr>
        <w:instrText>HYPERLINK "https://www.theguardian.com/world/2025/jun/04/what-is-known-about-palestinians-being-shot-while-trying-to-access-food-in-gaza" \l ":~:text=On%20Sunday%2C%20at%20least%2031,health%20officials%20and%20a%20witness"</w:instrText>
      </w:r>
      <w:r>
        <w:fldChar w:fldCharType="separate"/>
      </w:r>
      <w:r w:rsidRPr="00E77E40">
        <w:rPr>
          <w:rStyle w:val="Hyperlink"/>
          <w:rFonts w:ascii="Book Antiqua" w:hAnsi="Book Antiqua"/>
          <w:sz w:val="18"/>
          <w:szCs w:val="18"/>
          <w:lang w:val="en-US"/>
        </w:rPr>
        <w:t>https://www.theguardian.com/world/2025/jun/04/what-is-known-about-palestinians-being-shot-while-trying-to-access-food-in-gaza#:~:text=On%20Sunday%2C%20at%20least%2031,health%20officials%20and%20a%20witness</w:t>
      </w:r>
      <w:r>
        <w:fldChar w:fldCharType="end"/>
      </w:r>
      <w:r w:rsidRPr="00E77E40">
        <w:rPr>
          <w:rFonts w:ascii="Book Antiqua" w:hAnsi="Book Antiqua"/>
          <w:sz w:val="18"/>
          <w:szCs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393F"/>
    <w:rsid w:val="00056024"/>
    <w:rsid w:val="00095AE1"/>
    <w:rsid w:val="000A6B6C"/>
    <w:rsid w:val="000B0DBB"/>
    <w:rsid w:val="000B587D"/>
    <w:rsid w:val="00111E71"/>
    <w:rsid w:val="00127C6A"/>
    <w:rsid w:val="001363FE"/>
    <w:rsid w:val="0014430B"/>
    <w:rsid w:val="00153407"/>
    <w:rsid w:val="00160CBC"/>
    <w:rsid w:val="0017132B"/>
    <w:rsid w:val="001850B4"/>
    <w:rsid w:val="001A4F41"/>
    <w:rsid w:val="001E0D88"/>
    <w:rsid w:val="001F4CA3"/>
    <w:rsid w:val="001F612A"/>
    <w:rsid w:val="00203EFC"/>
    <w:rsid w:val="00211396"/>
    <w:rsid w:val="00226AE6"/>
    <w:rsid w:val="00245B34"/>
    <w:rsid w:val="00246130"/>
    <w:rsid w:val="002502B0"/>
    <w:rsid w:val="00261EBD"/>
    <w:rsid w:val="00263355"/>
    <w:rsid w:val="00273792"/>
    <w:rsid w:val="002B3DC5"/>
    <w:rsid w:val="002B7EDC"/>
    <w:rsid w:val="002C3354"/>
    <w:rsid w:val="002D4AC8"/>
    <w:rsid w:val="002E43CA"/>
    <w:rsid w:val="002F711A"/>
    <w:rsid w:val="00305B2A"/>
    <w:rsid w:val="00317163"/>
    <w:rsid w:val="00320D78"/>
    <w:rsid w:val="003372CE"/>
    <w:rsid w:val="00341DD2"/>
    <w:rsid w:val="00380FE5"/>
    <w:rsid w:val="003924DD"/>
    <w:rsid w:val="00394FCB"/>
    <w:rsid w:val="003963F4"/>
    <w:rsid w:val="003B5254"/>
    <w:rsid w:val="003B580C"/>
    <w:rsid w:val="003B75A6"/>
    <w:rsid w:val="003F5AF9"/>
    <w:rsid w:val="004061CA"/>
    <w:rsid w:val="00415689"/>
    <w:rsid w:val="004220A9"/>
    <w:rsid w:val="004440CB"/>
    <w:rsid w:val="00445FC5"/>
    <w:rsid w:val="0044682A"/>
    <w:rsid w:val="00461578"/>
    <w:rsid w:val="0046496D"/>
    <w:rsid w:val="00467695"/>
    <w:rsid w:val="004713D2"/>
    <w:rsid w:val="00473A4B"/>
    <w:rsid w:val="00486727"/>
    <w:rsid w:val="00487E1F"/>
    <w:rsid w:val="00495FE7"/>
    <w:rsid w:val="004B594A"/>
    <w:rsid w:val="004B615E"/>
    <w:rsid w:val="004B660B"/>
    <w:rsid w:val="004E1B57"/>
    <w:rsid w:val="00521639"/>
    <w:rsid w:val="0052618B"/>
    <w:rsid w:val="00532BB7"/>
    <w:rsid w:val="005332E4"/>
    <w:rsid w:val="00534092"/>
    <w:rsid w:val="0053550C"/>
    <w:rsid w:val="0053775D"/>
    <w:rsid w:val="00555018"/>
    <w:rsid w:val="005723DC"/>
    <w:rsid w:val="005924B5"/>
    <w:rsid w:val="005B69F5"/>
    <w:rsid w:val="005F25DA"/>
    <w:rsid w:val="00601034"/>
    <w:rsid w:val="0061442E"/>
    <w:rsid w:val="0061708B"/>
    <w:rsid w:val="006210DC"/>
    <w:rsid w:val="00622CED"/>
    <w:rsid w:val="00627474"/>
    <w:rsid w:val="0064349D"/>
    <w:rsid w:val="00643D93"/>
    <w:rsid w:val="00653EED"/>
    <w:rsid w:val="00656763"/>
    <w:rsid w:val="00685549"/>
    <w:rsid w:val="006874C9"/>
    <w:rsid w:val="006B7365"/>
    <w:rsid w:val="006C2D81"/>
    <w:rsid w:val="006C564E"/>
    <w:rsid w:val="006C7DF8"/>
    <w:rsid w:val="006E5DD4"/>
    <w:rsid w:val="006F03E8"/>
    <w:rsid w:val="006F6DB6"/>
    <w:rsid w:val="00701E82"/>
    <w:rsid w:val="00716D3A"/>
    <w:rsid w:val="007172D9"/>
    <w:rsid w:val="007223FC"/>
    <w:rsid w:val="00740270"/>
    <w:rsid w:val="00750E3E"/>
    <w:rsid w:val="00750FC8"/>
    <w:rsid w:val="007533D0"/>
    <w:rsid w:val="00755069"/>
    <w:rsid w:val="00772CD5"/>
    <w:rsid w:val="00781769"/>
    <w:rsid w:val="00784ADA"/>
    <w:rsid w:val="007915D3"/>
    <w:rsid w:val="00791800"/>
    <w:rsid w:val="007A7BE5"/>
    <w:rsid w:val="007B0660"/>
    <w:rsid w:val="007C2AA3"/>
    <w:rsid w:val="007D449C"/>
    <w:rsid w:val="007E3868"/>
    <w:rsid w:val="007F03E4"/>
    <w:rsid w:val="00811111"/>
    <w:rsid w:val="00814FD3"/>
    <w:rsid w:val="00820C41"/>
    <w:rsid w:val="008304B2"/>
    <w:rsid w:val="00850256"/>
    <w:rsid w:val="008629FB"/>
    <w:rsid w:val="00890C1A"/>
    <w:rsid w:val="008A3E27"/>
    <w:rsid w:val="008B578C"/>
    <w:rsid w:val="008E656A"/>
    <w:rsid w:val="008F0224"/>
    <w:rsid w:val="008F6077"/>
    <w:rsid w:val="009259F2"/>
    <w:rsid w:val="0093686F"/>
    <w:rsid w:val="00942FD4"/>
    <w:rsid w:val="00951997"/>
    <w:rsid w:val="009834E1"/>
    <w:rsid w:val="00990352"/>
    <w:rsid w:val="0099602F"/>
    <w:rsid w:val="009A4161"/>
    <w:rsid w:val="009A6BB9"/>
    <w:rsid w:val="009C13F0"/>
    <w:rsid w:val="009C1D7D"/>
    <w:rsid w:val="009E0CE5"/>
    <w:rsid w:val="009F211B"/>
    <w:rsid w:val="00A03405"/>
    <w:rsid w:val="00A12045"/>
    <w:rsid w:val="00A1528A"/>
    <w:rsid w:val="00A33918"/>
    <w:rsid w:val="00A45E32"/>
    <w:rsid w:val="00A60C09"/>
    <w:rsid w:val="00A7629F"/>
    <w:rsid w:val="00A903E7"/>
    <w:rsid w:val="00AA06CC"/>
    <w:rsid w:val="00AB78E2"/>
    <w:rsid w:val="00AC1D44"/>
    <w:rsid w:val="00AC2EC5"/>
    <w:rsid w:val="00AD086A"/>
    <w:rsid w:val="00AD3BF2"/>
    <w:rsid w:val="00AF0CEE"/>
    <w:rsid w:val="00B14053"/>
    <w:rsid w:val="00B1631A"/>
    <w:rsid w:val="00B2143D"/>
    <w:rsid w:val="00B45DFB"/>
    <w:rsid w:val="00B51752"/>
    <w:rsid w:val="00B53DD9"/>
    <w:rsid w:val="00B667AD"/>
    <w:rsid w:val="00B84C38"/>
    <w:rsid w:val="00B86C00"/>
    <w:rsid w:val="00B91966"/>
    <w:rsid w:val="00B947F6"/>
    <w:rsid w:val="00B95EF5"/>
    <w:rsid w:val="00BC5ED8"/>
    <w:rsid w:val="00BD097D"/>
    <w:rsid w:val="00BE2564"/>
    <w:rsid w:val="00BF16AA"/>
    <w:rsid w:val="00C05908"/>
    <w:rsid w:val="00C216A3"/>
    <w:rsid w:val="00C32139"/>
    <w:rsid w:val="00C354B8"/>
    <w:rsid w:val="00C52517"/>
    <w:rsid w:val="00C60921"/>
    <w:rsid w:val="00C62936"/>
    <w:rsid w:val="00C653F2"/>
    <w:rsid w:val="00C679E6"/>
    <w:rsid w:val="00C779B6"/>
    <w:rsid w:val="00C9029A"/>
    <w:rsid w:val="00C908F9"/>
    <w:rsid w:val="00CA0917"/>
    <w:rsid w:val="00CA1099"/>
    <w:rsid w:val="00CA1D0F"/>
    <w:rsid w:val="00D23274"/>
    <w:rsid w:val="00D25F4E"/>
    <w:rsid w:val="00D417C2"/>
    <w:rsid w:val="00D51125"/>
    <w:rsid w:val="00D60936"/>
    <w:rsid w:val="00D63B14"/>
    <w:rsid w:val="00D709EB"/>
    <w:rsid w:val="00D74714"/>
    <w:rsid w:val="00D76B6A"/>
    <w:rsid w:val="00D81EFB"/>
    <w:rsid w:val="00D82F3F"/>
    <w:rsid w:val="00D84023"/>
    <w:rsid w:val="00D921C6"/>
    <w:rsid w:val="00D958C2"/>
    <w:rsid w:val="00DE08B4"/>
    <w:rsid w:val="00E03207"/>
    <w:rsid w:val="00E04AB5"/>
    <w:rsid w:val="00E208BD"/>
    <w:rsid w:val="00E36C92"/>
    <w:rsid w:val="00E50EEA"/>
    <w:rsid w:val="00E52F58"/>
    <w:rsid w:val="00E67104"/>
    <w:rsid w:val="00E74C1C"/>
    <w:rsid w:val="00EA29BC"/>
    <w:rsid w:val="00EB6B8A"/>
    <w:rsid w:val="00EC26AA"/>
    <w:rsid w:val="00ED1E2F"/>
    <w:rsid w:val="00ED7A53"/>
    <w:rsid w:val="00EE1241"/>
    <w:rsid w:val="00EE4273"/>
    <w:rsid w:val="00EE69A1"/>
    <w:rsid w:val="00F02004"/>
    <w:rsid w:val="00F042CB"/>
    <w:rsid w:val="00F13047"/>
    <w:rsid w:val="00F14DC1"/>
    <w:rsid w:val="00F17F4E"/>
    <w:rsid w:val="00F60A20"/>
    <w:rsid w:val="00F73338"/>
    <w:rsid w:val="00F734F5"/>
    <w:rsid w:val="00FA00FA"/>
    <w:rsid w:val="00FC0A95"/>
    <w:rsid w:val="00FC3D9C"/>
    <w:rsid w:val="00FD653F"/>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character" w:styleId="Hyperlink">
    <w:name w:val="Hyperlink"/>
    <w:uiPriority w:val="99"/>
    <w:unhideWhenUsed/>
    <w:rsid w:val="00601034"/>
    <w:rPr>
      <w:color w:val="0000FF"/>
      <w:u w:val="single"/>
    </w:rPr>
  </w:style>
  <w:style w:type="paragraph" w:styleId="FootnoteText">
    <w:name w:val="footnote text"/>
    <w:basedOn w:val="Normal"/>
    <w:link w:val="FootnoteTextChar"/>
    <w:uiPriority w:val="99"/>
    <w:semiHidden/>
    <w:unhideWhenUsed/>
    <w:rsid w:val="00601034"/>
    <w:rPr>
      <w:sz w:val="20"/>
      <w:lang w:val="es-PR"/>
    </w:rPr>
  </w:style>
  <w:style w:type="character" w:customStyle="1" w:styleId="FootnoteTextChar">
    <w:name w:val="Footnote Text Char"/>
    <w:basedOn w:val="DefaultParagraphFont"/>
    <w:link w:val="FootnoteText"/>
    <w:uiPriority w:val="99"/>
    <w:semiHidden/>
    <w:rsid w:val="00601034"/>
    <w:rPr>
      <w:lang w:val="es-PR"/>
    </w:rPr>
  </w:style>
  <w:style w:type="character" w:styleId="FootnoteReference">
    <w:name w:val="footnote reference"/>
    <w:uiPriority w:val="99"/>
    <w:semiHidden/>
    <w:unhideWhenUsed/>
    <w:rsid w:val="006010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axios.com/2024/11/08/un-report-70-gaza-dead" TargetMode="External"/><Relationship Id="rId3" Type="http://schemas.openxmlformats.org/officeDocument/2006/relationships/hyperlink" Target="https://www.theguardian.com/profile/rachel-hall" TargetMode="External"/><Relationship Id="rId7" Type="http://schemas.openxmlformats.org/officeDocument/2006/relationships/hyperlink" Target="https://www.axios.com/authors/isaric" TargetMode="External"/><Relationship Id="rId12" Type="http://schemas.openxmlformats.org/officeDocument/2006/relationships/hyperlink" Target="https://www.nbcnews.com/world/gaza/israeli-forces-gaza-kill-27-palestinians-seeking-aid-health-officials-rcna210544" TargetMode="External"/><Relationship Id="rId2" Type="http://schemas.openxmlformats.org/officeDocument/2006/relationships/hyperlink" Target="https://cpj.org/2023/10/journalist-casualties-in-the-israel-gaza-conflict/" TargetMode="External"/><Relationship Id="rId1" Type="http://schemas.openxmlformats.org/officeDocument/2006/relationships/hyperlink" Target="https://www.ochaopt.org/content/reported-impact-snapshot-gaza-strip-21-may-2025" TargetMode="External"/><Relationship Id="rId6" Type="http://schemas.openxmlformats.org/officeDocument/2006/relationships/hyperlink" Target="https://www.ohchr.org/en/press-releases/2025/05/end-unfolding-genocide-or-watch-it-end-life-gaza-un-experts-say-states-face" TargetMode="External"/><Relationship Id="rId11" Type="http://schemas.openxmlformats.org/officeDocument/2006/relationships/hyperlink" Target="https://www.elnuevodia.com/noticias/mundo/notas/nuevo-plan-de-ayuda-para-gaza-como-funcionara-y-por-que-algunos-lo-rechazan/" TargetMode="External"/><Relationship Id="rId5" Type="http://schemas.openxmlformats.org/officeDocument/2006/relationships/hyperlink" Target="https://www.nbcnews.com/news/world/world-central-kitchen-aid-worker-killings-israel-deconfliction-rcna146550" TargetMode="External"/><Relationship Id="rId10" Type="http://schemas.openxmlformats.org/officeDocument/2006/relationships/hyperlink" Target="https://www.ochaopt.org/content/west-bank-monthly-snapshot-casualties-property-damage-and-displacement-december-2024" TargetMode="External"/><Relationship Id="rId4" Type="http://schemas.openxmlformats.org/officeDocument/2006/relationships/hyperlink" Target="https://www.theguardian.com/world/2024/oct/10/i-am-physically-here-but-mentally-in-gaza-says-lecturer-now-living-in-uk" TargetMode="External"/><Relationship Id="rId9" Type="http://schemas.openxmlformats.org/officeDocument/2006/relationships/hyperlink" Target="https://doi.org/10.1016%2FS0140-6736%2824%290267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1191</Words>
  <Characters>6338</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2025-05-30T16:41:00Z</cp:lastPrinted>
  <dcterms:created xsi:type="dcterms:W3CDTF">2025-06-10T15:18:00Z</dcterms:created>
  <dcterms:modified xsi:type="dcterms:W3CDTF">2025-06-10T18:24:00Z</dcterms:modified>
</cp:coreProperties>
</file>