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F9CC4" w14:textId="77777777" w:rsidR="00942B38" w:rsidRPr="00942B38" w:rsidRDefault="00942B38" w:rsidP="00942B38">
      <w:pPr>
        <w:suppressLineNumbers/>
        <w:tabs>
          <w:tab w:val="center" w:pos="4680"/>
        </w:tabs>
        <w:jc w:val="center"/>
        <w:rPr>
          <w:rFonts w:ascii="Book Antiqua" w:hAnsi="Book Antiqua"/>
          <w:b/>
          <w:bCs/>
          <w:szCs w:val="24"/>
          <w:lang w:val="es-PR"/>
        </w:rPr>
      </w:pPr>
      <w:bookmarkStart w:id="0" w:name="_Hlk138253982"/>
      <w:r w:rsidRPr="00942B38">
        <w:rPr>
          <w:rFonts w:ascii="Book Antiqua" w:hAnsi="Book Antiqua"/>
          <w:b/>
          <w:bCs/>
          <w:szCs w:val="24"/>
          <w:lang w:val="es-PR"/>
        </w:rPr>
        <w:t>(TEXTO DE APROBACIÓN FINAL POR LA CÁMARA)</w:t>
      </w:r>
      <w:r w:rsidRPr="00942B38">
        <w:rPr>
          <w:rFonts w:ascii="Book Antiqua" w:hAnsi="Book Antiqua"/>
          <w:b/>
          <w:bCs/>
          <w:szCs w:val="24"/>
          <w:lang w:val="es-ES_tradnl"/>
        </w:rPr>
        <w:fldChar w:fldCharType="begin"/>
      </w:r>
      <w:r w:rsidRPr="00942B38">
        <w:rPr>
          <w:rFonts w:ascii="Book Antiqua" w:hAnsi="Book Antiqua"/>
          <w:b/>
          <w:bCs/>
          <w:szCs w:val="24"/>
          <w:lang w:val="es-PR"/>
        </w:rPr>
        <w:instrText xml:space="preserve">PRIVATE </w:instrText>
      </w:r>
      <w:r w:rsidRPr="00942B38">
        <w:rPr>
          <w:rFonts w:ascii="Book Antiqua" w:hAnsi="Book Antiqua"/>
          <w:b/>
          <w:bCs/>
          <w:szCs w:val="24"/>
          <w:lang w:val="es-ES_tradnl"/>
        </w:rPr>
        <w:fldChar w:fldCharType="end"/>
      </w:r>
    </w:p>
    <w:p w14:paraId="32ADE186" w14:textId="77777777" w:rsidR="00942B38" w:rsidRPr="00942B38" w:rsidRDefault="00942B38" w:rsidP="00942B38">
      <w:pPr>
        <w:suppressLineNumbers/>
        <w:tabs>
          <w:tab w:val="center" w:pos="4680"/>
        </w:tabs>
        <w:jc w:val="center"/>
        <w:rPr>
          <w:rFonts w:ascii="Book Antiqua" w:hAnsi="Book Antiqua"/>
          <w:b/>
          <w:bCs/>
          <w:szCs w:val="24"/>
          <w:lang w:val="es-PR"/>
        </w:rPr>
      </w:pPr>
      <w:r w:rsidRPr="00942B38">
        <w:rPr>
          <w:rFonts w:ascii="Book Antiqua" w:hAnsi="Book Antiqua"/>
          <w:b/>
          <w:bCs/>
          <w:szCs w:val="24"/>
          <w:lang w:val="es-PR"/>
        </w:rPr>
        <w:t>(27 DE JUNIO DE 2025)</w:t>
      </w:r>
    </w:p>
    <w:p w14:paraId="53B18EBF" w14:textId="77777777" w:rsidR="00942B38" w:rsidRPr="00942B38" w:rsidRDefault="00942B38" w:rsidP="00942B38">
      <w:pPr>
        <w:suppressLineNumbers/>
        <w:tabs>
          <w:tab w:val="center" w:pos="4680"/>
        </w:tabs>
        <w:jc w:val="center"/>
        <w:rPr>
          <w:rFonts w:ascii="Book Antiqua" w:hAnsi="Book Antiqua"/>
          <w:b/>
          <w:bCs/>
          <w:szCs w:val="24"/>
          <w:lang w:val="es-ES_tradnl"/>
        </w:rPr>
      </w:pPr>
      <w:r w:rsidRPr="00942B38">
        <w:rPr>
          <w:noProof/>
          <w:lang w:val="es-ES"/>
        </w:rPr>
        <mc:AlternateContent>
          <mc:Choice Requires="wps">
            <w:drawing>
              <wp:anchor distT="0" distB="0" distL="114300" distR="114300" simplePos="0" relativeHeight="251659264" behindDoc="1" locked="0" layoutInCell="0" allowOverlap="1" wp14:anchorId="5DBE10A6" wp14:editId="5F91934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3C54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45189FA" w14:textId="23CAF8D0" w:rsidR="00FF6BD2" w:rsidRDefault="00A20194" w:rsidP="00917C9D">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57271D87" w14:textId="77777777" w:rsidR="00A22A39" w:rsidRPr="00917C9D" w:rsidRDefault="00A22A39" w:rsidP="00917C9D">
      <w:pPr>
        <w:jc w:val="center"/>
        <w:rPr>
          <w:rFonts w:ascii="Book Antiqua" w:hAnsi="Book Antiqua"/>
          <w:szCs w:val="18"/>
          <w:lang w:val="es-ES_tradnl"/>
        </w:rPr>
      </w:pPr>
    </w:p>
    <w:p w14:paraId="12A4987E" w14:textId="58A3F7AF" w:rsidR="00A22A39" w:rsidRPr="003D22D5" w:rsidRDefault="003D22D5" w:rsidP="003D22D5">
      <w:pPr>
        <w:pStyle w:val="Title2"/>
        <w:tabs>
          <w:tab w:val="clear" w:pos="648"/>
          <w:tab w:val="clear" w:pos="7776"/>
          <w:tab w:val="clear" w:pos="7848"/>
        </w:tabs>
        <w:rPr>
          <w:rFonts w:ascii="Book Antiqua" w:hAnsi="Book Antiqua"/>
          <w:lang w:val="it-IT"/>
        </w:rPr>
      </w:pPr>
      <w:r w:rsidRPr="003D22D5">
        <w:rPr>
          <w:rFonts w:ascii="Book Antiqua" w:hAnsi="Book Antiqua"/>
          <w:lang w:val="it-IT"/>
        </w:rPr>
        <w:t>20ma.</w:t>
      </w:r>
      <w:r w:rsidR="00A22A39" w:rsidRPr="003D22D5">
        <w:rPr>
          <w:rFonts w:ascii="Book Antiqua" w:hAnsi="Book Antiqua"/>
          <w:lang w:val="it-IT"/>
        </w:rPr>
        <w:tab/>
        <w:t>Asamblea</w:t>
      </w:r>
      <w:r w:rsidR="00A22A39" w:rsidRPr="003D22D5">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3D22D5">
        <w:rPr>
          <w:rFonts w:ascii="Book Antiqua" w:hAnsi="Book Antiqua"/>
          <w:lang w:val="it-IT"/>
        </w:rPr>
        <w:t xml:space="preserve">1ra. </w:t>
      </w:r>
      <w:r w:rsidR="00A22A39" w:rsidRPr="003D22D5">
        <w:rPr>
          <w:rFonts w:ascii="Book Antiqua" w:hAnsi="Book Antiqua"/>
          <w:lang w:val="it-IT"/>
        </w:rPr>
        <w:t>Sesión</w:t>
      </w:r>
    </w:p>
    <w:p w14:paraId="4F7AC216" w14:textId="7CC3CA3D" w:rsidR="00A22A39" w:rsidRPr="003D22D5" w:rsidRDefault="00A22A39" w:rsidP="003D22D5">
      <w:pPr>
        <w:pStyle w:val="Title2"/>
        <w:tabs>
          <w:tab w:val="clear" w:pos="648"/>
          <w:tab w:val="clear" w:pos="7776"/>
          <w:tab w:val="clear" w:pos="7848"/>
        </w:tabs>
        <w:rPr>
          <w:rFonts w:ascii="Book Antiqua" w:hAnsi="Book Antiqua"/>
          <w:lang w:val="it-IT"/>
        </w:rPr>
      </w:pPr>
      <w:r w:rsidRPr="003D22D5">
        <w:rPr>
          <w:rFonts w:ascii="Book Antiqua" w:hAnsi="Book Antiqua"/>
          <w:lang w:val="it-IT"/>
        </w:rPr>
        <w:tab/>
        <w:t>Legislativa</w:t>
      </w:r>
      <w:r w:rsidRPr="003D22D5">
        <w:rPr>
          <w:rFonts w:ascii="Book Antiqua" w:hAnsi="Book Antiqua"/>
          <w:lang w:val="it-IT"/>
        </w:rPr>
        <w:tab/>
      </w:r>
      <w:r w:rsidRPr="003D22D5">
        <w:rPr>
          <w:rFonts w:ascii="Book Antiqua" w:hAnsi="Book Antiqua"/>
          <w:lang w:val="it-IT"/>
        </w:rPr>
        <w:tab/>
      </w:r>
      <w:r w:rsidR="003D22D5" w:rsidRPr="003D22D5">
        <w:rPr>
          <w:rFonts w:ascii="Book Antiqua" w:hAnsi="Book Antiqua"/>
          <w:lang w:val="it-IT"/>
        </w:rPr>
        <w:tab/>
      </w:r>
      <w:r w:rsidR="003D22D5" w:rsidRPr="003D22D5">
        <w:rPr>
          <w:rFonts w:ascii="Book Antiqua" w:hAnsi="Book Antiqua"/>
          <w:lang w:val="it-IT"/>
        </w:rPr>
        <w:tab/>
      </w:r>
      <w:r w:rsidR="003D22D5" w:rsidRPr="003D22D5">
        <w:rPr>
          <w:rFonts w:ascii="Book Antiqua" w:hAnsi="Book Antiqua"/>
          <w:lang w:val="it-IT"/>
        </w:rPr>
        <w:tab/>
      </w:r>
      <w:r w:rsidR="003D22D5" w:rsidRPr="003D22D5">
        <w:rPr>
          <w:rFonts w:ascii="Book Antiqua" w:hAnsi="Book Antiqua"/>
          <w:lang w:val="it-IT"/>
        </w:rPr>
        <w:tab/>
      </w:r>
      <w:r w:rsidR="003D22D5" w:rsidRPr="003D22D5">
        <w:rPr>
          <w:rFonts w:ascii="Book Antiqua" w:hAnsi="Book Antiqua"/>
          <w:lang w:val="it-IT"/>
        </w:rPr>
        <w:tab/>
      </w:r>
      <w:r w:rsidR="003D22D5" w:rsidRPr="003D22D5">
        <w:rPr>
          <w:rFonts w:ascii="Book Antiqua" w:hAnsi="Book Antiqua"/>
          <w:lang w:val="it-IT"/>
        </w:rPr>
        <w:tab/>
      </w:r>
      <w:r w:rsidR="003D22D5" w:rsidRPr="003D22D5">
        <w:rPr>
          <w:rFonts w:ascii="Book Antiqua" w:hAnsi="Book Antiqua"/>
          <w:lang w:val="it-IT"/>
        </w:rPr>
        <w:tab/>
        <w:t xml:space="preserve">      </w:t>
      </w:r>
      <w:r w:rsidRPr="003D22D5">
        <w:rPr>
          <w:rFonts w:ascii="Book Antiqua" w:hAnsi="Book Antiqua"/>
          <w:lang w:val="it-IT"/>
        </w:rPr>
        <w:t>Ordinaria</w:t>
      </w:r>
    </w:p>
    <w:p w14:paraId="33749531" w14:textId="77777777" w:rsidR="00A22A39" w:rsidRPr="003D22D5" w:rsidRDefault="00A22A39" w:rsidP="00917C9D">
      <w:pPr>
        <w:rPr>
          <w:lang w:val="it-IT"/>
        </w:rPr>
      </w:pPr>
    </w:p>
    <w:p w14:paraId="1A8C526B" w14:textId="77777777" w:rsidR="00A22A39" w:rsidRDefault="00A22A39" w:rsidP="00917C9D">
      <w:pPr>
        <w:jc w:val="center"/>
        <w:rPr>
          <w:rFonts w:ascii="Book Antiqua" w:hAnsi="Book Antiqua"/>
          <w:b/>
          <w:sz w:val="36"/>
          <w:lang w:val="es-ES_tradnl"/>
        </w:rPr>
      </w:pPr>
      <w:r>
        <w:rPr>
          <w:rFonts w:ascii="Book Antiqua" w:hAnsi="Book Antiqua"/>
          <w:b/>
          <w:sz w:val="36"/>
          <w:lang w:val="es-ES_tradnl"/>
        </w:rPr>
        <w:t>CÁMARA DE REPRESENTANTES</w:t>
      </w:r>
    </w:p>
    <w:p w14:paraId="14428FA4" w14:textId="77777777" w:rsidR="00A22A39" w:rsidRPr="00917C9D" w:rsidRDefault="00A22A39" w:rsidP="00917C9D">
      <w:pPr>
        <w:jc w:val="center"/>
        <w:rPr>
          <w:rFonts w:ascii="Book Antiqua" w:hAnsi="Book Antiqua"/>
          <w:b/>
          <w:szCs w:val="14"/>
          <w:lang w:val="es-ES_tradnl"/>
        </w:rPr>
      </w:pPr>
    </w:p>
    <w:p w14:paraId="588D45F7" w14:textId="77777777" w:rsidR="00A22A39" w:rsidRDefault="00A22A39" w:rsidP="00917C9D">
      <w:pPr>
        <w:jc w:val="center"/>
        <w:rPr>
          <w:rFonts w:ascii="Book Antiqua" w:hAnsi="Book Antiqua"/>
          <w:b/>
          <w:sz w:val="52"/>
          <w:lang w:val="es-ES_tradnl"/>
        </w:rPr>
      </w:pPr>
      <w:r>
        <w:rPr>
          <w:rFonts w:ascii="Book Antiqua" w:hAnsi="Book Antiqua"/>
          <w:b/>
          <w:sz w:val="52"/>
          <w:lang w:val="es-ES_tradnl"/>
        </w:rPr>
        <w:t xml:space="preserve">R. de la C. </w:t>
      </w:r>
      <w:r w:rsidR="00A7215B">
        <w:rPr>
          <w:rFonts w:ascii="Book Antiqua" w:hAnsi="Book Antiqua"/>
          <w:b/>
          <w:sz w:val="52"/>
          <w:lang w:val="es-ES_tradnl"/>
        </w:rPr>
        <w:t>361</w:t>
      </w:r>
    </w:p>
    <w:p w14:paraId="3EC20832" w14:textId="77777777" w:rsidR="00917C9D" w:rsidRPr="00917C9D" w:rsidRDefault="00917C9D" w:rsidP="00917C9D">
      <w:pPr>
        <w:jc w:val="center"/>
        <w:rPr>
          <w:rFonts w:ascii="Book Antiqua" w:hAnsi="Book Antiqua"/>
          <w:b/>
          <w:szCs w:val="24"/>
          <w:lang w:val="es-ES_tradnl"/>
        </w:rPr>
      </w:pPr>
    </w:p>
    <w:p w14:paraId="34C13C7C" w14:textId="77777777" w:rsidR="00A22A39" w:rsidRDefault="00A7215B" w:rsidP="00917C9D">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74041F">
        <w:rPr>
          <w:rFonts w:ascii="Book Antiqua" w:hAnsi="Book Antiqua"/>
          <w:lang w:val="es-ES_tradnl"/>
        </w:rPr>
        <w:t>JUNIO</w:t>
      </w:r>
      <w:r w:rsidR="00A22A39">
        <w:rPr>
          <w:rFonts w:ascii="Book Antiqua" w:hAnsi="Book Antiqua"/>
          <w:lang w:val="es-ES_tradnl"/>
        </w:rPr>
        <w:t xml:space="preserve"> DE 202</w:t>
      </w:r>
      <w:r w:rsidR="00E774AF">
        <w:rPr>
          <w:rFonts w:ascii="Book Antiqua" w:hAnsi="Book Antiqua"/>
          <w:lang w:val="es-ES_tradnl"/>
        </w:rPr>
        <w:t>5</w:t>
      </w:r>
    </w:p>
    <w:p w14:paraId="743A1E1C" w14:textId="77777777" w:rsidR="00917C9D" w:rsidRDefault="00917C9D" w:rsidP="00917C9D">
      <w:pPr>
        <w:jc w:val="center"/>
        <w:rPr>
          <w:rFonts w:ascii="Book Antiqua" w:hAnsi="Book Antiqua"/>
          <w:lang w:val="es-ES_tradnl"/>
        </w:rPr>
      </w:pPr>
    </w:p>
    <w:p w14:paraId="74A219CC" w14:textId="77777777" w:rsidR="00A22A39" w:rsidRDefault="00A22A39" w:rsidP="00917C9D">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A20194" w:rsidRPr="00162962">
        <w:rPr>
          <w:rFonts w:ascii="Book Antiqua" w:hAnsi="Book Antiqua"/>
          <w:i/>
          <w:iCs/>
          <w:lang w:val="es-ES_tradnl"/>
        </w:rPr>
        <w:t>Rodríguez Aguiló</w:t>
      </w:r>
    </w:p>
    <w:p w14:paraId="09C48A3E" w14:textId="77777777" w:rsidR="00917C9D" w:rsidRDefault="00917C9D" w:rsidP="00917C9D">
      <w:pPr>
        <w:jc w:val="center"/>
        <w:rPr>
          <w:rFonts w:ascii="Book Antiqua" w:hAnsi="Book Antiqua"/>
          <w:lang w:val="es-ES_tradnl"/>
        </w:rPr>
      </w:pPr>
    </w:p>
    <w:p w14:paraId="53F82BFD" w14:textId="77777777" w:rsidR="00A22A39" w:rsidRDefault="00A22A39" w:rsidP="00917C9D">
      <w:pPr>
        <w:jc w:val="center"/>
        <w:rPr>
          <w:rFonts w:ascii="Book Antiqua" w:hAnsi="Book Antiqua"/>
          <w:lang w:val="es-ES_tradnl"/>
        </w:rPr>
      </w:pPr>
      <w:r>
        <w:rPr>
          <w:rFonts w:ascii="Book Antiqua" w:hAnsi="Book Antiqua"/>
          <w:lang w:val="es-ES_tradnl"/>
        </w:rPr>
        <w:t xml:space="preserve">Referida a </w:t>
      </w:r>
      <w:r w:rsidR="00917C9D">
        <w:rPr>
          <w:rFonts w:ascii="Book Antiqua" w:hAnsi="Book Antiqua"/>
          <w:lang w:val="es-ES_tradnl"/>
        </w:rPr>
        <w:t>la Comisión de Asuntos Internos</w:t>
      </w:r>
    </w:p>
    <w:p w14:paraId="72BC5CFA" w14:textId="77777777" w:rsidR="00A22A39" w:rsidRDefault="00A22A39" w:rsidP="00917C9D">
      <w:pPr>
        <w:jc w:val="both"/>
        <w:rPr>
          <w:rFonts w:ascii="Book Antiqua" w:hAnsi="Book Antiqua"/>
          <w:lang w:val="es-ES_tradnl"/>
        </w:rPr>
      </w:pPr>
    </w:p>
    <w:p w14:paraId="3F47DB61" w14:textId="77777777" w:rsidR="00A22A39" w:rsidRDefault="00A22A39" w:rsidP="00917C9D">
      <w:pPr>
        <w:jc w:val="center"/>
        <w:rPr>
          <w:rFonts w:ascii="Book Antiqua" w:hAnsi="Book Antiqua"/>
          <w:b/>
          <w:sz w:val="28"/>
          <w:lang w:val="es-ES_tradnl"/>
        </w:rPr>
      </w:pPr>
      <w:r>
        <w:rPr>
          <w:rFonts w:ascii="Book Antiqua" w:hAnsi="Book Antiqua"/>
          <w:b/>
          <w:sz w:val="28"/>
          <w:lang w:val="es-ES_tradnl"/>
        </w:rPr>
        <w:t>RESOLUCIÓN</w:t>
      </w:r>
    </w:p>
    <w:p w14:paraId="42B7FC1E" w14:textId="77777777" w:rsidR="00A22A39" w:rsidRDefault="00A22A39" w:rsidP="00917C9D">
      <w:pPr>
        <w:jc w:val="both"/>
        <w:rPr>
          <w:rFonts w:ascii="Book Antiqua" w:hAnsi="Book Antiqua"/>
          <w:lang w:val="es-ES_tradnl"/>
        </w:rPr>
      </w:pPr>
    </w:p>
    <w:p w14:paraId="274FE99C" w14:textId="09F3C6A9" w:rsidR="00A22A39" w:rsidRPr="007D3784" w:rsidRDefault="00A22A39" w:rsidP="00411133">
      <w:pPr>
        <w:ind w:left="720" w:hanging="720"/>
        <w:jc w:val="both"/>
        <w:rPr>
          <w:rFonts w:ascii="Book Antiqua" w:hAnsi="Book Antiqua"/>
          <w:lang w:val="es-ES_tradnl"/>
        </w:rPr>
      </w:pPr>
      <w:r w:rsidRPr="003D22D5">
        <w:rPr>
          <w:rFonts w:ascii="Book Antiqua" w:hAnsi="Book Antiqua"/>
          <w:lang w:val="es-ES_tradnl"/>
        </w:rPr>
        <w:t>Para</w:t>
      </w:r>
      <w:r w:rsidR="00A20194" w:rsidRPr="003D22D5">
        <w:rPr>
          <w:lang w:val="es-ES_tradnl"/>
        </w:rPr>
        <w:t xml:space="preserve"> </w:t>
      </w:r>
      <w:r w:rsidR="00A20194" w:rsidRPr="003D22D5">
        <w:rPr>
          <w:rFonts w:ascii="Book Antiqua" w:hAnsi="Book Antiqua"/>
          <w:lang w:val="es-ES_tradnl"/>
        </w:rPr>
        <w:t>ordenar</w:t>
      </w:r>
      <w:r w:rsidR="000F051B" w:rsidRPr="003D22D5">
        <w:rPr>
          <w:rFonts w:ascii="Book Antiqua" w:hAnsi="Book Antiqua"/>
          <w:lang w:val="es-ES_tradnl"/>
        </w:rPr>
        <w:t xml:space="preserve"> a la Comisión de Desarrollo Económico</w:t>
      </w:r>
      <w:r w:rsidR="00CB0D1A" w:rsidRPr="003D22D5">
        <w:rPr>
          <w:rFonts w:ascii="Book Antiqua" w:hAnsi="Book Antiqua"/>
          <w:lang w:val="es-ES_tradnl"/>
        </w:rPr>
        <w:t xml:space="preserve"> de la Cámara de Representantes </w:t>
      </w:r>
      <w:r w:rsidR="00CB0D1A" w:rsidRPr="007D3784">
        <w:rPr>
          <w:rFonts w:ascii="Book Antiqua" w:hAnsi="Book Antiqua"/>
          <w:lang w:val="es-ES_tradnl"/>
        </w:rPr>
        <w:t>de Puerto Rico</w:t>
      </w:r>
      <w:r w:rsidR="003F74CF" w:rsidRPr="007D3784">
        <w:rPr>
          <w:rFonts w:ascii="Book Antiqua" w:hAnsi="Book Antiqua"/>
          <w:lang w:val="es-ES_tradnl"/>
        </w:rPr>
        <w:t>,</w:t>
      </w:r>
      <w:r w:rsidR="000F051B" w:rsidRPr="007D3784">
        <w:rPr>
          <w:rFonts w:ascii="Book Antiqua" w:hAnsi="Book Antiqua"/>
          <w:lang w:val="es-ES_tradnl"/>
        </w:rPr>
        <w:t xml:space="preserve"> realizar una investigación abarcadora</w:t>
      </w:r>
      <w:r w:rsidR="003E217C" w:rsidRPr="007D3784">
        <w:rPr>
          <w:rFonts w:ascii="Book Antiqua" w:hAnsi="Book Antiqua"/>
          <w:lang w:val="es-ES_tradnl"/>
        </w:rPr>
        <w:t xml:space="preserve">, </w:t>
      </w:r>
      <w:r w:rsidR="003C5617" w:rsidRPr="007D3784">
        <w:rPr>
          <w:rFonts w:ascii="Book Antiqua" w:hAnsi="Book Antiqua"/>
          <w:lang w:val="es-ES_tradnl"/>
        </w:rPr>
        <w:t>a los fines de identificar</w:t>
      </w:r>
      <w:r w:rsidR="003E217C" w:rsidRPr="007D3784">
        <w:rPr>
          <w:rFonts w:ascii="Book Antiqua" w:hAnsi="Book Antiqua"/>
          <w:lang w:val="es-ES_tradnl"/>
        </w:rPr>
        <w:t xml:space="preserve"> </w:t>
      </w:r>
      <w:r w:rsidR="000F051B" w:rsidRPr="007D3784">
        <w:rPr>
          <w:rFonts w:ascii="Book Antiqua" w:hAnsi="Book Antiqua"/>
          <w:lang w:val="es-ES_tradnl"/>
        </w:rPr>
        <w:t xml:space="preserve">si la Autoridad de los Puertos ha cumplido el mandato establecido en la Ley Núm. 12-2008, </w:t>
      </w:r>
      <w:r w:rsidR="003E217C" w:rsidRPr="007D3784">
        <w:rPr>
          <w:rFonts w:ascii="Book Antiqua" w:hAnsi="Book Antiqua"/>
          <w:bCs/>
          <w:lang w:val="es-ES_tradnl"/>
        </w:rPr>
        <w:t>para desarrollar y mantener un sistema de seguridad portuaria más efectivo</w:t>
      </w:r>
      <w:r w:rsidR="003E217C" w:rsidRPr="007D3784">
        <w:rPr>
          <w:rFonts w:ascii="Book Antiqua" w:hAnsi="Book Antiqua"/>
          <w:lang w:val="es-ES_tradnl"/>
        </w:rPr>
        <w:t xml:space="preserve"> </w:t>
      </w:r>
      <w:r w:rsidR="003E217C" w:rsidRPr="007D3784">
        <w:rPr>
          <w:rFonts w:ascii="Book Antiqua" w:hAnsi="Book Antiqua"/>
          <w:bCs/>
          <w:lang w:val="es-ES_tradnl"/>
        </w:rPr>
        <w:t>o si las medidas implementadas por dicha entidad</w:t>
      </w:r>
      <w:r w:rsidR="003E217C" w:rsidRPr="007D3784">
        <w:rPr>
          <w:rFonts w:ascii="Book Antiqua" w:hAnsi="Book Antiqua"/>
          <w:lang w:val="es-ES_tradnl"/>
        </w:rPr>
        <w:t xml:space="preserve">  </w:t>
      </w:r>
      <w:r w:rsidR="003E217C" w:rsidRPr="007D3784">
        <w:rPr>
          <w:rFonts w:ascii="Book Antiqua" w:hAnsi="Book Antiqua"/>
          <w:bCs/>
          <w:lang w:val="es-ES_tradnl"/>
        </w:rPr>
        <w:t>relacionadas con la inspección del 100% de los contenedores</w:t>
      </w:r>
      <w:r w:rsidR="003E217C" w:rsidRPr="007D3784">
        <w:rPr>
          <w:rFonts w:ascii="Book Antiqua" w:hAnsi="Book Antiqua"/>
          <w:lang w:val="es-ES_tradnl"/>
        </w:rPr>
        <w:t xml:space="preserve"> </w:t>
      </w:r>
      <w:r w:rsidR="003E217C" w:rsidRPr="007D3784">
        <w:rPr>
          <w:rFonts w:ascii="Book Antiqua" w:hAnsi="Book Antiqua"/>
          <w:bCs/>
          <w:lang w:val="es-ES_tradnl"/>
        </w:rPr>
        <w:t>ha redundado exclusivamente en un incremento al costo de hacer negocios en Puerto Rico o un impuesto adicional para el consumidor puertorriqueño, sin los resultados esperados para detener el tráfico de drogas y armas ilegales a través de los muelles, así como la evasión contributiva; y para otros fines relacionados.</w:t>
      </w:r>
    </w:p>
    <w:p w14:paraId="3FC1CFED" w14:textId="77777777" w:rsidR="00411133" w:rsidRPr="00B42E9D" w:rsidRDefault="00411133" w:rsidP="00411133">
      <w:pPr>
        <w:ind w:left="720" w:hanging="720"/>
        <w:jc w:val="both"/>
        <w:rPr>
          <w:rFonts w:ascii="Book Antiqua" w:hAnsi="Book Antiqua"/>
          <w:lang w:val="es-PR"/>
        </w:rPr>
      </w:pPr>
    </w:p>
    <w:p w14:paraId="0952912A" w14:textId="2DECDAA1" w:rsidR="00A22A39" w:rsidRDefault="007D3784" w:rsidP="00917C9D">
      <w:pPr>
        <w:jc w:val="center"/>
        <w:rPr>
          <w:rFonts w:ascii="Book Antiqua" w:hAnsi="Book Antiqua"/>
          <w:lang w:val="es-ES_tradnl"/>
        </w:rPr>
      </w:pPr>
      <w:r>
        <w:rPr>
          <w:rFonts w:ascii="Book Antiqua" w:hAnsi="Book Antiqua"/>
          <w:lang w:val="es-ES_tradnl"/>
        </w:rPr>
        <w:t xml:space="preserve"> </w:t>
      </w:r>
      <w:r w:rsidR="00A22A39">
        <w:rPr>
          <w:rFonts w:ascii="Book Antiqua" w:hAnsi="Book Antiqua"/>
          <w:lang w:val="es-ES_tradnl"/>
        </w:rPr>
        <w:t>EXPOSICIÓN DE MOTIVOS</w:t>
      </w:r>
    </w:p>
    <w:p w14:paraId="3F97B879" w14:textId="77777777" w:rsidR="00917C9D" w:rsidRDefault="00917C9D" w:rsidP="00917C9D">
      <w:pPr>
        <w:ind w:firstLine="360"/>
        <w:jc w:val="center"/>
        <w:rPr>
          <w:rFonts w:ascii="Book Antiqua" w:hAnsi="Book Antiqua"/>
          <w:lang w:val="es-ES_tradnl"/>
        </w:rPr>
      </w:pPr>
    </w:p>
    <w:p w14:paraId="3A8CC6FC" w14:textId="77777777" w:rsidR="000F051B" w:rsidRPr="003D22D5" w:rsidRDefault="000F051B" w:rsidP="00917C9D">
      <w:pPr>
        <w:ind w:firstLine="720"/>
        <w:jc w:val="both"/>
        <w:rPr>
          <w:rFonts w:ascii="Book Antiqua" w:hAnsi="Book Antiqua"/>
          <w:lang w:val="es-PR"/>
        </w:rPr>
      </w:pPr>
      <w:r w:rsidRPr="003D22D5">
        <w:rPr>
          <w:rFonts w:ascii="Book Antiqua" w:hAnsi="Book Antiqua"/>
          <w:lang w:val="es-PR"/>
        </w:rPr>
        <w:t xml:space="preserve">La </w:t>
      </w:r>
      <w:r w:rsidRPr="007D3784">
        <w:rPr>
          <w:rFonts w:ascii="Book Antiqua" w:hAnsi="Book Antiqua"/>
          <w:lang w:val="es-PR"/>
        </w:rPr>
        <w:t>Ley Núm. 12-2008, estableció en Puerto Rico la política pública en el área de seguridad portuaria. Mediante la misma, se ordenó el desarrollo de un mecanismo para que las agencias a cargo de la seguridad pública y de los puertos marítimos, coordinen y diseñen estrategias de seguridad y aprovechen los recursos disponibles para desarrollar un mejor sistema de seguridad portuaria. Así mismo, se reconoció que es en los mejores intereses de Puerto Rico tener un flujo libre del comercio interestatal y extranjero, así como el asegurar el movimiento eficiente de la carga marítima. Esto sólo se puede lograr con acciones efectivas que aseguren la seguridad de los ciudadanos; aumenten la</w:t>
      </w:r>
      <w:r w:rsidRPr="003D22D5">
        <w:rPr>
          <w:rFonts w:ascii="Book Antiqua" w:hAnsi="Book Antiqua"/>
          <w:lang w:val="es-PR"/>
        </w:rPr>
        <w:t xml:space="preserve"> </w:t>
      </w:r>
      <w:r w:rsidRPr="003D22D5">
        <w:rPr>
          <w:rFonts w:ascii="Book Antiqua" w:hAnsi="Book Antiqua"/>
          <w:lang w:val="es-PR"/>
        </w:rPr>
        <w:lastRenderedPageBreak/>
        <w:t>seguridad portuaria, formulen los requisitos para la seguridad portuaria física; requieran el establecimiento de los programas de seguridad en las instalaciones portuarias; mejoren la información sobre la carga que ingresa a la Isla, y descifren las intenciones de quiénes pudieran atentar contra la seguridad de los puertos. Véase Exposición de Motivos de la Ley Núm. 12-2008.</w:t>
      </w:r>
    </w:p>
    <w:p w14:paraId="45BA80E5" w14:textId="77777777" w:rsidR="00DE71E3" w:rsidRPr="003D22D5" w:rsidRDefault="00DE71E3" w:rsidP="00917C9D">
      <w:pPr>
        <w:ind w:firstLine="360"/>
        <w:jc w:val="both"/>
        <w:rPr>
          <w:rFonts w:ascii="Book Antiqua" w:hAnsi="Book Antiqua"/>
          <w:lang w:val="es-PR"/>
        </w:rPr>
      </w:pPr>
    </w:p>
    <w:p w14:paraId="1EEFB8BF" w14:textId="77777777" w:rsidR="000F051B" w:rsidRPr="003D22D5" w:rsidRDefault="000F051B" w:rsidP="00917C9D">
      <w:pPr>
        <w:jc w:val="both"/>
        <w:rPr>
          <w:rFonts w:ascii="Book Antiqua" w:hAnsi="Book Antiqua"/>
          <w:lang w:val="es-PR"/>
        </w:rPr>
      </w:pPr>
      <w:r w:rsidRPr="003D22D5">
        <w:rPr>
          <w:rFonts w:ascii="Book Antiqua" w:hAnsi="Book Antiqua"/>
          <w:lang w:val="es-PR"/>
        </w:rPr>
        <w:t xml:space="preserve">     </w:t>
      </w:r>
      <w:r w:rsidR="00917C9D" w:rsidRPr="003D22D5">
        <w:rPr>
          <w:rFonts w:ascii="Book Antiqua" w:hAnsi="Book Antiqua"/>
          <w:lang w:val="es-PR"/>
        </w:rPr>
        <w:tab/>
      </w:r>
      <w:r w:rsidRPr="003D22D5">
        <w:rPr>
          <w:rFonts w:ascii="Book Antiqua" w:hAnsi="Book Antiqua"/>
          <w:lang w:val="es-PR"/>
        </w:rPr>
        <w:t xml:space="preserve">La Autoridad de los Puertos, en respuesta a la citada política pública, estableció un programa de seguridad que obliga a la inspección del 100% de los contenedores que ingresan a la Isla como una medida para atajar el tráfico de drogas y armas ilegales a través de los muelles, así como la evasión contributiva. Aunque muchos productos están exentos del pago de arbitrios, todavía otros tantos tienen que pagar, tales como los automóviles, los cigarrillos, las bebidas alcohólicas, y los productos derivados de petróleo. </w:t>
      </w:r>
    </w:p>
    <w:p w14:paraId="6D8F2BE9" w14:textId="77777777" w:rsidR="00917C9D" w:rsidRPr="003D22D5" w:rsidRDefault="00917C9D" w:rsidP="00917C9D">
      <w:pPr>
        <w:jc w:val="both"/>
        <w:rPr>
          <w:rFonts w:ascii="Book Antiqua" w:hAnsi="Book Antiqua"/>
          <w:lang w:val="es-PR"/>
        </w:rPr>
      </w:pPr>
    </w:p>
    <w:p w14:paraId="28947026" w14:textId="77777777" w:rsidR="000F051B" w:rsidRPr="003D22D5" w:rsidRDefault="000F051B" w:rsidP="00917C9D">
      <w:pPr>
        <w:jc w:val="both"/>
        <w:rPr>
          <w:rFonts w:ascii="Book Antiqua" w:hAnsi="Book Antiqua"/>
          <w:lang w:val="es-PR"/>
        </w:rPr>
      </w:pPr>
      <w:r w:rsidRPr="003D22D5">
        <w:rPr>
          <w:rFonts w:ascii="Book Antiqua" w:hAnsi="Book Antiqua"/>
          <w:lang w:val="es-PR"/>
        </w:rPr>
        <w:t xml:space="preserve">     </w:t>
      </w:r>
      <w:r w:rsidR="00917C9D" w:rsidRPr="003D22D5">
        <w:rPr>
          <w:rFonts w:ascii="Book Antiqua" w:hAnsi="Book Antiqua"/>
          <w:lang w:val="es-PR"/>
        </w:rPr>
        <w:tab/>
      </w:r>
      <w:r w:rsidRPr="003D22D5">
        <w:rPr>
          <w:rFonts w:ascii="Book Antiqua" w:hAnsi="Book Antiqua"/>
          <w:lang w:val="es-PR"/>
        </w:rPr>
        <w:t xml:space="preserve">Desde su implantación en 2009, la inspección de furgones ha costado más de $20 millones anuales, lo que, en la cadena de valor, tiene un impacto significativo en los consumidores. La inspección de furgones, según se alega, se ha convertido en un impuesto para el consumidor puertorriqueño, sin aportar valor a la sociedad, pues la mayor parte del dinero generado no entra al Departamento de Hacienda sino a una compañía privada. Esta situación cobra mayor relevancia, porque al ser Puerto Rico una isla, casi la totalidad de la mercancía llega por mar. Además, se alega que la inspección del 100% de los contenedores causa un enorme atasco o taponamiento en los muelles lo cual atrasa el tiempo de entrega de la mercancía en las fábricas, los comercios y los negocios en general, aumentando los costos de manufactura, así como el retraso en la disponibilidad de bienes en los comercios. </w:t>
      </w:r>
    </w:p>
    <w:p w14:paraId="619F27DC" w14:textId="77777777" w:rsidR="00917C9D" w:rsidRPr="003D22D5" w:rsidRDefault="00917C9D" w:rsidP="00917C9D">
      <w:pPr>
        <w:jc w:val="both"/>
        <w:rPr>
          <w:rFonts w:ascii="Book Antiqua" w:hAnsi="Book Antiqua"/>
          <w:lang w:val="es-PR"/>
        </w:rPr>
      </w:pPr>
    </w:p>
    <w:p w14:paraId="31C91CC2" w14:textId="77777777" w:rsidR="000F051B" w:rsidRPr="003D22D5" w:rsidRDefault="000F051B" w:rsidP="00917C9D">
      <w:pPr>
        <w:jc w:val="both"/>
        <w:rPr>
          <w:rFonts w:ascii="Book Antiqua" w:hAnsi="Book Antiqua"/>
          <w:lang w:val="es-PR"/>
        </w:rPr>
      </w:pPr>
      <w:r w:rsidRPr="003D22D5">
        <w:rPr>
          <w:rFonts w:ascii="Book Antiqua" w:hAnsi="Book Antiqua"/>
          <w:lang w:val="es-PR"/>
        </w:rPr>
        <w:t xml:space="preserve">    </w:t>
      </w:r>
      <w:r w:rsidR="00917C9D" w:rsidRPr="003D22D5">
        <w:rPr>
          <w:rFonts w:ascii="Book Antiqua" w:hAnsi="Book Antiqua"/>
          <w:lang w:val="es-PR"/>
        </w:rPr>
        <w:tab/>
      </w:r>
      <w:r w:rsidRPr="003D22D5">
        <w:rPr>
          <w:rFonts w:ascii="Book Antiqua" w:hAnsi="Book Antiqua"/>
          <w:lang w:val="es-PR"/>
        </w:rPr>
        <w:t xml:space="preserve">Por otra parte, en el 2019, la Oficina del Contralor publicó un informe de auditoría como resultado de la investigación de una querella relacionada con el contrato de inspección de furgones. El informe, reveló que dos enmiendas del contrato para la inspección de furgones contienen "cláusulas leoninas" que obligan a pagar por el 100% de los furgones, aunque algunos no hayan sido escaneados debido a situaciones "como la falta de energía eléctrica, la avería momentánea del sistema, la fila de espera extensa para la inspección de furgones, etc." (2019, p. 5). </w:t>
      </w:r>
    </w:p>
    <w:p w14:paraId="0B60FF4B" w14:textId="77777777" w:rsidR="00917C9D" w:rsidRPr="003D22D5" w:rsidRDefault="00917C9D" w:rsidP="00917C9D">
      <w:pPr>
        <w:jc w:val="both"/>
        <w:rPr>
          <w:rFonts w:ascii="Book Antiqua" w:hAnsi="Book Antiqua"/>
          <w:lang w:val="es-PR"/>
        </w:rPr>
      </w:pPr>
    </w:p>
    <w:p w14:paraId="232E984B" w14:textId="77777777" w:rsidR="000F051B" w:rsidRPr="003D22D5" w:rsidRDefault="000F051B" w:rsidP="00CD3626">
      <w:pPr>
        <w:ind w:firstLine="720"/>
        <w:jc w:val="both"/>
        <w:rPr>
          <w:rFonts w:ascii="Book Antiqua" w:hAnsi="Book Antiqua"/>
          <w:lang w:val="es-PR"/>
        </w:rPr>
      </w:pPr>
      <w:r w:rsidRPr="003D22D5">
        <w:rPr>
          <w:rFonts w:ascii="Book Antiqua" w:hAnsi="Book Antiqua"/>
          <w:lang w:val="es-PR"/>
        </w:rPr>
        <w:t xml:space="preserve">Igualmente, se alega que la inspección de contenedores se puede realizar sin que represente un costo tan alto para la economía local, mediante alternativas de fondos federales para equipos, evaluaciones de riesgo, adiestramientos y otros que puede disminuir el costo de la referida inspección. </w:t>
      </w:r>
    </w:p>
    <w:p w14:paraId="4D9549FD" w14:textId="77777777" w:rsidR="00917C9D" w:rsidRPr="003D22D5" w:rsidRDefault="00917C9D" w:rsidP="00917C9D">
      <w:pPr>
        <w:jc w:val="both"/>
        <w:rPr>
          <w:rFonts w:ascii="Book Antiqua" w:hAnsi="Book Antiqua"/>
          <w:lang w:val="es-PR"/>
        </w:rPr>
      </w:pPr>
    </w:p>
    <w:p w14:paraId="73445975" w14:textId="77777777" w:rsidR="000F051B" w:rsidRPr="003D22D5" w:rsidRDefault="000F051B" w:rsidP="00917C9D">
      <w:pPr>
        <w:jc w:val="both"/>
        <w:rPr>
          <w:rFonts w:ascii="Book Antiqua" w:hAnsi="Book Antiqua"/>
          <w:lang w:val="es-PR"/>
        </w:rPr>
      </w:pPr>
      <w:r w:rsidRPr="003D22D5">
        <w:rPr>
          <w:rFonts w:ascii="Book Antiqua" w:hAnsi="Book Antiqua"/>
          <w:lang w:val="es-PR"/>
        </w:rPr>
        <w:t xml:space="preserve">     Corresponde a esta Cámara de Representantes de Puerto Rico evaluar si la Autoridad de los Puertos ha cumplido el mandato establecido en la Ley Núm. 12-2008, en cuanto a desarrollar un mejor sistema de seguridad portuaria o si las medidas implementadas por </w:t>
      </w:r>
      <w:r w:rsidRPr="003D22D5">
        <w:rPr>
          <w:rFonts w:ascii="Book Antiqua" w:hAnsi="Book Antiqua"/>
          <w:lang w:val="es-PR"/>
        </w:rPr>
        <w:lastRenderedPageBreak/>
        <w:t>la Autoridad de los Puertos han redundado en un incremento al costo de hacer negocios en Puerto Rico.</w:t>
      </w:r>
    </w:p>
    <w:p w14:paraId="2028C296" w14:textId="77777777" w:rsidR="00917C9D" w:rsidRPr="003D22D5" w:rsidRDefault="00917C9D" w:rsidP="00917C9D">
      <w:pPr>
        <w:jc w:val="both"/>
        <w:rPr>
          <w:rFonts w:ascii="Book Antiqua" w:hAnsi="Book Antiqua"/>
          <w:lang w:val="es-PR"/>
        </w:rPr>
      </w:pPr>
    </w:p>
    <w:p w14:paraId="56BDA951" w14:textId="77777777" w:rsidR="00A5394F" w:rsidRDefault="00A22A39" w:rsidP="00917C9D">
      <w:pPr>
        <w:spacing w:line="480" w:lineRule="auto"/>
        <w:rPr>
          <w:rFonts w:ascii="Book Antiqua" w:hAnsi="Book Antiqua"/>
          <w:lang w:val="es-ES_tradnl"/>
        </w:rPr>
      </w:pPr>
      <w:r>
        <w:rPr>
          <w:rFonts w:ascii="Book Antiqua" w:hAnsi="Book Antiqua"/>
          <w:i/>
          <w:lang w:val="es-ES_tradnl"/>
        </w:rPr>
        <w:t>RESUÉLVESE POR LA CÁMARA DE REPRESENTANTES DE PUERTO RICO:</w:t>
      </w:r>
    </w:p>
    <w:p w14:paraId="45156470" w14:textId="77777777" w:rsidR="008A1BC1" w:rsidRDefault="008A1BC1" w:rsidP="00A22A39">
      <w:pPr>
        <w:spacing w:line="480" w:lineRule="auto"/>
        <w:jc w:val="both"/>
        <w:rPr>
          <w:rFonts w:ascii="Book Antiqua" w:hAnsi="Book Antiqua"/>
          <w:lang w:val="es-ES_tradnl"/>
        </w:rPr>
        <w:sectPr w:rsidR="008A1BC1">
          <w:headerReference w:type="default" r:id="rId12"/>
          <w:headerReference w:type="first" r:id="rId13"/>
          <w:type w:val="continuous"/>
          <w:pgSz w:w="12240" w:h="15840" w:code="1"/>
          <w:pgMar w:top="1440" w:right="1440" w:bottom="1440" w:left="1440" w:header="720" w:footer="720" w:gutter="0"/>
          <w:cols w:space="720"/>
          <w:titlePg/>
        </w:sectPr>
      </w:pPr>
    </w:p>
    <w:p w14:paraId="60BAF89F" w14:textId="6EDAAB23" w:rsidR="00411133" w:rsidRPr="003D22D5" w:rsidRDefault="00A22A39" w:rsidP="00411133">
      <w:pPr>
        <w:spacing w:line="480" w:lineRule="auto"/>
        <w:ind w:firstLine="720"/>
        <w:jc w:val="both"/>
        <w:rPr>
          <w:rFonts w:ascii="Book Antiqua" w:hAnsi="Book Antiqua"/>
          <w:lang w:val="es-PR"/>
        </w:rPr>
      </w:pPr>
      <w:r w:rsidRPr="003D22D5">
        <w:rPr>
          <w:rFonts w:ascii="Book Antiqua" w:hAnsi="Book Antiqua"/>
          <w:lang w:val="es-ES_tradnl"/>
        </w:rPr>
        <w:t>Sección 1.-</w:t>
      </w:r>
      <w:r w:rsidR="000F051B" w:rsidRPr="003D22D5">
        <w:rPr>
          <w:rFonts w:ascii="Book Antiqua" w:hAnsi="Book Antiqua"/>
          <w:lang w:val="es-PR"/>
        </w:rPr>
        <w:t xml:space="preserve"> </w:t>
      </w:r>
      <w:r w:rsidR="00CD3626" w:rsidRPr="003D22D5">
        <w:rPr>
          <w:rFonts w:ascii="Book Antiqua" w:hAnsi="Book Antiqua"/>
          <w:lang w:val="es-PR"/>
        </w:rPr>
        <w:t xml:space="preserve">Se ordena </w:t>
      </w:r>
      <w:r w:rsidR="000F051B" w:rsidRPr="003D22D5">
        <w:rPr>
          <w:rFonts w:ascii="Book Antiqua" w:hAnsi="Book Antiqua"/>
          <w:lang w:val="es-PR"/>
        </w:rPr>
        <w:t>a la Comisión de Desarrollo Económico de la Cámara de Representantes de Puerto Rico</w:t>
      </w:r>
      <w:r w:rsidR="001B4A18" w:rsidRPr="003D22D5">
        <w:rPr>
          <w:rFonts w:ascii="Book Antiqua" w:hAnsi="Book Antiqua"/>
          <w:lang w:val="es-PR"/>
        </w:rPr>
        <w:t>,</w:t>
      </w:r>
      <w:r w:rsidR="000F051B" w:rsidRPr="003D22D5">
        <w:rPr>
          <w:rFonts w:ascii="Book Antiqua" w:hAnsi="Book Antiqua"/>
          <w:lang w:val="es-PR"/>
        </w:rPr>
        <w:t xml:space="preserve"> </w:t>
      </w:r>
      <w:r w:rsidR="00411133" w:rsidRPr="003D22D5">
        <w:rPr>
          <w:rFonts w:ascii="Book Antiqua" w:hAnsi="Book Antiqua"/>
          <w:lang w:val="es-ES_tradnl"/>
        </w:rPr>
        <w:t xml:space="preserve">realizar una investigación abarcadora, </w:t>
      </w:r>
      <w:r w:rsidR="00951ADE" w:rsidRPr="003D22D5">
        <w:rPr>
          <w:rFonts w:ascii="Book Antiqua" w:hAnsi="Book Antiqua"/>
          <w:lang w:val="es-ES_tradnl"/>
        </w:rPr>
        <w:t>a los fines de identificar</w:t>
      </w:r>
      <w:r w:rsidR="00411133" w:rsidRPr="003D22D5">
        <w:rPr>
          <w:rFonts w:ascii="Book Antiqua" w:hAnsi="Book Antiqua"/>
          <w:lang w:val="es-ES_tradnl"/>
        </w:rPr>
        <w:t xml:space="preserve"> si la Autoridad de los Puertos ha cumplido el mandato establecido en la Ley Núm. 12-2008, </w:t>
      </w:r>
      <w:r w:rsidR="00411133" w:rsidRPr="003D22D5">
        <w:rPr>
          <w:rFonts w:ascii="Book Antiqua" w:hAnsi="Book Antiqua"/>
          <w:bCs/>
          <w:lang w:val="es-ES_tradnl"/>
        </w:rPr>
        <w:t>para desarrollar y mantener un sistema de seguridad portuaria más efectivo</w:t>
      </w:r>
      <w:r w:rsidR="00411133" w:rsidRPr="003D22D5">
        <w:rPr>
          <w:rFonts w:ascii="Book Antiqua" w:hAnsi="Book Antiqua"/>
          <w:lang w:val="es-ES_tradnl"/>
        </w:rPr>
        <w:t xml:space="preserve"> </w:t>
      </w:r>
      <w:r w:rsidR="00411133" w:rsidRPr="003D22D5">
        <w:rPr>
          <w:rFonts w:ascii="Book Antiqua" w:hAnsi="Book Antiqua"/>
          <w:bCs/>
          <w:lang w:val="es-ES_tradnl"/>
        </w:rPr>
        <w:t>o si las medidas implementadas por dicha entidad</w:t>
      </w:r>
      <w:r w:rsidR="00411133" w:rsidRPr="003D22D5">
        <w:rPr>
          <w:rFonts w:ascii="Book Antiqua" w:hAnsi="Book Antiqua"/>
          <w:lang w:val="es-ES_tradnl"/>
        </w:rPr>
        <w:t xml:space="preserve">  </w:t>
      </w:r>
      <w:r w:rsidR="00411133" w:rsidRPr="003D22D5">
        <w:rPr>
          <w:rFonts w:ascii="Book Antiqua" w:hAnsi="Book Antiqua"/>
          <w:bCs/>
          <w:lang w:val="es-ES_tradnl"/>
        </w:rPr>
        <w:t>relacionadas con la inspección del 100% de los contenedores</w:t>
      </w:r>
      <w:r w:rsidR="00411133" w:rsidRPr="003D22D5">
        <w:rPr>
          <w:rFonts w:ascii="Book Antiqua" w:hAnsi="Book Antiqua"/>
          <w:lang w:val="es-ES_tradnl"/>
        </w:rPr>
        <w:t xml:space="preserve"> </w:t>
      </w:r>
      <w:r w:rsidR="00411133" w:rsidRPr="003D22D5">
        <w:rPr>
          <w:rFonts w:ascii="Book Antiqua" w:hAnsi="Book Antiqua"/>
          <w:bCs/>
          <w:lang w:val="es-ES_tradnl"/>
        </w:rPr>
        <w:t>ha redundado exclusivamente en un incremento al costo de hacer negocios en Puerto Rico o un impuesto adicional para el consumidor puertorriqueño, sin los resultados esperados para detener el tráfico de drogas y armas ilegales a través de los muelles, así como la evasión contributiva.</w:t>
      </w:r>
    </w:p>
    <w:p w14:paraId="1A4FD6C4" w14:textId="77777777" w:rsidR="00B05021" w:rsidRDefault="000F051B" w:rsidP="00B05021">
      <w:pPr>
        <w:spacing w:after="160" w:line="480" w:lineRule="auto"/>
        <w:ind w:firstLine="720"/>
        <w:jc w:val="both"/>
        <w:rPr>
          <w:rFonts w:ascii="Book Antiqua" w:hAnsi="Book Antiqua"/>
          <w:lang w:val="es-PR"/>
        </w:rPr>
      </w:pPr>
      <w:r w:rsidRPr="003D22D5">
        <w:rPr>
          <w:rFonts w:ascii="Book Antiqua" w:hAnsi="Book Antiqua"/>
          <w:lang w:val="es-PR"/>
        </w:rPr>
        <w:t>Sección 2.-</w:t>
      </w:r>
      <w:r w:rsidR="002B5234" w:rsidRPr="003D22D5">
        <w:rPr>
          <w:rFonts w:ascii="Book Antiqua" w:hAnsi="Book Antiqua"/>
          <w:lang w:val="es-PR"/>
        </w:rPr>
        <w:t xml:space="preserve"> </w:t>
      </w:r>
      <w:r w:rsidRPr="003D22D5">
        <w:rPr>
          <w:rFonts w:ascii="Book Antiqua" w:hAnsi="Book Antiqua"/>
          <w:lang w:val="es-PR"/>
        </w:rPr>
        <w:t xml:space="preserve">La Comisión, conforme dispone el Reglamento de la Cámara de Representantes, puede citar a cualquier persona natural o jurídica, o entidad gubernamental, organizaciones con o sin fines de lucro, que haya tenido o tenga </w:t>
      </w:r>
    </w:p>
    <w:p w14:paraId="248C7E30" w14:textId="0F0DAA6D" w:rsidR="00B05021" w:rsidRPr="003D22D5" w:rsidRDefault="000F051B" w:rsidP="00B05021">
      <w:pPr>
        <w:spacing w:after="160" w:line="480" w:lineRule="auto"/>
        <w:jc w:val="both"/>
        <w:rPr>
          <w:rFonts w:ascii="Book Antiqua" w:hAnsi="Book Antiqua"/>
          <w:lang w:val="es-PR"/>
        </w:rPr>
      </w:pPr>
      <w:r w:rsidRPr="003D22D5">
        <w:rPr>
          <w:rFonts w:ascii="Book Antiqua" w:hAnsi="Book Antiqua"/>
          <w:lang w:val="es-PR"/>
        </w:rPr>
        <w:t xml:space="preserve">cualquier </w:t>
      </w:r>
    </w:p>
    <w:p w14:paraId="720E5CCE" w14:textId="77777777" w:rsidR="002B5234" w:rsidRPr="003D22D5" w:rsidRDefault="000F051B" w:rsidP="002B5234">
      <w:pPr>
        <w:spacing w:after="160" w:line="480" w:lineRule="auto"/>
        <w:jc w:val="both"/>
        <w:rPr>
          <w:rFonts w:ascii="Book Antiqua" w:hAnsi="Book Antiqua"/>
          <w:lang w:val="es-PR"/>
        </w:rPr>
      </w:pPr>
      <w:r w:rsidRPr="003D22D5">
        <w:rPr>
          <w:rFonts w:ascii="Book Antiqua" w:hAnsi="Book Antiqua"/>
          <w:lang w:val="es-PR"/>
        </w:rPr>
        <w:t>clase de relación o conexión en los asuntos especificados en la Sección 1 de</w:t>
      </w:r>
      <w:r w:rsidR="002B5234" w:rsidRPr="003D22D5">
        <w:rPr>
          <w:rFonts w:ascii="Book Antiqua" w:hAnsi="Book Antiqua"/>
          <w:lang w:val="es-PR"/>
        </w:rPr>
        <w:t xml:space="preserve"> </w:t>
      </w:r>
      <w:r w:rsidRPr="003D22D5">
        <w:rPr>
          <w:rFonts w:ascii="Book Antiqua" w:hAnsi="Book Antiqua"/>
          <w:lang w:val="es-PR"/>
        </w:rPr>
        <w:t xml:space="preserve">esta Resolución. </w:t>
      </w:r>
    </w:p>
    <w:p w14:paraId="2C0B49FE" w14:textId="77777777" w:rsidR="000F051B" w:rsidRPr="003D22D5" w:rsidRDefault="000F051B" w:rsidP="00917C9D">
      <w:pPr>
        <w:spacing w:after="160" w:line="480" w:lineRule="auto"/>
        <w:ind w:firstLine="720"/>
        <w:jc w:val="both"/>
        <w:rPr>
          <w:rFonts w:ascii="Book Antiqua" w:hAnsi="Book Antiqua"/>
          <w:lang w:val="es-PR"/>
        </w:rPr>
      </w:pPr>
      <w:r w:rsidRPr="003D22D5">
        <w:rPr>
          <w:rFonts w:ascii="Book Antiqua" w:hAnsi="Book Antiqua"/>
          <w:lang w:val="es-PR"/>
        </w:rPr>
        <w:t>Sección 3.-</w:t>
      </w:r>
      <w:r w:rsidR="002B5234" w:rsidRPr="003D22D5">
        <w:rPr>
          <w:rFonts w:ascii="Book Antiqua" w:hAnsi="Book Antiqua"/>
          <w:lang w:val="es-PR"/>
        </w:rPr>
        <w:t xml:space="preserve"> </w:t>
      </w:r>
      <w:r w:rsidRPr="003D22D5">
        <w:rPr>
          <w:rFonts w:ascii="Book Antiqua" w:hAnsi="Book Antiqua"/>
          <w:lang w:val="es-PR"/>
        </w:rPr>
        <w:t xml:space="preserve">La Comisión, además, podrá realizar todos los estudios, investigaciones, reuniones, citaciones, solicitudes de producción de documentos, solicitudes de información, requerimientos, e informes que entienda necesarios y podrá </w:t>
      </w:r>
      <w:r w:rsidRPr="003D22D5">
        <w:rPr>
          <w:rFonts w:ascii="Book Antiqua" w:hAnsi="Book Antiqua"/>
          <w:lang w:val="es-PR"/>
        </w:rPr>
        <w:lastRenderedPageBreak/>
        <w:t xml:space="preserve">investigar cualquier asunto que entienda pertinente para cumplir con lo dispuesto en esta Resolución. </w:t>
      </w:r>
    </w:p>
    <w:p w14:paraId="48225231" w14:textId="69ADDE2A" w:rsidR="002B5234" w:rsidRPr="003D22D5" w:rsidRDefault="000F051B" w:rsidP="00917C9D">
      <w:pPr>
        <w:spacing w:after="160" w:line="480" w:lineRule="auto"/>
        <w:ind w:firstLine="720"/>
        <w:jc w:val="both"/>
        <w:rPr>
          <w:rFonts w:ascii="Book Antiqua" w:hAnsi="Book Antiqua"/>
          <w:strike/>
          <w:lang w:val="es-PR"/>
        </w:rPr>
      </w:pPr>
      <w:r w:rsidRPr="003D22D5">
        <w:rPr>
          <w:rFonts w:ascii="Book Antiqua" w:hAnsi="Book Antiqua"/>
          <w:lang w:val="es-PR"/>
        </w:rPr>
        <w:t>Sección 4.- La Comisión rendirá un informe</w:t>
      </w:r>
      <w:r w:rsidR="003D22D5">
        <w:rPr>
          <w:rFonts w:ascii="Book Antiqua" w:hAnsi="Book Antiqua"/>
          <w:lang w:val="es-PR"/>
        </w:rPr>
        <w:t xml:space="preserve"> </w:t>
      </w:r>
      <w:r w:rsidR="00833FC0" w:rsidRPr="003D22D5">
        <w:rPr>
          <w:rFonts w:ascii="Book Antiqua" w:hAnsi="Book Antiqua"/>
          <w:szCs w:val="24"/>
          <w:lang w:val="es-ES_tradnl"/>
        </w:rPr>
        <w:t>contentivo de los hallazgos, conclusiones, y recomendaciones, que estimen pertinentes, incluyendo las acciones legislativas y administrativas que deban adoptarse con relación al asunto objeto de est</w:t>
      </w:r>
      <w:r w:rsidR="00AB1AB7" w:rsidRPr="003D22D5">
        <w:rPr>
          <w:rFonts w:ascii="Book Antiqua" w:hAnsi="Book Antiqua"/>
          <w:szCs w:val="24"/>
          <w:lang w:val="es-ES_tradnl"/>
        </w:rPr>
        <w:t>a</w:t>
      </w:r>
      <w:r w:rsidR="00833FC0" w:rsidRPr="003D22D5">
        <w:rPr>
          <w:rFonts w:ascii="Book Antiqua" w:hAnsi="Book Antiqua"/>
          <w:szCs w:val="24"/>
          <w:lang w:val="es-ES_tradnl"/>
        </w:rPr>
        <w:t xml:space="preserve"> </w:t>
      </w:r>
      <w:r w:rsidR="00AB1AB7" w:rsidRPr="003D22D5">
        <w:rPr>
          <w:rFonts w:ascii="Book Antiqua" w:hAnsi="Book Antiqua"/>
          <w:szCs w:val="24"/>
          <w:lang w:val="es-ES_tradnl"/>
        </w:rPr>
        <w:t>investigación</w:t>
      </w:r>
      <w:r w:rsidR="00833FC0" w:rsidRPr="003D22D5">
        <w:rPr>
          <w:rFonts w:ascii="Book Antiqua" w:hAnsi="Book Antiqua"/>
          <w:szCs w:val="24"/>
          <w:lang w:val="es-ES_tradnl"/>
        </w:rPr>
        <w:t>, dentro del término de ciento ochenta (180) días</w:t>
      </w:r>
      <w:r w:rsidR="00AB1AB7" w:rsidRPr="003D22D5">
        <w:rPr>
          <w:rFonts w:ascii="Book Antiqua" w:hAnsi="Book Antiqua"/>
          <w:szCs w:val="24"/>
          <w:lang w:val="es-ES_tradnl"/>
        </w:rPr>
        <w:t>,</w:t>
      </w:r>
      <w:r w:rsidR="00833FC0" w:rsidRPr="003D22D5">
        <w:rPr>
          <w:rFonts w:ascii="Book Antiqua" w:hAnsi="Book Antiqua"/>
          <w:szCs w:val="24"/>
          <w:lang w:val="es-ES_tradnl"/>
        </w:rPr>
        <w:t xml:space="preserve"> contados a partir de la aprobación de la presente Resolución.</w:t>
      </w:r>
    </w:p>
    <w:p w14:paraId="67B7EF20" w14:textId="41016DE5" w:rsidR="00A22A39" w:rsidRPr="003D22D5" w:rsidRDefault="000F051B" w:rsidP="00917C9D">
      <w:pPr>
        <w:spacing w:after="160" w:line="480" w:lineRule="auto"/>
        <w:ind w:firstLine="720"/>
        <w:jc w:val="both"/>
        <w:rPr>
          <w:rFonts w:ascii="Book Antiqua" w:hAnsi="Book Antiqua"/>
          <w:lang w:val="es-PR"/>
        </w:rPr>
      </w:pPr>
      <w:r w:rsidRPr="003D22D5">
        <w:rPr>
          <w:rFonts w:ascii="Book Antiqua" w:hAnsi="Book Antiqua"/>
          <w:lang w:val="es-PR"/>
        </w:rPr>
        <w:t>Sección 5.-</w:t>
      </w:r>
      <w:r w:rsidR="002B5234" w:rsidRPr="003D22D5">
        <w:rPr>
          <w:rFonts w:ascii="Book Antiqua" w:hAnsi="Book Antiqua"/>
          <w:lang w:val="es-PR"/>
        </w:rPr>
        <w:t xml:space="preserve"> </w:t>
      </w:r>
      <w:r w:rsidRPr="003D22D5">
        <w:rPr>
          <w:rFonts w:ascii="Book Antiqua" w:hAnsi="Book Antiqua"/>
          <w:lang w:val="es-PR"/>
        </w:rPr>
        <w:t xml:space="preserve">Esta Resolución </w:t>
      </w:r>
      <w:r w:rsidR="001D68AD" w:rsidRPr="003D22D5">
        <w:rPr>
          <w:rFonts w:ascii="Book Antiqua" w:hAnsi="Book Antiqua"/>
          <w:lang w:val="es-PR"/>
        </w:rPr>
        <w:t>entrará en vigor</w:t>
      </w:r>
      <w:r w:rsidR="000B11F5" w:rsidRPr="003D22D5">
        <w:rPr>
          <w:rFonts w:ascii="Book Antiqua" w:hAnsi="Book Antiqua"/>
          <w:lang w:val="es-PR"/>
        </w:rPr>
        <w:t xml:space="preserve"> </w:t>
      </w:r>
      <w:r w:rsidR="00AB1AB7" w:rsidRPr="003D22D5">
        <w:rPr>
          <w:rFonts w:ascii="Book Antiqua" w:hAnsi="Book Antiqua"/>
          <w:lang w:val="es-PR"/>
        </w:rPr>
        <w:t xml:space="preserve">inmediatamente después </w:t>
      </w:r>
      <w:r w:rsidRPr="003D22D5">
        <w:rPr>
          <w:rFonts w:ascii="Book Antiqua" w:hAnsi="Book Antiqua"/>
          <w:lang w:val="es-PR"/>
        </w:rPr>
        <w:t>de su aprobación.</w:t>
      </w:r>
    </w:p>
    <w:sectPr w:rsidR="00A22A39" w:rsidRPr="003D22D5"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A8177" w14:textId="77777777" w:rsidR="003D22D5" w:rsidRDefault="003D22D5">
      <w:r>
        <w:separator/>
      </w:r>
    </w:p>
  </w:endnote>
  <w:endnote w:type="continuationSeparator" w:id="0">
    <w:p w14:paraId="58823E25" w14:textId="77777777" w:rsidR="003D22D5" w:rsidRDefault="003D2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E20E7" w14:textId="77777777" w:rsidR="003D22D5" w:rsidRDefault="003D22D5">
      <w:r>
        <w:separator/>
      </w:r>
    </w:p>
  </w:footnote>
  <w:footnote w:type="continuationSeparator" w:id="0">
    <w:p w14:paraId="275B3CF8" w14:textId="77777777" w:rsidR="003D22D5" w:rsidRDefault="003D2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62760" w14:textId="77777777" w:rsidR="003E217C" w:rsidRDefault="003E217C">
    <w:pPr>
      <w:pStyle w:val="Header"/>
      <w:jc w:val="center"/>
    </w:pPr>
    <w:r>
      <w:rPr>
        <w:rStyle w:val="PageNumber"/>
      </w:rPr>
      <w:fldChar w:fldCharType="begin"/>
    </w:r>
    <w:r>
      <w:rPr>
        <w:rStyle w:val="PageNumber"/>
      </w:rPr>
      <w:instrText xml:space="preserve"> PAGE </w:instrText>
    </w:r>
    <w:r>
      <w:rPr>
        <w:rStyle w:val="PageNumber"/>
      </w:rPr>
      <w:fldChar w:fldCharType="separate"/>
    </w:r>
    <w:r w:rsidR="00833FC0">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DB057" w14:textId="0F533D62" w:rsidR="003E217C" w:rsidRPr="00513C66" w:rsidRDefault="003E217C" w:rsidP="00513C66">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16686152">
    <w:abstractNumId w:val="0"/>
  </w:num>
  <w:num w:numId="2" w16cid:durableId="938175611">
    <w:abstractNumId w:val="1"/>
  </w:num>
  <w:num w:numId="3" w16cid:durableId="1875773834">
    <w:abstractNumId w:val="3"/>
  </w:num>
  <w:num w:numId="4" w16cid:durableId="7459983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D22D5"/>
    <w:rsid w:val="00002AAA"/>
    <w:rsid w:val="00020BBB"/>
    <w:rsid w:val="00056024"/>
    <w:rsid w:val="00061613"/>
    <w:rsid w:val="00095AE1"/>
    <w:rsid w:val="000A6B6C"/>
    <w:rsid w:val="000B0DBB"/>
    <w:rsid w:val="000B11F5"/>
    <w:rsid w:val="000F051B"/>
    <w:rsid w:val="000F5337"/>
    <w:rsid w:val="00111E71"/>
    <w:rsid w:val="00127C6A"/>
    <w:rsid w:val="001363FE"/>
    <w:rsid w:val="00162962"/>
    <w:rsid w:val="0017132B"/>
    <w:rsid w:val="001B4A18"/>
    <w:rsid w:val="001D68AD"/>
    <w:rsid w:val="001F4CA3"/>
    <w:rsid w:val="001F612A"/>
    <w:rsid w:val="00211396"/>
    <w:rsid w:val="00226AE6"/>
    <w:rsid w:val="00245B34"/>
    <w:rsid w:val="00263355"/>
    <w:rsid w:val="00273792"/>
    <w:rsid w:val="00295546"/>
    <w:rsid w:val="002B5234"/>
    <w:rsid w:val="002D4AC8"/>
    <w:rsid w:val="00320D78"/>
    <w:rsid w:val="00354230"/>
    <w:rsid w:val="00377EE3"/>
    <w:rsid w:val="00380FE5"/>
    <w:rsid w:val="003924DD"/>
    <w:rsid w:val="00394FCB"/>
    <w:rsid w:val="003963F4"/>
    <w:rsid w:val="003B5254"/>
    <w:rsid w:val="003B75A6"/>
    <w:rsid w:val="003C55C0"/>
    <w:rsid w:val="003C5617"/>
    <w:rsid w:val="003D22D5"/>
    <w:rsid w:val="003E217C"/>
    <w:rsid w:val="003F3B32"/>
    <w:rsid w:val="003F4BFB"/>
    <w:rsid w:val="003F74CF"/>
    <w:rsid w:val="004061CA"/>
    <w:rsid w:val="00411133"/>
    <w:rsid w:val="00415689"/>
    <w:rsid w:val="004440CB"/>
    <w:rsid w:val="004713D2"/>
    <w:rsid w:val="004A20A7"/>
    <w:rsid w:val="00513C66"/>
    <w:rsid w:val="00521639"/>
    <w:rsid w:val="00522694"/>
    <w:rsid w:val="0052590E"/>
    <w:rsid w:val="00532BB7"/>
    <w:rsid w:val="005332E4"/>
    <w:rsid w:val="0053550C"/>
    <w:rsid w:val="005545D9"/>
    <w:rsid w:val="00555018"/>
    <w:rsid w:val="005723DC"/>
    <w:rsid w:val="00587B9D"/>
    <w:rsid w:val="00597DA2"/>
    <w:rsid w:val="005F19AA"/>
    <w:rsid w:val="006210DC"/>
    <w:rsid w:val="0064349D"/>
    <w:rsid w:val="00653EED"/>
    <w:rsid w:val="00667C39"/>
    <w:rsid w:val="00685549"/>
    <w:rsid w:val="00690E79"/>
    <w:rsid w:val="006A3480"/>
    <w:rsid w:val="006B7365"/>
    <w:rsid w:val="006C2D81"/>
    <w:rsid w:val="006C7DF8"/>
    <w:rsid w:val="0074041F"/>
    <w:rsid w:val="00746E74"/>
    <w:rsid w:val="00750FC8"/>
    <w:rsid w:val="007533D0"/>
    <w:rsid w:val="00755069"/>
    <w:rsid w:val="00766983"/>
    <w:rsid w:val="0078014A"/>
    <w:rsid w:val="007B0660"/>
    <w:rsid w:val="007D0A0C"/>
    <w:rsid w:val="007D3784"/>
    <w:rsid w:val="007E3868"/>
    <w:rsid w:val="007F1F27"/>
    <w:rsid w:val="007F2AC3"/>
    <w:rsid w:val="007F70D9"/>
    <w:rsid w:val="00820C41"/>
    <w:rsid w:val="00833FC0"/>
    <w:rsid w:val="00850256"/>
    <w:rsid w:val="008A1BC1"/>
    <w:rsid w:val="008B6A47"/>
    <w:rsid w:val="00917C9D"/>
    <w:rsid w:val="00931737"/>
    <w:rsid w:val="0093686F"/>
    <w:rsid w:val="00942B38"/>
    <w:rsid w:val="00942FD4"/>
    <w:rsid w:val="00951997"/>
    <w:rsid w:val="00951ADE"/>
    <w:rsid w:val="00967441"/>
    <w:rsid w:val="00990352"/>
    <w:rsid w:val="00994D10"/>
    <w:rsid w:val="009C2609"/>
    <w:rsid w:val="009F0F71"/>
    <w:rsid w:val="00A03405"/>
    <w:rsid w:val="00A1528A"/>
    <w:rsid w:val="00A20194"/>
    <w:rsid w:val="00A22A39"/>
    <w:rsid w:val="00A33918"/>
    <w:rsid w:val="00A5394F"/>
    <w:rsid w:val="00A7215B"/>
    <w:rsid w:val="00A7629F"/>
    <w:rsid w:val="00AB1AB7"/>
    <w:rsid w:val="00AF0CEE"/>
    <w:rsid w:val="00B05021"/>
    <w:rsid w:val="00B16658"/>
    <w:rsid w:val="00B42E9D"/>
    <w:rsid w:val="00B44180"/>
    <w:rsid w:val="00B667AD"/>
    <w:rsid w:val="00B72E79"/>
    <w:rsid w:val="00B84C38"/>
    <w:rsid w:val="00B86C00"/>
    <w:rsid w:val="00B947F6"/>
    <w:rsid w:val="00BF16AA"/>
    <w:rsid w:val="00C14B5D"/>
    <w:rsid w:val="00C354B8"/>
    <w:rsid w:val="00C52517"/>
    <w:rsid w:val="00C60921"/>
    <w:rsid w:val="00C62936"/>
    <w:rsid w:val="00C653F2"/>
    <w:rsid w:val="00C679E6"/>
    <w:rsid w:val="00C73121"/>
    <w:rsid w:val="00C84368"/>
    <w:rsid w:val="00C87229"/>
    <w:rsid w:val="00C908F9"/>
    <w:rsid w:val="00CA0917"/>
    <w:rsid w:val="00CA1099"/>
    <w:rsid w:val="00CB0D1A"/>
    <w:rsid w:val="00CD3626"/>
    <w:rsid w:val="00D03EE3"/>
    <w:rsid w:val="00D417C2"/>
    <w:rsid w:val="00D41F2A"/>
    <w:rsid w:val="00D60936"/>
    <w:rsid w:val="00D650FD"/>
    <w:rsid w:val="00D709EB"/>
    <w:rsid w:val="00D74714"/>
    <w:rsid w:val="00D82F3F"/>
    <w:rsid w:val="00D921C6"/>
    <w:rsid w:val="00D958C2"/>
    <w:rsid w:val="00DA54E2"/>
    <w:rsid w:val="00DE71E3"/>
    <w:rsid w:val="00E04AB5"/>
    <w:rsid w:val="00E426FC"/>
    <w:rsid w:val="00E50EEA"/>
    <w:rsid w:val="00E52F58"/>
    <w:rsid w:val="00E54E65"/>
    <w:rsid w:val="00E774AF"/>
    <w:rsid w:val="00EB10F0"/>
    <w:rsid w:val="00EC26AA"/>
    <w:rsid w:val="00ED7A53"/>
    <w:rsid w:val="00EE3FF4"/>
    <w:rsid w:val="00EE4273"/>
    <w:rsid w:val="00F02004"/>
    <w:rsid w:val="00F042CB"/>
    <w:rsid w:val="00F44DC8"/>
    <w:rsid w:val="00F60A20"/>
    <w:rsid w:val="00FC0A95"/>
    <w:rsid w:val="00FC1E1C"/>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487CFA"/>
  <w15:docId w15:val="{16AC6C57-70D5-461E-917B-54353E43A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24256">
      <w:bodyDiv w:val="1"/>
      <w:marLeft w:val="0"/>
      <w:marRight w:val="0"/>
      <w:marTop w:val="0"/>
      <w:marBottom w:val="0"/>
      <w:divBdr>
        <w:top w:val="none" w:sz="0" w:space="0" w:color="auto"/>
        <w:left w:val="none" w:sz="0" w:space="0" w:color="auto"/>
        <w:bottom w:val="none" w:sz="0" w:space="0" w:color="auto"/>
        <w:right w:val="none" w:sz="0" w:space="0" w:color="auto"/>
      </w:divBdr>
    </w:div>
    <w:div w:id="495463916">
      <w:bodyDiv w:val="1"/>
      <w:marLeft w:val="0"/>
      <w:marRight w:val="0"/>
      <w:marTop w:val="0"/>
      <w:marBottom w:val="0"/>
      <w:divBdr>
        <w:top w:val="none" w:sz="0" w:space="0" w:color="auto"/>
        <w:left w:val="none" w:sz="0" w:space="0" w:color="auto"/>
        <w:bottom w:val="none" w:sz="0" w:space="0" w:color="auto"/>
        <w:right w:val="none" w:sz="0" w:space="0" w:color="auto"/>
      </w:divBdr>
    </w:div>
    <w:div w:id="598679807">
      <w:bodyDiv w:val="1"/>
      <w:marLeft w:val="0"/>
      <w:marRight w:val="0"/>
      <w:marTop w:val="0"/>
      <w:marBottom w:val="0"/>
      <w:divBdr>
        <w:top w:val="none" w:sz="0" w:space="0" w:color="auto"/>
        <w:left w:val="none" w:sz="0" w:space="0" w:color="auto"/>
        <w:bottom w:val="none" w:sz="0" w:space="0" w:color="auto"/>
        <w:right w:val="none" w:sz="0" w:space="0" w:color="auto"/>
      </w:divBdr>
    </w:div>
    <w:div w:id="625622350">
      <w:bodyDiv w:val="1"/>
      <w:marLeft w:val="0"/>
      <w:marRight w:val="0"/>
      <w:marTop w:val="0"/>
      <w:marBottom w:val="0"/>
      <w:divBdr>
        <w:top w:val="none" w:sz="0" w:space="0" w:color="auto"/>
        <w:left w:val="none" w:sz="0" w:space="0" w:color="auto"/>
        <w:bottom w:val="none" w:sz="0" w:space="0" w:color="auto"/>
        <w:right w:val="none" w:sz="0" w:space="0" w:color="auto"/>
      </w:divBdr>
    </w:div>
    <w:div w:id="803888065">
      <w:bodyDiv w:val="1"/>
      <w:marLeft w:val="0"/>
      <w:marRight w:val="0"/>
      <w:marTop w:val="0"/>
      <w:marBottom w:val="0"/>
      <w:divBdr>
        <w:top w:val="none" w:sz="0" w:space="0" w:color="auto"/>
        <w:left w:val="none" w:sz="0" w:space="0" w:color="auto"/>
        <w:bottom w:val="none" w:sz="0" w:space="0" w:color="auto"/>
        <w:right w:val="none" w:sz="0" w:space="0" w:color="auto"/>
      </w:divBdr>
    </w:div>
    <w:div w:id="988898745">
      <w:bodyDiv w:val="1"/>
      <w:marLeft w:val="0"/>
      <w:marRight w:val="0"/>
      <w:marTop w:val="0"/>
      <w:marBottom w:val="0"/>
      <w:divBdr>
        <w:top w:val="none" w:sz="0" w:space="0" w:color="auto"/>
        <w:left w:val="none" w:sz="0" w:space="0" w:color="auto"/>
        <w:bottom w:val="none" w:sz="0" w:space="0" w:color="auto"/>
        <w:right w:val="none" w:sz="0" w:space="0" w:color="auto"/>
      </w:divBdr>
    </w:div>
    <w:div w:id="1310329871">
      <w:bodyDiv w:val="1"/>
      <w:marLeft w:val="0"/>
      <w:marRight w:val="0"/>
      <w:marTop w:val="0"/>
      <w:marBottom w:val="0"/>
      <w:divBdr>
        <w:top w:val="none" w:sz="0" w:space="0" w:color="auto"/>
        <w:left w:val="none" w:sz="0" w:space="0" w:color="auto"/>
        <w:bottom w:val="none" w:sz="0" w:space="0" w:color="auto"/>
        <w:right w:val="none" w:sz="0" w:space="0" w:color="auto"/>
      </w:divBdr>
    </w:div>
    <w:div w:id="1325746974">
      <w:bodyDiv w:val="1"/>
      <w:marLeft w:val="0"/>
      <w:marRight w:val="0"/>
      <w:marTop w:val="0"/>
      <w:marBottom w:val="0"/>
      <w:divBdr>
        <w:top w:val="none" w:sz="0" w:space="0" w:color="auto"/>
        <w:left w:val="none" w:sz="0" w:space="0" w:color="auto"/>
        <w:bottom w:val="none" w:sz="0" w:space="0" w:color="auto"/>
        <w:right w:val="none" w:sz="0" w:space="0" w:color="auto"/>
      </w:divBdr>
    </w:div>
    <w:div w:id="1723475954">
      <w:bodyDiv w:val="1"/>
      <w:marLeft w:val="0"/>
      <w:marRight w:val="0"/>
      <w:marTop w:val="0"/>
      <w:marBottom w:val="0"/>
      <w:divBdr>
        <w:top w:val="none" w:sz="0" w:space="0" w:color="auto"/>
        <w:left w:val="none" w:sz="0" w:space="0" w:color="auto"/>
        <w:bottom w:val="none" w:sz="0" w:space="0" w:color="auto"/>
        <w:right w:val="none" w:sz="0" w:space="0" w:color="auto"/>
      </w:divBdr>
    </w:div>
    <w:div w:id="1926449244">
      <w:bodyDiv w:val="1"/>
      <w:marLeft w:val="0"/>
      <w:marRight w:val="0"/>
      <w:marTop w:val="0"/>
      <w:marBottom w:val="0"/>
      <w:divBdr>
        <w:top w:val="none" w:sz="0" w:space="0" w:color="auto"/>
        <w:left w:val="none" w:sz="0" w:space="0" w:color="auto"/>
        <w:bottom w:val="none" w:sz="0" w:space="0" w:color="auto"/>
        <w:right w:val="none" w:sz="0" w:space="0" w:color="auto"/>
      </w:divBdr>
    </w:div>
    <w:div w:id="207762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p:properties xmlns:p="http://schemas.microsoft.com/office/2006/metadata/properties" xmlns:xsi="http://www.w3.org/2001/XMLSchema-instance" xmlns:pc="http://schemas.microsoft.com/office/infopath/2007/PartnerControls">
  <documentManagement>
    <_activity xmlns="867685aa-17ea-4980-8afa-32776133c2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C16DB87CB4908F4C98B35CBE3ED487DA" ma:contentTypeVersion="11" ma:contentTypeDescription="Create a new document." ma:contentTypeScope="" ma:versionID="623f9145f584ec07197ca78f88c206ea">
  <xsd:schema xmlns:xsd="http://www.w3.org/2001/XMLSchema" xmlns:xs="http://www.w3.org/2001/XMLSchema" xmlns:p="http://schemas.microsoft.com/office/2006/metadata/properties" xmlns:ns3="867685aa-17ea-4980-8afa-32776133c2d3" xmlns:ns4="965db4d0-1fd8-451f-8184-806d1fac70c5" targetNamespace="http://schemas.microsoft.com/office/2006/metadata/properties" ma:root="true" ma:fieldsID="b643dcf2469461b0e9a236207c26675b" ns3:_="" ns4:_="">
    <xsd:import namespace="867685aa-17ea-4980-8afa-32776133c2d3"/>
    <xsd:import namespace="965db4d0-1fd8-451f-8184-806d1fac70c5"/>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7685aa-17ea-4980-8afa-32776133c2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5db4d0-1fd8-451f-8184-806d1fac70c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D8743922-D8DF-4A41-BAB2-60E8606708AB}">
  <ds:schemaRefs>
    <ds:schemaRef ds:uri="http://schemas.microsoft.com/office/2006/metadata/properties"/>
    <ds:schemaRef ds:uri="http://schemas.microsoft.com/office/infopath/2007/PartnerControls"/>
    <ds:schemaRef ds:uri="867685aa-17ea-4980-8afa-32776133c2d3"/>
  </ds:schemaRefs>
</ds:datastoreItem>
</file>

<file path=customXml/itemProps3.xml><?xml version="1.0" encoding="utf-8"?>
<ds:datastoreItem xmlns:ds="http://schemas.openxmlformats.org/officeDocument/2006/customXml" ds:itemID="{7468B01E-2FE6-4562-A7E7-4A1A5376BB86}">
  <ds:schemaRefs>
    <ds:schemaRef ds:uri="http://schemas.microsoft.com/sharepoint/v3/contenttype/forms"/>
  </ds:schemaRefs>
</ds:datastoreItem>
</file>

<file path=customXml/itemProps4.xml><?xml version="1.0" encoding="utf-8"?>
<ds:datastoreItem xmlns:ds="http://schemas.openxmlformats.org/officeDocument/2006/customXml" ds:itemID="{863CDBF4-36A5-094B-9A3A-6246B6027FAE}">
  <ds:schemaRefs>
    <ds:schemaRef ds:uri="http://schemas.openxmlformats.org/officeDocument/2006/bibliography"/>
  </ds:schemaRefs>
</ds:datastoreItem>
</file>

<file path=customXml/itemProps5.xml><?xml version="1.0" encoding="utf-8"?>
<ds:datastoreItem xmlns:ds="http://schemas.openxmlformats.org/officeDocument/2006/customXml" ds:itemID="{5FDE25CF-F747-4201-95AF-64BBF6A93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7685aa-17ea-4980-8afa-32776133c2d3"/>
    <ds:schemaRef ds:uri="965db4d0-1fd8-451f-8184-806d1fac70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1051</Words>
  <Characters>5730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Rocío Alayón Morell</dc:creator>
  <cp:keywords/>
  <cp:lastModifiedBy>Gloria de Jesús Maldonado</cp:lastModifiedBy>
  <cp:revision>2</cp:revision>
  <cp:lastPrinted>2025-06-27T21:29:00Z</cp:lastPrinted>
  <dcterms:created xsi:type="dcterms:W3CDTF">2025-06-27T21:45:00Z</dcterms:created>
  <dcterms:modified xsi:type="dcterms:W3CDTF">2025-06-27T21:45:00Z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0x010100C16DB87CB4908F4C98B35CBE3ED487DA</vt:lpwstr>
  </property>
</Properties>
</file>