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252173E" w:rsidR="001A4A89" w:rsidRPr="0049600B" w:rsidRDefault="00946A0C" w:rsidP="00F14A41">
      <w:pPr>
        <w:jc w:val="center"/>
        <w:rPr>
          <w:rFonts w:ascii="Book Antiqua" w:hAnsi="Book Antiqua"/>
          <w:b/>
          <w:sz w:val="52"/>
          <w:lang w:val="es-PR"/>
        </w:rPr>
      </w:pPr>
      <w:r>
        <w:rPr>
          <w:rFonts w:ascii="Book Antiqua" w:hAnsi="Book Antiqua"/>
          <w:b/>
          <w:sz w:val="52"/>
          <w:lang w:val="es-ES_tradnl"/>
        </w:rPr>
        <w:t xml:space="preserve">R. C. </w:t>
      </w:r>
      <w:r w:rsidR="00A10113">
        <w:rPr>
          <w:rFonts w:ascii="Book Antiqua" w:hAnsi="Book Antiqua"/>
          <w:b/>
          <w:sz w:val="52"/>
          <w:lang w:val="es-ES_tradnl"/>
        </w:rPr>
        <w:t xml:space="preserve">de la C. </w:t>
      </w:r>
      <w:r w:rsidR="00F16C97">
        <w:rPr>
          <w:rFonts w:ascii="Book Antiqua" w:hAnsi="Book Antiqua"/>
          <w:b/>
          <w:sz w:val="52"/>
          <w:lang w:val="es-ES_tradnl"/>
        </w:rPr>
        <w:t>153</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2241F5">
        <w:rPr>
          <w:rFonts w:ascii="Book Antiqua" w:hAnsi="Book Antiqua"/>
          <w:b/>
          <w:sz w:val="28"/>
          <w:lang w:val="es-ES_tradnl"/>
        </w:rPr>
        <w:t>POSITIVO</w:t>
      </w:r>
    </w:p>
    <w:p w14:paraId="7E659FF4" w14:textId="2C651518" w:rsidR="00D71003" w:rsidRPr="00160853" w:rsidRDefault="001C2085"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26</w:t>
      </w:r>
      <w:r w:rsidR="00D71003" w:rsidRPr="00160853">
        <w:rPr>
          <w:rFonts w:ascii="Book Antiqua" w:hAnsi="Book Antiqua"/>
          <w:color w:val="000000" w:themeColor="text1"/>
          <w:sz w:val="22"/>
          <w:szCs w:val="18"/>
          <w:lang w:val="es-PR"/>
        </w:rPr>
        <w:t xml:space="preserve"> DE </w:t>
      </w:r>
      <w:r w:rsidR="002241F5">
        <w:rPr>
          <w:rFonts w:ascii="Book Antiqua" w:hAnsi="Book Antiqua"/>
          <w:color w:val="000000" w:themeColor="text1"/>
          <w:sz w:val="22"/>
          <w:szCs w:val="18"/>
          <w:lang w:val="es-PR"/>
        </w:rPr>
        <w:t xml:space="preserve">FEBRERO </w:t>
      </w:r>
      <w:r w:rsidR="00D71003" w:rsidRPr="00160853">
        <w:rPr>
          <w:rFonts w:ascii="Book Antiqua" w:hAnsi="Book Antiqua"/>
          <w:color w:val="000000" w:themeColor="text1"/>
          <w:sz w:val="22"/>
          <w:szCs w:val="18"/>
          <w:lang w:val="es-PR"/>
        </w:rPr>
        <w:t>DE 202</w:t>
      </w:r>
      <w:r w:rsidR="00847598">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327EC198"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w:t>
      </w:r>
      <w:r w:rsidR="00C573FB">
        <w:rPr>
          <w:rFonts w:ascii="Book Antiqua" w:hAnsi="Book Antiqua"/>
          <w:lang w:val="es-PR"/>
        </w:rPr>
        <w:t xml:space="preserve"> de la Cámara de </w:t>
      </w:r>
      <w:r w:rsidR="00FA14CA">
        <w:rPr>
          <w:rFonts w:ascii="Book Antiqua" w:hAnsi="Book Antiqua"/>
          <w:lang w:val="es-PR"/>
        </w:rPr>
        <w:t>Representantes</w:t>
      </w:r>
      <w:r w:rsidRPr="00F62D1A">
        <w:rPr>
          <w:rFonts w:ascii="Book Antiqua" w:hAnsi="Book Antiqua"/>
          <w:lang w:val="es-PR"/>
        </w:rPr>
        <w:t>, tras un exhaustivo análisis y evaluación, recomienda respetuosamente a este Honorable Cuerpo Legislativo la aprobación de</w:t>
      </w:r>
      <w:r w:rsidR="00946A0C">
        <w:rPr>
          <w:rFonts w:ascii="Book Antiqua" w:hAnsi="Book Antiqua"/>
          <w:lang w:val="es-PR"/>
        </w:rPr>
        <w:t xml:space="preserve"> la Resolución Conjunta </w:t>
      </w:r>
      <w:r w:rsidR="00946A0C" w:rsidRPr="00F62D1A">
        <w:rPr>
          <w:rFonts w:ascii="Book Antiqua" w:hAnsi="Book Antiqua"/>
          <w:lang w:val="es-PR"/>
        </w:rPr>
        <w:t>de</w:t>
      </w:r>
      <w:r w:rsidRPr="00F62D1A">
        <w:rPr>
          <w:rFonts w:ascii="Book Antiqua" w:hAnsi="Book Antiqua"/>
          <w:lang w:val="es-PR"/>
        </w:rPr>
        <w:t xml:space="preserve"> la Cámara </w:t>
      </w:r>
      <w:r w:rsidR="00F16C97">
        <w:rPr>
          <w:rFonts w:ascii="Book Antiqua" w:hAnsi="Book Antiqua"/>
          <w:lang w:val="es-PR"/>
        </w:rPr>
        <w:t>153</w:t>
      </w:r>
      <w:r w:rsidRPr="00F62D1A">
        <w:rPr>
          <w:rFonts w:ascii="Book Antiqua" w:hAnsi="Book Antiqua"/>
          <w:lang w:val="es-PR"/>
        </w:rPr>
        <w:t xml:space="preserve"> (en adelante, </w:t>
      </w:r>
      <w:r w:rsidR="00946A0C">
        <w:rPr>
          <w:rFonts w:ascii="Book Antiqua" w:hAnsi="Book Antiqua"/>
          <w:lang w:val="es-PR"/>
        </w:rPr>
        <w:t xml:space="preserve">R.C. de la C. </w:t>
      </w:r>
      <w:r w:rsidR="00F16C97">
        <w:rPr>
          <w:rFonts w:ascii="Book Antiqua" w:hAnsi="Book Antiqua"/>
          <w:lang w:val="es-PR"/>
        </w:rPr>
        <w:t>153</w:t>
      </w:r>
      <w:r w:rsidRPr="00F62D1A">
        <w:rPr>
          <w:rFonts w:ascii="Book Antiqua" w:hAnsi="Book Antiqua"/>
          <w:lang w:val="es-PR"/>
        </w:rPr>
        <w:t xml:space="preserve">), </w:t>
      </w:r>
      <w:r w:rsidRPr="008C066B">
        <w:rPr>
          <w:rFonts w:ascii="Book Antiqua" w:hAnsi="Book Antiqua"/>
          <w:lang w:val="es-PR"/>
        </w:rPr>
        <w:t xml:space="preserve">mediante el presente Informe Positivo incorporando las enmiendas sugeridas al contenido, que se detallan en el </w:t>
      </w:r>
      <w:proofErr w:type="spellStart"/>
      <w:r w:rsidRPr="008C066B">
        <w:rPr>
          <w:rFonts w:ascii="Book Antiqua" w:hAnsi="Book Antiqua"/>
          <w:lang w:val="es-PR"/>
        </w:rPr>
        <w:t>entirillado</w:t>
      </w:r>
      <w:proofErr w:type="spellEnd"/>
      <w:r w:rsidRPr="008C066B">
        <w:rPr>
          <w:rFonts w:ascii="Book Antiqua" w:hAnsi="Book Antiqua"/>
          <w:lang w:val="es-PR"/>
        </w:rPr>
        <w:t xml:space="preserve"> electrónico que se acompaña.</w:t>
      </w:r>
    </w:p>
    <w:p w14:paraId="49988954" w14:textId="142ED967" w:rsidR="00FD6CB7" w:rsidRPr="00817DB9" w:rsidRDefault="001A4A89" w:rsidP="008C066B">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308EAF43" w:rsidR="00A12741" w:rsidRPr="000E7F87" w:rsidRDefault="00E65CC0" w:rsidP="00946A0C">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w:t>
      </w:r>
      <w:r w:rsidR="00946A0C">
        <w:rPr>
          <w:rFonts w:ascii="Book Antiqua" w:hAnsi="Book Antiqua"/>
          <w:szCs w:val="24"/>
          <w:lang w:val="es-PR"/>
        </w:rPr>
        <w:t>R.C.</w:t>
      </w:r>
      <w:r w:rsidR="004E4E62" w:rsidRPr="004E4E62">
        <w:rPr>
          <w:rFonts w:ascii="Book Antiqua" w:hAnsi="Book Antiqua"/>
          <w:szCs w:val="24"/>
          <w:lang w:val="es-PR"/>
        </w:rPr>
        <w:t xml:space="preserve"> de la C. </w:t>
      </w:r>
      <w:r w:rsidR="00946A0C">
        <w:rPr>
          <w:rFonts w:ascii="Book Antiqua" w:hAnsi="Book Antiqua"/>
          <w:szCs w:val="24"/>
          <w:lang w:val="es-PR"/>
        </w:rPr>
        <w:t>1</w:t>
      </w:r>
      <w:r w:rsidR="00F16C97">
        <w:rPr>
          <w:rFonts w:ascii="Book Antiqua" w:hAnsi="Book Antiqua"/>
          <w:szCs w:val="24"/>
          <w:lang w:val="es-PR"/>
        </w:rPr>
        <w:t>53</w:t>
      </w:r>
      <w:r w:rsidR="00612B20">
        <w:rPr>
          <w:rFonts w:ascii="Book Antiqua" w:hAnsi="Book Antiqua"/>
          <w:szCs w:val="24"/>
          <w:lang w:val="es-PR"/>
        </w:rPr>
        <w:t xml:space="preserve"> presentad</w:t>
      </w:r>
      <w:r w:rsidR="001635E1">
        <w:rPr>
          <w:rFonts w:ascii="Book Antiqua" w:hAnsi="Book Antiqua"/>
          <w:szCs w:val="24"/>
          <w:lang w:val="es-PR"/>
        </w:rPr>
        <w:t>a</w:t>
      </w:r>
      <w:r w:rsidR="00612B20">
        <w:rPr>
          <w:rFonts w:ascii="Book Antiqua" w:hAnsi="Book Antiqua"/>
          <w:szCs w:val="24"/>
          <w:lang w:val="es-PR"/>
        </w:rPr>
        <w:t xml:space="preserve"> por </w:t>
      </w:r>
      <w:r w:rsidR="00946A0C">
        <w:rPr>
          <w:rFonts w:ascii="Book Antiqua" w:hAnsi="Book Antiqua"/>
          <w:szCs w:val="24"/>
          <w:lang w:val="es-PR"/>
        </w:rPr>
        <w:t>l</w:t>
      </w:r>
      <w:r w:rsidR="00F16C97">
        <w:rPr>
          <w:rFonts w:ascii="Book Antiqua" w:hAnsi="Book Antiqua"/>
          <w:szCs w:val="24"/>
          <w:lang w:val="es-PR"/>
        </w:rPr>
        <w:t>a</w:t>
      </w:r>
      <w:r w:rsidR="00612B20">
        <w:rPr>
          <w:rFonts w:ascii="Book Antiqua" w:hAnsi="Book Antiqua"/>
          <w:szCs w:val="24"/>
          <w:lang w:val="es-PR"/>
        </w:rPr>
        <w:t xml:space="preserve"> representant</w:t>
      </w:r>
      <w:r w:rsidR="00946A0C">
        <w:rPr>
          <w:rFonts w:ascii="Book Antiqua" w:hAnsi="Book Antiqua"/>
          <w:szCs w:val="24"/>
          <w:lang w:val="es-PR"/>
        </w:rPr>
        <w:t>e</w:t>
      </w:r>
      <w:r w:rsidR="00F16C97">
        <w:rPr>
          <w:rFonts w:ascii="Book Antiqua" w:hAnsi="Book Antiqua"/>
          <w:szCs w:val="24"/>
          <w:lang w:val="es-PR"/>
        </w:rPr>
        <w:t xml:space="preserve"> Medina Calder</w:t>
      </w:r>
      <w:r w:rsidR="001635E1">
        <w:rPr>
          <w:rFonts w:ascii="Book Antiqua" w:hAnsi="Book Antiqua"/>
          <w:szCs w:val="24"/>
          <w:lang w:val="es-PR"/>
        </w:rPr>
        <w:t>ó</w:t>
      </w:r>
      <w:r w:rsidR="00F16C97">
        <w:rPr>
          <w:rFonts w:ascii="Book Antiqua" w:hAnsi="Book Antiqua"/>
          <w:szCs w:val="24"/>
          <w:lang w:val="es-PR"/>
        </w:rPr>
        <w:t>n,</w:t>
      </w:r>
      <w:r w:rsidR="00625411">
        <w:rPr>
          <w:rFonts w:ascii="Book Antiqua" w:hAnsi="Book Antiqua"/>
          <w:szCs w:val="24"/>
          <w:lang w:val="es-PR"/>
        </w:rPr>
        <w:t xml:space="preserve"> </w:t>
      </w:r>
      <w:r w:rsidR="004167E6">
        <w:rPr>
          <w:rFonts w:ascii="Book Antiqua" w:hAnsi="Book Antiqua"/>
          <w:szCs w:val="24"/>
          <w:lang w:val="es-PR"/>
        </w:rPr>
        <w:t xml:space="preserve">tiene como propósito </w:t>
      </w:r>
      <w:r w:rsidR="00625411" w:rsidRPr="00625411">
        <w:rPr>
          <w:rFonts w:ascii="Book Antiqua" w:hAnsi="Book Antiqua"/>
          <w:szCs w:val="24"/>
          <w:lang w:val="es-PR"/>
        </w:rPr>
        <w:t>ordenar al Comité de Evaluación y Disposición de Bienes Inmuebles, creado por la Ley 26-2017, según enmendada, mejor conocida como “Ley de Cumplimiento con el Plan Fiscal”, evaluar conforme a las disposiciones de la Ley y el reglamento, la transferencia o traspaso de título de la antigua Escuela Elemental Emiliano Figueroa, localizada en la Carretera Estatal PR-187, Km. 8.2, en el Sector Piñones del Barrio Torrecilla Baja, en Loíza, Puerto Rico, al Municipio de Loíza, a los fines de desarrollar proyectos de impacto social y brindar servicios públicos que redunden en el desarrollo y bienestar de las comunidades circundantes;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53B3C42" w14:textId="77777777" w:rsidR="00626B56" w:rsidRPr="00626B56" w:rsidRDefault="00626B56" w:rsidP="00626B56">
      <w:pPr>
        <w:spacing w:before="100" w:beforeAutospacing="1" w:after="100" w:afterAutospacing="1"/>
        <w:ind w:firstLine="720"/>
        <w:jc w:val="both"/>
        <w:rPr>
          <w:rFonts w:ascii="Book Antiqua" w:hAnsi="Book Antiqua"/>
          <w:szCs w:val="24"/>
          <w:lang w:val="es-PR"/>
        </w:rPr>
      </w:pPr>
      <w:r w:rsidRPr="00626B56">
        <w:rPr>
          <w:rFonts w:ascii="Book Antiqua" w:hAnsi="Book Antiqua"/>
          <w:szCs w:val="24"/>
          <w:lang w:val="es-PR"/>
        </w:rPr>
        <w:t xml:space="preserve">La Exposición de Motivos de la pieza legislativa destaca el cierre de escuelas públicas por parte del Departamento de Educación, reconociendo la necesidad de rescatar estos planteles para destinarlos a iniciativas que beneficien a la comunidad. La </w:t>
      </w:r>
      <w:r w:rsidRPr="00626B56">
        <w:rPr>
          <w:rFonts w:ascii="Book Antiqua" w:hAnsi="Book Antiqua"/>
          <w:szCs w:val="24"/>
          <w:lang w:val="es-PR"/>
        </w:rPr>
        <w:lastRenderedPageBreak/>
        <w:t>antigua Escuela Elemental Emiliano Figueroa, ubicada en Loíza y cerrada en 2017, constituye un inmueble que el Municipio de Loíza busca obtener para evitar su deterioro y utilizarlo en beneficio de los habitantes locales. La Ley 26-2017, según enmendada, establece la política pública para la disposición de propiedades estatales en desuso, incluyendo la posibilidad de transferir inmuebles a municipios y entidades sin fines de lucro para fines sociales.</w:t>
      </w:r>
    </w:p>
    <w:p w14:paraId="2C839967" w14:textId="77777777" w:rsidR="00626B56" w:rsidRPr="00626B56" w:rsidRDefault="00626B56" w:rsidP="00626B56">
      <w:pPr>
        <w:spacing w:before="100" w:beforeAutospacing="1" w:after="100" w:afterAutospacing="1"/>
        <w:ind w:firstLine="720"/>
        <w:jc w:val="both"/>
        <w:rPr>
          <w:rFonts w:ascii="Book Antiqua" w:hAnsi="Book Antiqua"/>
          <w:szCs w:val="24"/>
          <w:lang w:val="es-PR"/>
        </w:rPr>
      </w:pPr>
      <w:r w:rsidRPr="00626B56">
        <w:rPr>
          <w:rFonts w:ascii="Book Antiqua" w:hAnsi="Book Antiqua"/>
          <w:szCs w:val="24"/>
          <w:lang w:val="es-PR"/>
        </w:rPr>
        <w:t>En virtud de lo anterior, esta Asamblea Legislativa dispone que el Comité de Evaluación y Disposición de Propiedades Inmuebles evalúe, conforme a la Ley y el reglamento vigente, la transferencia del título de la mencionada escuela al Municipio de Loíza, con el propósito de garantizar la continuidad de los servicios públicos de manera accesible a la comunidad, dentro de un término improrrogable de sesenta (60) días laborables a partir de la aprobación de la medida.</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50244691" w:rsidR="000871B0" w:rsidRDefault="004E4E62" w:rsidP="004E77B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65CC0">
        <w:rPr>
          <w:rFonts w:ascii="Book Antiqua" w:hAnsi="Book Antiqua"/>
          <w:szCs w:val="24"/>
          <w:lang w:val="es-PR"/>
        </w:rPr>
        <w:tab/>
      </w:r>
      <w:r>
        <w:rPr>
          <w:rFonts w:ascii="Book Antiqua" w:hAnsi="Book Antiqua"/>
          <w:szCs w:val="24"/>
          <w:lang w:val="es-PR"/>
        </w:rPr>
        <w:t xml:space="preserve"> </w:t>
      </w:r>
      <w:r w:rsidR="00946A0C">
        <w:rPr>
          <w:rFonts w:ascii="Book Antiqua" w:hAnsi="Book Antiqua"/>
          <w:szCs w:val="24"/>
          <w:lang w:val="es-PR"/>
        </w:rPr>
        <w:t>La R.C. de la C. 1</w:t>
      </w:r>
      <w:r w:rsidR="00103C92">
        <w:rPr>
          <w:rFonts w:ascii="Book Antiqua" w:hAnsi="Book Antiqua"/>
          <w:szCs w:val="24"/>
          <w:lang w:val="es-PR"/>
        </w:rPr>
        <w:t>53</w:t>
      </w:r>
      <w:r w:rsidR="00946A0C">
        <w:rPr>
          <w:rFonts w:ascii="Book Antiqua" w:hAnsi="Book Antiqua"/>
          <w:szCs w:val="24"/>
          <w:lang w:val="es-PR"/>
        </w:rPr>
        <w:t xml:space="preserve"> </w:t>
      </w:r>
      <w:r w:rsidR="00B7320F" w:rsidRPr="00EC473E">
        <w:rPr>
          <w:rFonts w:ascii="Book Antiqua" w:hAnsi="Book Antiqua"/>
          <w:szCs w:val="24"/>
          <w:lang w:val="es-PR"/>
        </w:rPr>
        <w:t>fue radicad</w:t>
      </w:r>
      <w:r w:rsidR="00C573FB">
        <w:rPr>
          <w:rFonts w:ascii="Book Antiqua" w:hAnsi="Book Antiqua"/>
          <w:szCs w:val="24"/>
          <w:lang w:val="es-PR"/>
        </w:rPr>
        <w:t>a</w:t>
      </w:r>
      <w:r w:rsidR="00B7320F" w:rsidRPr="00EC473E">
        <w:rPr>
          <w:rFonts w:ascii="Book Antiqua" w:hAnsi="Book Antiqua"/>
          <w:szCs w:val="24"/>
          <w:lang w:val="es-PR"/>
        </w:rPr>
        <w:t xml:space="preserve"> el </w:t>
      </w:r>
      <w:r w:rsidR="00946A0C">
        <w:rPr>
          <w:rFonts w:ascii="Book Antiqua" w:hAnsi="Book Antiqua"/>
          <w:szCs w:val="24"/>
          <w:lang w:val="es-PR"/>
        </w:rPr>
        <w:t>1</w:t>
      </w:r>
      <w:r w:rsidR="00103C92">
        <w:rPr>
          <w:rFonts w:ascii="Book Antiqua" w:hAnsi="Book Antiqua"/>
          <w:szCs w:val="24"/>
          <w:lang w:val="es-PR"/>
        </w:rPr>
        <w:t xml:space="preserve">3 de junio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5 y referid</w:t>
      </w:r>
      <w:r w:rsidR="00C573FB">
        <w:rPr>
          <w:rFonts w:ascii="Book Antiqua" w:hAnsi="Book Antiqua"/>
          <w:szCs w:val="24"/>
          <w:lang w:val="es-PR"/>
        </w:rPr>
        <w:t>a</w:t>
      </w:r>
      <w:r w:rsidR="00E8764A" w:rsidRPr="00EC473E">
        <w:rPr>
          <w:rFonts w:ascii="Book Antiqua" w:hAnsi="Book Antiqua"/>
          <w:szCs w:val="24"/>
          <w:lang w:val="es-PR"/>
        </w:rPr>
        <w:t xml:space="preserve"> a la Comisión de Educación el </w:t>
      </w:r>
      <w:r w:rsidR="00103C92">
        <w:rPr>
          <w:rFonts w:ascii="Book Antiqua" w:hAnsi="Book Antiqua"/>
          <w:szCs w:val="24"/>
          <w:lang w:val="es-PR"/>
        </w:rPr>
        <w:t>17</w:t>
      </w:r>
      <w:r w:rsidR="007C5056">
        <w:rPr>
          <w:rFonts w:ascii="Book Antiqua" w:hAnsi="Book Antiqua"/>
          <w:szCs w:val="24"/>
          <w:lang w:val="es-PR"/>
        </w:rPr>
        <w:t xml:space="preserve"> de </w:t>
      </w:r>
      <w:r w:rsidR="00103C92">
        <w:rPr>
          <w:rFonts w:ascii="Book Antiqua" w:hAnsi="Book Antiqua"/>
          <w:szCs w:val="24"/>
          <w:lang w:val="es-PR"/>
        </w:rPr>
        <w:t>juni</w:t>
      </w:r>
      <w:r w:rsidR="00E65CC0">
        <w:rPr>
          <w:rFonts w:ascii="Book Antiqua" w:hAnsi="Book Antiqua"/>
          <w:szCs w:val="24"/>
          <w:lang w:val="es-PR"/>
        </w:rPr>
        <w:t>o</w:t>
      </w:r>
      <w:r w:rsidR="00847598">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C573FB" w:rsidRPr="00934129">
        <w:rPr>
          <w:rFonts w:ascii="Book Antiqua" w:hAnsi="Book Antiqua"/>
          <w:lang w:val="es-PR"/>
        </w:rPr>
        <w:t xml:space="preserve">Para la evaluación y análisis de la referida medida, se llevó a cabo una Vista Pública el pasado 4 de febrero y </w:t>
      </w:r>
      <w:r w:rsidR="0001561B" w:rsidRPr="0001561B">
        <w:rPr>
          <w:rFonts w:ascii="Book Antiqua" w:hAnsi="Book Antiqua"/>
          <w:szCs w:val="24"/>
          <w:lang w:val="es-PR"/>
        </w:rPr>
        <w:t xml:space="preserve">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847598">
        <w:rPr>
          <w:rFonts w:ascii="Book Antiqua" w:hAnsi="Book Antiqua"/>
          <w:szCs w:val="24"/>
          <w:lang w:val="es-PR"/>
        </w:rPr>
        <w:t xml:space="preserve"> Departamento de Educación de Puerto Rico</w:t>
      </w:r>
      <w:r w:rsidR="00103C92">
        <w:rPr>
          <w:rFonts w:ascii="Book Antiqua" w:hAnsi="Book Antiqua"/>
          <w:szCs w:val="24"/>
          <w:lang w:val="es-PR"/>
        </w:rPr>
        <w:t>, Municipio de Loiza, y e</w:t>
      </w:r>
      <w:r w:rsidR="00847598">
        <w:rPr>
          <w:rFonts w:ascii="Book Antiqua" w:hAnsi="Book Antiqua"/>
          <w:szCs w:val="24"/>
          <w:lang w:val="es-PR"/>
        </w:rPr>
        <w:t>l Comité de Evaluación y Disposición de Bienes Inmuebles</w:t>
      </w:r>
      <w:r w:rsidR="00103C92">
        <w:rPr>
          <w:rFonts w:ascii="Book Antiqua" w:hAnsi="Book Antiqua"/>
          <w:szCs w:val="24"/>
          <w:lang w:val="es-PR"/>
        </w:rPr>
        <w:t>.</w:t>
      </w:r>
    </w:p>
    <w:p w14:paraId="4A51E001" w14:textId="25B841AF" w:rsidR="00BA2D29" w:rsidRDefault="000871B0" w:rsidP="004E4E62">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65CC0">
        <w:rPr>
          <w:rFonts w:ascii="Book Antiqua" w:hAnsi="Book Antiqua"/>
          <w:szCs w:val="24"/>
          <w:lang w:val="es-PR"/>
        </w:rPr>
        <w:tab/>
      </w: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r w:rsidR="00F7721B">
        <w:rPr>
          <w:rFonts w:ascii="Book Antiqua" w:hAnsi="Book Antiqua"/>
          <w:szCs w:val="24"/>
          <w:lang w:val="es-PR"/>
        </w:rPr>
        <w:t xml:space="preserve">. </w:t>
      </w:r>
      <w:r w:rsidR="00B7320F" w:rsidRPr="0001561B">
        <w:rPr>
          <w:rFonts w:ascii="Book Antiqua" w:hAnsi="Book Antiqua"/>
          <w:szCs w:val="24"/>
          <w:lang w:val="es-PR"/>
        </w:rPr>
        <w:t xml:space="preserve">A continuación, se presenta un resumen detallado de los comentarios proporcionados por </w:t>
      </w:r>
      <w:r w:rsidRPr="0001561B">
        <w:rPr>
          <w:rFonts w:ascii="Book Antiqua" w:hAnsi="Book Antiqua"/>
          <w:szCs w:val="24"/>
          <w:lang w:val="es-PR"/>
        </w:rPr>
        <w:t>la</w:t>
      </w:r>
      <w:r w:rsidR="002241F5">
        <w:rPr>
          <w:rFonts w:ascii="Book Antiqua" w:hAnsi="Book Antiqua"/>
          <w:szCs w:val="24"/>
          <w:lang w:val="es-PR"/>
        </w:rPr>
        <w:t>s</w:t>
      </w:r>
      <w:r w:rsidR="00776955">
        <w:rPr>
          <w:rFonts w:ascii="Book Antiqua" w:hAnsi="Book Antiqua"/>
          <w:szCs w:val="24"/>
          <w:lang w:val="es-PR"/>
        </w:rPr>
        <w:t xml:space="preserve"> </w:t>
      </w:r>
      <w:r w:rsidRPr="0001561B">
        <w:rPr>
          <w:rFonts w:ascii="Book Antiqua" w:hAnsi="Book Antiqua"/>
          <w:szCs w:val="24"/>
          <w:lang w:val="es-PR"/>
        </w:rPr>
        <w:t>entidad</w:t>
      </w:r>
      <w:r w:rsidR="002241F5">
        <w:rPr>
          <w:rFonts w:ascii="Book Antiqua" w:hAnsi="Book Antiqua"/>
          <w:szCs w:val="24"/>
          <w:lang w:val="es-PR"/>
        </w:rPr>
        <w:t xml:space="preserve">es </w:t>
      </w:r>
      <w:r w:rsidRPr="0001561B">
        <w:rPr>
          <w:rFonts w:ascii="Book Antiqua" w:hAnsi="Book Antiqua"/>
          <w:szCs w:val="24"/>
          <w:lang w:val="es-PR"/>
        </w:rPr>
        <w:t>gubernamental</w:t>
      </w:r>
      <w:r w:rsidR="002241F5">
        <w:rPr>
          <w:rFonts w:ascii="Book Antiqua" w:hAnsi="Book Antiqua"/>
          <w:szCs w:val="24"/>
          <w:lang w:val="es-PR"/>
        </w:rPr>
        <w:t xml:space="preserve">es </w:t>
      </w:r>
      <w:r w:rsidRPr="0001561B">
        <w:rPr>
          <w:rFonts w:ascii="Book Antiqua" w:hAnsi="Book Antiqua"/>
          <w:szCs w:val="24"/>
          <w:lang w:val="es-PR"/>
        </w:rPr>
        <w:t>antes mencionada</w:t>
      </w:r>
      <w:r w:rsidR="002241F5">
        <w:rPr>
          <w:rFonts w:ascii="Book Antiqua" w:hAnsi="Book Antiqua"/>
          <w:szCs w:val="24"/>
          <w:lang w:val="es-PR"/>
        </w:rPr>
        <w:t>s</w:t>
      </w:r>
      <w:r w:rsidR="000E3D6D">
        <w:rPr>
          <w:rFonts w:ascii="Book Antiqua" w:hAnsi="Book Antiqua"/>
          <w:szCs w:val="24"/>
          <w:lang w:val="es-PR"/>
        </w:rPr>
        <w:t>:</w:t>
      </w:r>
    </w:p>
    <w:p w14:paraId="1FEA7847" w14:textId="7DA55B7B" w:rsidR="00C455B0" w:rsidRPr="00C455B0" w:rsidRDefault="00C455B0" w:rsidP="00C455B0">
      <w:pPr>
        <w:spacing w:before="100" w:beforeAutospacing="1" w:after="100" w:afterAutospacing="1"/>
        <w:jc w:val="center"/>
        <w:rPr>
          <w:rFonts w:ascii="Book Antiqua" w:hAnsi="Book Antiqua"/>
          <w:b/>
          <w:bCs/>
          <w:szCs w:val="24"/>
          <w:lang w:val="es-PR"/>
        </w:rPr>
      </w:pPr>
      <w:r w:rsidRPr="00C455B0">
        <w:rPr>
          <w:rFonts w:ascii="Book Antiqua" w:hAnsi="Book Antiqua"/>
          <w:b/>
          <w:bCs/>
          <w:szCs w:val="24"/>
          <w:lang w:val="es-PR"/>
        </w:rPr>
        <w:t>DEPARTAMENTO DE EDUCACI</w:t>
      </w:r>
      <w:r w:rsidR="0087505B" w:rsidRPr="0087505B">
        <w:rPr>
          <w:rFonts w:ascii="Book Antiqua" w:hAnsi="Book Antiqua"/>
          <w:b/>
          <w:bCs/>
          <w:szCs w:val="24"/>
          <w:lang w:val="es-PR"/>
        </w:rPr>
        <w:t>Ó</w:t>
      </w:r>
      <w:r w:rsidRPr="00C455B0">
        <w:rPr>
          <w:rFonts w:ascii="Book Antiqua" w:hAnsi="Book Antiqua"/>
          <w:b/>
          <w:bCs/>
          <w:szCs w:val="24"/>
          <w:lang w:val="es-PR"/>
        </w:rPr>
        <w:t>N</w:t>
      </w:r>
      <w:r w:rsidR="00F62D1A">
        <w:rPr>
          <w:rFonts w:ascii="Book Antiqua" w:hAnsi="Book Antiqua"/>
          <w:b/>
          <w:bCs/>
          <w:szCs w:val="24"/>
          <w:lang w:val="es-PR"/>
        </w:rPr>
        <w:t xml:space="preserve"> DE PUERTO RICO</w:t>
      </w:r>
    </w:p>
    <w:p w14:paraId="2AF5A03C" w14:textId="1F865615" w:rsidR="00C573FB" w:rsidRDefault="00C573FB" w:rsidP="00C573FB">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t xml:space="preserve">El Departamento de Educación de Puerto Rico (en adelante, DEPR), representado por su </w:t>
      </w:r>
      <w:proofErr w:type="gramStart"/>
      <w:r w:rsidRPr="00C573FB">
        <w:rPr>
          <w:rFonts w:ascii="Book Antiqua" w:hAnsi="Book Antiqua"/>
          <w:szCs w:val="24"/>
          <w:lang w:val="es-PR"/>
        </w:rPr>
        <w:t>Secretario</w:t>
      </w:r>
      <w:proofErr w:type="gramEnd"/>
      <w:r w:rsidRPr="00C573FB">
        <w:rPr>
          <w:rFonts w:ascii="Book Antiqua" w:hAnsi="Book Antiqua"/>
          <w:szCs w:val="24"/>
          <w:lang w:val="es-PR"/>
        </w:rPr>
        <w:t>, Lcdo. Eliezer Ramos Par</w:t>
      </w:r>
      <w:r>
        <w:rPr>
          <w:rFonts w:ascii="Book Antiqua" w:hAnsi="Book Antiqua"/>
          <w:szCs w:val="24"/>
          <w:lang w:val="es-PR"/>
        </w:rPr>
        <w:t>é</w:t>
      </w:r>
      <w:r w:rsidRPr="00C573FB">
        <w:rPr>
          <w:rFonts w:ascii="Book Antiqua" w:hAnsi="Book Antiqua"/>
          <w:szCs w:val="24"/>
          <w:lang w:val="es-PR"/>
        </w:rPr>
        <w:t>s, emitió comentarios sobre la R.C. de la C. 153.</w:t>
      </w:r>
    </w:p>
    <w:p w14:paraId="40D05A16" w14:textId="51F479E8" w:rsidR="00C573FB" w:rsidRPr="00C573FB" w:rsidRDefault="00C573FB" w:rsidP="00C573FB">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t>El DEPR señala que el Comité de Evaluación y Disposición de Bienes Inmuebles cuenta con pleno conocimiento de los protocolos para la evaluación y tasación de propiedades en desuso, y está facultado por ley para realizar transacciones relacionadas con la titularidad de dichos bienes. Asimismo, indica que el Inventario Oficial de Estructuras en Desuso es gestionado por la Oficina Asesora de la Administración de Propiedades, adscrita al Departamento de Transportación y Obras Públicas (en adelante, DTOP), la cual ostenta la titularidad de los planteles escolares cerrados, terrenos y otras propiedades originalmente pertenecientes al DEPR. Esta oficina dispone de personal técnico especializado, incluyendo agrimensores y personal administrativo, encargado de realizar inspecciones, documentar las condiciones físicas de las estructuras y emitir valoraciones monetarias.</w:t>
      </w:r>
    </w:p>
    <w:p w14:paraId="141CC660" w14:textId="77777777" w:rsidR="00C573FB" w:rsidRPr="00C573FB" w:rsidRDefault="00C573FB" w:rsidP="00C573FB">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lastRenderedPageBreak/>
        <w:t>En relación con la R.C. de la C. 153 sobre la antigua Escuela Emiliano Figueroa en Loíza, el DEPR informa que, según sus registros, se formalizó un contrato de arrendamiento por veinte (20) años entre el Municipio de Loíza y el Departamento de la Vivienda, con la correspondiente autorización del Comité de Evaluación y Disposición de Bienes Inmuebles. Se enfatiza la necesidad de validar formalmente esta información con las entidades involucradas, a fin de confirmar la titularidad del inmueble y prevenir duplicidades o conflictos administrativos.</w:t>
      </w:r>
    </w:p>
    <w:p w14:paraId="786EE423" w14:textId="094C7C41" w:rsidR="00103C92" w:rsidRDefault="00103C92" w:rsidP="00103C92">
      <w:pPr>
        <w:spacing w:before="100" w:beforeAutospacing="1" w:after="100" w:afterAutospacing="1"/>
        <w:ind w:firstLine="720"/>
        <w:jc w:val="center"/>
        <w:rPr>
          <w:rFonts w:ascii="Book Antiqua" w:hAnsi="Book Antiqua"/>
          <w:b/>
          <w:bCs/>
          <w:szCs w:val="24"/>
          <w:lang w:val="es-PR"/>
        </w:rPr>
      </w:pPr>
      <w:r w:rsidRPr="00103C92">
        <w:rPr>
          <w:rFonts w:ascii="Book Antiqua" w:hAnsi="Book Antiqua"/>
          <w:b/>
          <w:bCs/>
          <w:szCs w:val="24"/>
          <w:lang w:val="es-PR"/>
        </w:rPr>
        <w:t>MUNICIPIO DE LOIZA</w:t>
      </w:r>
    </w:p>
    <w:p w14:paraId="1744BC5C" w14:textId="4E87ED63" w:rsidR="00462AD5" w:rsidRDefault="00C573FB" w:rsidP="00674E8F">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t>El Municipio de Loíza</w:t>
      </w:r>
      <w:r w:rsidR="00462AD5">
        <w:rPr>
          <w:rFonts w:ascii="Book Antiqua" w:hAnsi="Book Antiqua"/>
          <w:szCs w:val="24"/>
          <w:lang w:val="es-PR"/>
        </w:rPr>
        <w:t xml:space="preserve"> (en adelante, El Municipio)</w:t>
      </w:r>
      <w:r w:rsidRPr="00C573FB">
        <w:rPr>
          <w:rFonts w:ascii="Book Antiqua" w:hAnsi="Book Antiqua"/>
          <w:szCs w:val="24"/>
          <w:lang w:val="es-PR"/>
        </w:rPr>
        <w:t xml:space="preserve">, representado por su Honorable </w:t>
      </w:r>
      <w:proofErr w:type="gramStart"/>
      <w:r w:rsidRPr="00C573FB">
        <w:rPr>
          <w:rFonts w:ascii="Book Antiqua" w:hAnsi="Book Antiqua"/>
          <w:szCs w:val="24"/>
          <w:lang w:val="es-PR"/>
        </w:rPr>
        <w:t>Alcaldesa</w:t>
      </w:r>
      <w:proofErr w:type="gramEnd"/>
      <w:r w:rsidRPr="00C573FB">
        <w:rPr>
          <w:rFonts w:ascii="Book Antiqua" w:hAnsi="Book Antiqua"/>
          <w:szCs w:val="24"/>
          <w:lang w:val="es-PR"/>
        </w:rPr>
        <w:t>, Julia María Nazario Fuentes, emitió comentarios acerca de la R.C. de la C. 153.</w:t>
      </w:r>
      <w:r>
        <w:rPr>
          <w:rFonts w:ascii="Book Antiqua" w:hAnsi="Book Antiqua"/>
          <w:szCs w:val="24"/>
          <w:lang w:val="es-PR"/>
        </w:rPr>
        <w:t xml:space="preserve"> </w:t>
      </w:r>
    </w:p>
    <w:p w14:paraId="0882F736" w14:textId="1B6E36A1" w:rsidR="00C573FB" w:rsidRPr="00FA14CA" w:rsidRDefault="00462AD5" w:rsidP="00462AD5">
      <w:pPr>
        <w:spacing w:before="100" w:beforeAutospacing="1" w:after="100" w:afterAutospacing="1"/>
        <w:ind w:firstLine="720"/>
        <w:jc w:val="both"/>
        <w:rPr>
          <w:rFonts w:ascii="Book Antiqua" w:hAnsi="Book Antiqua"/>
          <w:szCs w:val="24"/>
          <w:lang w:val="es-PR"/>
        </w:rPr>
      </w:pPr>
      <w:r w:rsidRPr="00462AD5">
        <w:rPr>
          <w:rFonts w:ascii="Book Antiqua" w:hAnsi="Book Antiqua"/>
          <w:szCs w:val="24"/>
          <w:lang w:val="es-PR"/>
        </w:rPr>
        <w:t>El Municipio respalda</w:t>
      </w:r>
      <w:r w:rsidR="00C573FB" w:rsidRPr="00C573FB">
        <w:rPr>
          <w:rFonts w:ascii="Book Antiqua" w:hAnsi="Book Antiqua"/>
          <w:szCs w:val="24"/>
          <w:lang w:val="es-PR"/>
        </w:rPr>
        <w:t xml:space="preserve"> plenamente la política pública contenida en la R.C. de la C. 153, favoreciendo la transferencia del inmueble de la antigua Escuela Emiliano Figueroa, conforme a la Ley 26-2017, su reglamentación y las condiciones restrictivas establecidas en la Resolución. Esta postura se fundamenta en: (i) el reconocimiento de los municipios como la entidad gubernamental más cercana a la ciudadanía; (</w:t>
      </w:r>
      <w:proofErr w:type="spellStart"/>
      <w:r w:rsidR="00C573FB" w:rsidRPr="00C573FB">
        <w:rPr>
          <w:rFonts w:ascii="Book Antiqua" w:hAnsi="Book Antiqua"/>
          <w:szCs w:val="24"/>
          <w:lang w:val="es-PR"/>
        </w:rPr>
        <w:t>ii</w:t>
      </w:r>
      <w:proofErr w:type="spellEnd"/>
      <w:r w:rsidR="00C573FB" w:rsidRPr="00C573FB">
        <w:rPr>
          <w:rFonts w:ascii="Book Antiqua" w:hAnsi="Book Antiqua"/>
          <w:szCs w:val="24"/>
          <w:lang w:val="es-PR"/>
        </w:rPr>
        <w:t>) la necesidad de rescatar inmuebles en desuso para atender necesidades sociales reales; y (</w:t>
      </w:r>
      <w:proofErr w:type="spellStart"/>
      <w:r w:rsidR="00C573FB" w:rsidRPr="00C573FB">
        <w:rPr>
          <w:rFonts w:ascii="Book Antiqua" w:hAnsi="Book Antiqua"/>
          <w:szCs w:val="24"/>
          <w:lang w:val="es-PR"/>
        </w:rPr>
        <w:t>iii</w:t>
      </w:r>
      <w:proofErr w:type="spellEnd"/>
      <w:r w:rsidR="00C573FB" w:rsidRPr="00C573FB">
        <w:rPr>
          <w:rFonts w:ascii="Book Antiqua" w:hAnsi="Book Antiqua"/>
          <w:szCs w:val="24"/>
          <w:lang w:val="es-PR"/>
        </w:rPr>
        <w:t>) la conveniencia de utilizar mecanismos distintos a la venta cuando el fin es eminentemente social y comunitario.</w:t>
      </w:r>
    </w:p>
    <w:p w14:paraId="235289FE" w14:textId="77777777" w:rsidR="00C573FB" w:rsidRPr="00C573FB" w:rsidRDefault="00C573FB" w:rsidP="00674E8F">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t>Se destaca que el plantel ya cumple una función social mediante un Acuerdo de Colaboración con la organización sin fines de lucro Piñones Aprende y Emprende (PAYE), que ofrece programas educativos y recreativos a niñas, niños y jóvenes del sector Piñones, bajo supervisión municipal y cumpliendo obligaciones de mantenimiento, transparencia y control institucional. Asimismo, el Municipio coordina con agencias estatales para la custodia y uso del inmueble mientras se completa el proceso de transferencia, evidenciando capacidad administrativa, técnica y arraigo comunitario.</w:t>
      </w:r>
    </w:p>
    <w:p w14:paraId="308491AB" w14:textId="77777777" w:rsidR="00C573FB" w:rsidRPr="00C573FB" w:rsidRDefault="00C573FB" w:rsidP="0075743A">
      <w:pPr>
        <w:spacing w:before="100" w:beforeAutospacing="1" w:after="100" w:afterAutospacing="1"/>
        <w:ind w:firstLine="720"/>
        <w:jc w:val="both"/>
        <w:rPr>
          <w:rFonts w:ascii="Book Antiqua" w:hAnsi="Book Antiqua"/>
          <w:szCs w:val="24"/>
          <w:lang w:val="es-PR"/>
        </w:rPr>
      </w:pPr>
      <w:r w:rsidRPr="00C573FB">
        <w:rPr>
          <w:rFonts w:ascii="Book Antiqua" w:hAnsi="Book Antiqua"/>
          <w:szCs w:val="24"/>
          <w:lang w:val="es-PR"/>
        </w:rPr>
        <w:t>El Municipio de Loíza se compromete a cumplir las condiciones de la Resolución: uso exclusivo para fines públicos y sociales; conservación y mantenimiento de la propiedad; respeto a la cláusula de reversión en caso de incumplimiento; y cumplimiento con regulaciones federales y locales. La ponencia subraya la experiencia administrativa del Municipio y su capacidad para gestionar proyectos comunitarios y fondos estatales o federales.</w:t>
      </w:r>
    </w:p>
    <w:p w14:paraId="65225194" w14:textId="407B3828" w:rsidR="00C455B0" w:rsidRDefault="00C455B0" w:rsidP="00847598">
      <w:pPr>
        <w:spacing w:before="100" w:beforeAutospacing="1" w:after="100" w:afterAutospacing="1"/>
        <w:jc w:val="both"/>
        <w:rPr>
          <w:rFonts w:ascii="Book Antiqua" w:hAnsi="Book Antiqua"/>
          <w:b/>
          <w:bCs/>
          <w:szCs w:val="24"/>
          <w:lang w:val="es-PR"/>
        </w:rPr>
      </w:pPr>
      <w:r>
        <w:rPr>
          <w:rFonts w:ascii="Book Antiqua" w:hAnsi="Book Antiqua"/>
          <w:szCs w:val="24"/>
          <w:lang w:val="es-PR"/>
        </w:rPr>
        <w:tab/>
      </w:r>
      <w:r w:rsidR="00847598" w:rsidRPr="00847598">
        <w:rPr>
          <w:rFonts w:ascii="Book Antiqua" w:hAnsi="Book Antiqua"/>
          <w:b/>
          <w:bCs/>
          <w:szCs w:val="24"/>
          <w:lang w:val="es-PR"/>
        </w:rPr>
        <w:t>COMITÉ DE EVALUACION Y DISPOSICION DE BIENES INMUEBLES</w:t>
      </w:r>
    </w:p>
    <w:p w14:paraId="2592E2DD" w14:textId="77777777" w:rsidR="0075743A" w:rsidRDefault="00462AD5" w:rsidP="0075743A">
      <w:pPr>
        <w:spacing w:before="100" w:beforeAutospacing="1" w:after="100" w:afterAutospacing="1"/>
        <w:ind w:firstLine="720"/>
        <w:jc w:val="both"/>
        <w:rPr>
          <w:rFonts w:ascii="Book Antiqua" w:hAnsi="Book Antiqua"/>
          <w:szCs w:val="24"/>
          <w:lang w:val="es-PR"/>
        </w:rPr>
      </w:pPr>
      <w:r w:rsidRPr="00462AD5">
        <w:rPr>
          <w:rFonts w:ascii="Book Antiqua" w:hAnsi="Book Antiqua"/>
          <w:szCs w:val="24"/>
          <w:lang w:val="es-PR"/>
        </w:rPr>
        <w:t xml:space="preserve">El Comité de Evaluación y Disposición de Bienes Inmuebles (en adelante, CEDBI), representado por su </w:t>
      </w:r>
      <w:proofErr w:type="gramStart"/>
      <w:r w:rsidRPr="00462AD5">
        <w:rPr>
          <w:rFonts w:ascii="Book Antiqua" w:hAnsi="Book Antiqua"/>
          <w:szCs w:val="24"/>
          <w:lang w:val="es-PR"/>
        </w:rPr>
        <w:t>Directora Ejecutiva</w:t>
      </w:r>
      <w:proofErr w:type="gramEnd"/>
      <w:r w:rsidRPr="00462AD5">
        <w:rPr>
          <w:rFonts w:ascii="Book Antiqua" w:hAnsi="Book Antiqua"/>
          <w:szCs w:val="24"/>
          <w:lang w:val="es-PR"/>
        </w:rPr>
        <w:t>, Ing. Sylvette M. Vélez Conde, emitió comentarios sobre la R.C. de la C. 153.</w:t>
      </w:r>
    </w:p>
    <w:p w14:paraId="0C274526" w14:textId="77777777" w:rsidR="0075743A" w:rsidRDefault="00462AD5" w:rsidP="0075743A">
      <w:pPr>
        <w:spacing w:before="100" w:beforeAutospacing="1" w:after="100" w:afterAutospacing="1"/>
        <w:ind w:firstLine="720"/>
        <w:jc w:val="both"/>
        <w:rPr>
          <w:rFonts w:ascii="Book Antiqua" w:hAnsi="Book Antiqua"/>
          <w:szCs w:val="24"/>
          <w:lang w:val="es-PR"/>
        </w:rPr>
      </w:pPr>
      <w:r w:rsidRPr="00462AD5">
        <w:rPr>
          <w:rFonts w:ascii="Book Antiqua" w:hAnsi="Book Antiqua"/>
          <w:szCs w:val="24"/>
          <w:lang w:val="es-PR"/>
        </w:rPr>
        <w:t xml:space="preserve">En relación con la Escuela Emiliano Figueroa en Loíza, el CEDBI entiende que la medida contemplada en la R.C. de la C. 153 ya ha sido atendida, dado que existe un arrendamiento vigente por veinte (20) años, con duración hasta el año 2043, formalizado </w:t>
      </w:r>
      <w:r w:rsidRPr="00462AD5">
        <w:rPr>
          <w:rFonts w:ascii="Book Antiqua" w:hAnsi="Book Antiqua"/>
          <w:szCs w:val="24"/>
          <w:lang w:val="es-PR"/>
        </w:rPr>
        <w:lastRenderedPageBreak/>
        <w:t>mediante escritura en 2023. Si bien la aprobación de la resolución permitiría manejar la propiedad conforme a la ley, se considera que el objetivo principal ya ha sido cumplido.</w:t>
      </w:r>
    </w:p>
    <w:p w14:paraId="6FFA2025" w14:textId="77777777" w:rsidR="0075743A" w:rsidRDefault="00462AD5" w:rsidP="0075743A">
      <w:pPr>
        <w:spacing w:before="100" w:beforeAutospacing="1" w:after="100" w:afterAutospacing="1"/>
        <w:ind w:firstLine="720"/>
        <w:jc w:val="both"/>
        <w:rPr>
          <w:rFonts w:ascii="Book Antiqua" w:hAnsi="Book Antiqua"/>
          <w:szCs w:val="24"/>
          <w:lang w:val="es-PR"/>
        </w:rPr>
      </w:pPr>
      <w:r w:rsidRPr="00462AD5">
        <w:rPr>
          <w:rFonts w:ascii="Book Antiqua" w:hAnsi="Book Antiqua"/>
          <w:szCs w:val="24"/>
          <w:lang w:val="es-PR"/>
        </w:rPr>
        <w:t>El CEDBI no se opone a la medida propuesta y observa que, en varios casos, la resolución confirma o duplica acciones previamente autorizadas. Asimismo, se reafirma la importancia de respetar el proceso reglamentario, corregir errores técnicos en la redacción legislativa y mejorar la coordinación con la agencia custodio correspondiente.</w:t>
      </w:r>
    </w:p>
    <w:p w14:paraId="395F543A" w14:textId="32227BF4" w:rsidR="00462AD5" w:rsidRPr="00462AD5" w:rsidRDefault="00462AD5" w:rsidP="0075743A">
      <w:pPr>
        <w:spacing w:before="100" w:beforeAutospacing="1" w:after="100" w:afterAutospacing="1"/>
        <w:ind w:firstLine="720"/>
        <w:jc w:val="both"/>
        <w:rPr>
          <w:rFonts w:ascii="Book Antiqua" w:hAnsi="Book Antiqua"/>
          <w:szCs w:val="24"/>
          <w:lang w:val="es-PR"/>
        </w:rPr>
      </w:pPr>
      <w:r w:rsidRPr="00462AD5">
        <w:rPr>
          <w:rFonts w:ascii="Book Antiqua" w:hAnsi="Book Antiqua"/>
          <w:szCs w:val="24"/>
          <w:lang w:val="es-PR"/>
        </w:rPr>
        <w:t>En términos generales, el memorial favorece ampliamente el uso social y comunitario de un plantel en desuso, dentro de los límites establecidos por el Plan Fiscal y el marco legal de PROMESA.</w:t>
      </w:r>
    </w:p>
    <w:p w14:paraId="08C63446" w14:textId="406BE61B"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67EEF2B4"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FA1E05">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356FE78E" w14:textId="77777777" w:rsidR="005567FF" w:rsidRPr="005567FF" w:rsidRDefault="005567FF" w:rsidP="005567FF">
      <w:pPr>
        <w:spacing w:before="100" w:beforeAutospacing="1" w:after="100" w:afterAutospacing="1"/>
        <w:ind w:firstLine="720"/>
        <w:jc w:val="both"/>
        <w:rPr>
          <w:rFonts w:ascii="Book Antiqua" w:hAnsi="Book Antiqua"/>
          <w:color w:val="000000" w:themeColor="text1"/>
          <w:lang w:val="es-PR"/>
        </w:rPr>
      </w:pPr>
      <w:r w:rsidRPr="005567FF">
        <w:rPr>
          <w:rFonts w:ascii="Book Antiqua" w:hAnsi="Book Antiqua"/>
          <w:color w:val="000000" w:themeColor="text1"/>
          <w:lang w:val="es-PR"/>
        </w:rPr>
        <w:t>La Comisión de Educación ha realizado un análisis exhaustivo de todas las comunicaciones recibidas en torno a la medida. Las agencias consultadas han expresado su respaldo a la propuesta, reconociendo su alineación con la política pública vigente y su impacto positivo en la comunidad.</w:t>
      </w:r>
    </w:p>
    <w:p w14:paraId="2112FA5F" w14:textId="77777777" w:rsidR="005567FF" w:rsidRPr="005567FF" w:rsidRDefault="005567FF" w:rsidP="005567FF">
      <w:pPr>
        <w:spacing w:before="100" w:beforeAutospacing="1" w:after="100" w:afterAutospacing="1"/>
        <w:ind w:firstLine="720"/>
        <w:jc w:val="both"/>
        <w:rPr>
          <w:rFonts w:ascii="Book Antiqua" w:hAnsi="Book Antiqua"/>
          <w:color w:val="000000" w:themeColor="text1"/>
          <w:lang w:val="es-PR"/>
        </w:rPr>
      </w:pPr>
      <w:r w:rsidRPr="005567FF">
        <w:rPr>
          <w:rFonts w:ascii="Book Antiqua" w:hAnsi="Book Antiqua"/>
          <w:color w:val="000000" w:themeColor="text1"/>
          <w:lang w:val="es-PR"/>
        </w:rPr>
        <w:t>En conclusión, la Comisión considera que la R.C. de la C. 153 incorpora salvaguardas claras que protegen el interés del Estado, entre ellas la prohibición de vender, arrendar o ceder la propiedad a terceros, la limitación estricta de su uso a fines públicos, la reversión automática de la titularidad al Gobierno de Puerto Rico en caso de incumplimiento y la facultad de la entidad gubernamental para imponer condiciones adicionales que garanticen el cumplimiento del propósito público. Estas disposiciones aseguran que la propiedad no se utilice con fines especulativos o privados y permanezca al servicio de la ciudadanía.</w:t>
      </w:r>
    </w:p>
    <w:p w14:paraId="02D00136" w14:textId="77777777" w:rsidR="001C2085" w:rsidRDefault="005567FF" w:rsidP="005567FF">
      <w:pPr>
        <w:spacing w:before="100" w:beforeAutospacing="1" w:after="100" w:afterAutospacing="1"/>
        <w:ind w:firstLine="720"/>
        <w:jc w:val="both"/>
        <w:rPr>
          <w:rFonts w:ascii="Book Antiqua" w:hAnsi="Book Antiqua"/>
          <w:color w:val="000000" w:themeColor="text1"/>
          <w:lang w:val="es-PR"/>
        </w:rPr>
      </w:pPr>
      <w:r w:rsidRPr="005567FF">
        <w:rPr>
          <w:rFonts w:ascii="Book Antiqua" w:hAnsi="Book Antiqua"/>
          <w:color w:val="000000" w:themeColor="text1"/>
          <w:lang w:val="es-PR"/>
        </w:rPr>
        <w:t>Asimismo, la reutilización de la antigua Escuela Elemental Emiliano Figueroa permitirá al Municipio de Loíza desarrollar iniciativas comunitarias, sociales, educativas y de servicios directos que mejoren la calidad de vida de los residentes del Sector Piñones y áreas circundantes, evitando el deterioro del inmueble, reduciendo riesgos asociados al abandono y promoviendo un entorno más seguro y productivo</w:t>
      </w:r>
    </w:p>
    <w:p w14:paraId="0ACB698C" w14:textId="77777777" w:rsidR="001C2085" w:rsidRDefault="001C2085" w:rsidP="005567FF">
      <w:pPr>
        <w:spacing w:before="100" w:beforeAutospacing="1" w:after="100" w:afterAutospacing="1"/>
        <w:ind w:firstLine="720"/>
        <w:jc w:val="both"/>
        <w:rPr>
          <w:rFonts w:ascii="Book Antiqua" w:hAnsi="Book Antiqua"/>
          <w:color w:val="000000" w:themeColor="text1"/>
          <w:lang w:val="es-PR"/>
        </w:rPr>
      </w:pPr>
    </w:p>
    <w:p w14:paraId="701BC26F" w14:textId="389CCC49" w:rsidR="005567FF" w:rsidRDefault="005567FF" w:rsidP="005567FF">
      <w:pPr>
        <w:spacing w:before="100" w:beforeAutospacing="1" w:after="100" w:afterAutospacing="1"/>
        <w:ind w:firstLine="720"/>
        <w:jc w:val="both"/>
        <w:rPr>
          <w:rFonts w:ascii="Book Antiqua" w:hAnsi="Book Antiqua"/>
          <w:color w:val="000000" w:themeColor="text1"/>
          <w:lang w:val="es-PR"/>
        </w:rPr>
      </w:pPr>
    </w:p>
    <w:p w14:paraId="65AEA2EB" w14:textId="77777777" w:rsidR="001C2085" w:rsidRPr="005567FF" w:rsidRDefault="001C2085" w:rsidP="005567FF">
      <w:pPr>
        <w:spacing w:before="100" w:beforeAutospacing="1" w:after="100" w:afterAutospacing="1"/>
        <w:ind w:firstLine="720"/>
        <w:jc w:val="both"/>
        <w:rPr>
          <w:rFonts w:ascii="Book Antiqua" w:hAnsi="Book Antiqua"/>
          <w:color w:val="000000" w:themeColor="text1"/>
          <w:lang w:val="es-PR"/>
        </w:rPr>
      </w:pPr>
    </w:p>
    <w:p w14:paraId="4A8E13C1" w14:textId="5A11AAA1" w:rsidR="005567FF" w:rsidRDefault="00933D4A" w:rsidP="005567FF">
      <w:pPr>
        <w:spacing w:before="100" w:beforeAutospacing="1" w:after="100" w:afterAutospacing="1"/>
        <w:ind w:firstLine="720"/>
        <w:jc w:val="both"/>
        <w:rPr>
          <w:rFonts w:ascii="Book Antiqua" w:hAnsi="Book Antiqua"/>
          <w:lang w:val="es-PR"/>
        </w:rPr>
      </w:pPr>
      <w:r w:rsidRPr="00933D4A">
        <w:rPr>
          <w:rFonts w:ascii="Book Antiqua" w:hAnsi="Book Antiqua"/>
          <w:b/>
          <w:bCs/>
          <w:lang w:val="es-PR"/>
        </w:rPr>
        <w:lastRenderedPageBreak/>
        <w:t>POR LO ANTES EXPUESTO</w:t>
      </w:r>
      <w:r w:rsidRPr="00933D4A">
        <w:rPr>
          <w:rFonts w:ascii="Book Antiqua" w:hAnsi="Book Antiqua"/>
          <w:lang w:val="es-PR"/>
        </w:rPr>
        <w:t xml:space="preserve">, la Comisión de Educación </w:t>
      </w:r>
      <w:r w:rsidR="005567FF">
        <w:rPr>
          <w:rFonts w:ascii="Book Antiqua" w:hAnsi="Book Antiqua"/>
          <w:lang w:val="es-PR"/>
        </w:rPr>
        <w:t xml:space="preserve">de la Cámara </w:t>
      </w:r>
      <w:r w:rsidR="008C066B">
        <w:rPr>
          <w:rFonts w:ascii="Book Antiqua" w:hAnsi="Book Antiqua"/>
          <w:lang w:val="es-PR"/>
        </w:rPr>
        <w:t>d</w:t>
      </w:r>
      <w:r w:rsidR="005567FF">
        <w:rPr>
          <w:rFonts w:ascii="Book Antiqua" w:hAnsi="Book Antiqua"/>
          <w:lang w:val="es-PR"/>
        </w:rPr>
        <w:t xml:space="preserve">e </w:t>
      </w:r>
      <w:r w:rsidR="008C066B">
        <w:rPr>
          <w:rFonts w:ascii="Book Antiqua" w:hAnsi="Book Antiqua"/>
          <w:lang w:val="es-PR"/>
        </w:rPr>
        <w:t>R</w:t>
      </w:r>
      <w:r w:rsidR="005567FF">
        <w:rPr>
          <w:rFonts w:ascii="Book Antiqua" w:hAnsi="Book Antiqua"/>
          <w:lang w:val="es-PR"/>
        </w:rPr>
        <w:t xml:space="preserve">epresentantes </w:t>
      </w:r>
      <w:r w:rsidRPr="00933D4A">
        <w:rPr>
          <w:rFonts w:ascii="Book Antiqua" w:hAnsi="Book Antiqua"/>
          <w:lang w:val="es-PR"/>
        </w:rPr>
        <w:t xml:space="preserve">recomienda la aprobación </w:t>
      </w:r>
      <w:r w:rsidR="00E65CC0">
        <w:rPr>
          <w:rFonts w:ascii="Book Antiqua" w:hAnsi="Book Antiqua"/>
          <w:lang w:val="es-PR"/>
        </w:rPr>
        <w:t>de la R.C. de la C. 1</w:t>
      </w:r>
      <w:r w:rsidR="000371B6">
        <w:rPr>
          <w:rFonts w:ascii="Book Antiqua" w:hAnsi="Book Antiqua"/>
          <w:lang w:val="es-PR"/>
        </w:rPr>
        <w:t>53</w:t>
      </w:r>
      <w:r w:rsidRPr="00933D4A">
        <w:rPr>
          <w:rFonts w:ascii="Book Antiqua" w:hAnsi="Book Antiqua"/>
          <w:lang w:val="es-PR"/>
        </w:rPr>
        <w:t xml:space="preserve">, mediante el </w:t>
      </w:r>
      <w:r w:rsidRPr="008C066B">
        <w:rPr>
          <w:rFonts w:ascii="Book Antiqua" w:hAnsi="Book Antiqua"/>
          <w:lang w:val="es-PR"/>
        </w:rPr>
        <w:t xml:space="preserve">presente Informe Positivo, incorporando las enmiendas sugeridas al contenido, que se detallan en el </w:t>
      </w:r>
      <w:proofErr w:type="spellStart"/>
      <w:r w:rsidRPr="008C066B">
        <w:rPr>
          <w:rFonts w:ascii="Book Antiqua" w:hAnsi="Book Antiqua"/>
          <w:lang w:val="es-PR"/>
        </w:rPr>
        <w:t>entirillado</w:t>
      </w:r>
      <w:proofErr w:type="spellEnd"/>
      <w:r w:rsidRPr="008C066B">
        <w:rPr>
          <w:rFonts w:ascii="Book Antiqua" w:hAnsi="Book Antiqua"/>
          <w:lang w:val="es-PR"/>
        </w:rPr>
        <w:t xml:space="preserve"> electrónico que se acompaña.</w:t>
      </w:r>
    </w:p>
    <w:p w14:paraId="2ADB10AB" w14:textId="2A3A6273"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EEA38" w14:textId="77777777" w:rsidR="002B3E9A" w:rsidRDefault="002B3E9A">
      <w:r>
        <w:separator/>
      </w:r>
    </w:p>
  </w:endnote>
  <w:endnote w:type="continuationSeparator" w:id="0">
    <w:p w14:paraId="06DF804C" w14:textId="77777777" w:rsidR="002B3E9A" w:rsidRDefault="002B3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56BB7" w14:textId="77777777" w:rsidR="002B3E9A" w:rsidRDefault="002B3E9A">
      <w:r>
        <w:separator/>
      </w:r>
    </w:p>
  </w:footnote>
  <w:footnote w:type="continuationSeparator" w:id="0">
    <w:p w14:paraId="645776CA" w14:textId="77777777" w:rsidR="002B3E9A" w:rsidRDefault="002B3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43D75A35" w:rsidR="00F042CB" w:rsidRPr="00612B20" w:rsidRDefault="00612B20" w:rsidP="00612B20">
    <w:pPr>
      <w:pStyle w:val="Header"/>
      <w:rPr>
        <w:lang w:val="es-ES"/>
      </w:rPr>
    </w:pPr>
    <w:r w:rsidRPr="00612B20">
      <w:rPr>
        <w:rStyle w:val="PageNumber"/>
        <w:lang w:val="es-ES"/>
      </w:rPr>
      <w:t xml:space="preserve">Informe Positivo sobre </w:t>
    </w:r>
    <w:r w:rsidR="00E65CC0">
      <w:rPr>
        <w:rStyle w:val="PageNumber"/>
        <w:lang w:val="es-ES"/>
      </w:rPr>
      <w:t xml:space="preserve">la R.C. de la C. </w:t>
    </w:r>
    <w:r w:rsidR="004167E6">
      <w:rPr>
        <w:rStyle w:val="PageNumber"/>
        <w:lang w:val="es-ES"/>
      </w:rPr>
      <w:t>153</w:t>
    </w:r>
    <w:r w:rsidRPr="00612B20">
      <w:rPr>
        <w:rStyle w:val="PageNumber"/>
        <w:lang w:val="es-ES"/>
      </w:rPr>
      <w:t xml:space="preserve"> </w:t>
    </w:r>
    <w:r w:rsidR="00EC47E3">
      <w:rPr>
        <w:rStyle w:val="PageNumber"/>
        <w:lang w:val="es-ES"/>
      </w:rPr>
      <w:tab/>
    </w:r>
    <w:r w:rsidR="00EC47E3">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371B6"/>
    <w:rsid w:val="00043DD0"/>
    <w:rsid w:val="000518F3"/>
    <w:rsid w:val="0005281A"/>
    <w:rsid w:val="00056024"/>
    <w:rsid w:val="00063D87"/>
    <w:rsid w:val="00073275"/>
    <w:rsid w:val="00074D2C"/>
    <w:rsid w:val="00075BAB"/>
    <w:rsid w:val="000871B0"/>
    <w:rsid w:val="00091A87"/>
    <w:rsid w:val="00091F2F"/>
    <w:rsid w:val="00095AE1"/>
    <w:rsid w:val="000A6B6C"/>
    <w:rsid w:val="000B0DBB"/>
    <w:rsid w:val="000B108B"/>
    <w:rsid w:val="000C2850"/>
    <w:rsid w:val="000C2CBF"/>
    <w:rsid w:val="000D60DB"/>
    <w:rsid w:val="000E2586"/>
    <w:rsid w:val="000E3D6D"/>
    <w:rsid w:val="000E7F87"/>
    <w:rsid w:val="00103C92"/>
    <w:rsid w:val="00111E71"/>
    <w:rsid w:val="001127B0"/>
    <w:rsid w:val="00114602"/>
    <w:rsid w:val="00125AE5"/>
    <w:rsid w:val="00127C6A"/>
    <w:rsid w:val="001363FE"/>
    <w:rsid w:val="0015764C"/>
    <w:rsid w:val="001606CA"/>
    <w:rsid w:val="001635E1"/>
    <w:rsid w:val="00166098"/>
    <w:rsid w:val="0017132B"/>
    <w:rsid w:val="00173F45"/>
    <w:rsid w:val="00187B2B"/>
    <w:rsid w:val="001911C9"/>
    <w:rsid w:val="001A062F"/>
    <w:rsid w:val="001A2E09"/>
    <w:rsid w:val="001A36DC"/>
    <w:rsid w:val="001A4A89"/>
    <w:rsid w:val="001A4DCF"/>
    <w:rsid w:val="001C2085"/>
    <w:rsid w:val="001D15CB"/>
    <w:rsid w:val="001E0633"/>
    <w:rsid w:val="001E15C2"/>
    <w:rsid w:val="001E211C"/>
    <w:rsid w:val="001F1883"/>
    <w:rsid w:val="001F4CA3"/>
    <w:rsid w:val="001F5064"/>
    <w:rsid w:val="001F612A"/>
    <w:rsid w:val="00211396"/>
    <w:rsid w:val="00220B05"/>
    <w:rsid w:val="00222320"/>
    <w:rsid w:val="002239E3"/>
    <w:rsid w:val="002241F5"/>
    <w:rsid w:val="00226AE6"/>
    <w:rsid w:val="00236AD7"/>
    <w:rsid w:val="00245B34"/>
    <w:rsid w:val="00251E4E"/>
    <w:rsid w:val="0026318A"/>
    <w:rsid w:val="00263355"/>
    <w:rsid w:val="00273792"/>
    <w:rsid w:val="00277962"/>
    <w:rsid w:val="00284E77"/>
    <w:rsid w:val="0029726D"/>
    <w:rsid w:val="002A73D5"/>
    <w:rsid w:val="002B3E9A"/>
    <w:rsid w:val="002B4F94"/>
    <w:rsid w:val="002C1204"/>
    <w:rsid w:val="002C6295"/>
    <w:rsid w:val="002D4AC8"/>
    <w:rsid w:val="002D4F74"/>
    <w:rsid w:val="002E161E"/>
    <w:rsid w:val="002E479F"/>
    <w:rsid w:val="0030696B"/>
    <w:rsid w:val="00307183"/>
    <w:rsid w:val="00320BDF"/>
    <w:rsid w:val="00320D78"/>
    <w:rsid w:val="0034124E"/>
    <w:rsid w:val="00356A6F"/>
    <w:rsid w:val="00364902"/>
    <w:rsid w:val="00367993"/>
    <w:rsid w:val="00370734"/>
    <w:rsid w:val="00380FE5"/>
    <w:rsid w:val="00384455"/>
    <w:rsid w:val="003924DD"/>
    <w:rsid w:val="00392F2D"/>
    <w:rsid w:val="00394FCB"/>
    <w:rsid w:val="003963BE"/>
    <w:rsid w:val="003963F4"/>
    <w:rsid w:val="003A3BA6"/>
    <w:rsid w:val="003B021F"/>
    <w:rsid w:val="003B5160"/>
    <w:rsid w:val="003B5254"/>
    <w:rsid w:val="003B75A6"/>
    <w:rsid w:val="003C7E14"/>
    <w:rsid w:val="003D2C21"/>
    <w:rsid w:val="003F05CE"/>
    <w:rsid w:val="003F0BE6"/>
    <w:rsid w:val="003F76A8"/>
    <w:rsid w:val="004061CA"/>
    <w:rsid w:val="00413299"/>
    <w:rsid w:val="00415689"/>
    <w:rsid w:val="004167E6"/>
    <w:rsid w:val="00424D08"/>
    <w:rsid w:val="004440CB"/>
    <w:rsid w:val="00462AD5"/>
    <w:rsid w:val="0046340C"/>
    <w:rsid w:val="00470828"/>
    <w:rsid w:val="00470AE4"/>
    <w:rsid w:val="004713D2"/>
    <w:rsid w:val="004731D3"/>
    <w:rsid w:val="00491D4B"/>
    <w:rsid w:val="0049600B"/>
    <w:rsid w:val="004A7042"/>
    <w:rsid w:val="004B3D8F"/>
    <w:rsid w:val="004B6E28"/>
    <w:rsid w:val="004B6F58"/>
    <w:rsid w:val="004B741E"/>
    <w:rsid w:val="004B7486"/>
    <w:rsid w:val="004C36EE"/>
    <w:rsid w:val="004D7000"/>
    <w:rsid w:val="004E4E62"/>
    <w:rsid w:val="004E77BD"/>
    <w:rsid w:val="004F5525"/>
    <w:rsid w:val="004F6865"/>
    <w:rsid w:val="00502819"/>
    <w:rsid w:val="00512209"/>
    <w:rsid w:val="00521639"/>
    <w:rsid w:val="0053167D"/>
    <w:rsid w:val="00532BB7"/>
    <w:rsid w:val="005332E4"/>
    <w:rsid w:val="0053550C"/>
    <w:rsid w:val="00536D92"/>
    <w:rsid w:val="00537AB4"/>
    <w:rsid w:val="00551919"/>
    <w:rsid w:val="00555018"/>
    <w:rsid w:val="005567FF"/>
    <w:rsid w:val="00561060"/>
    <w:rsid w:val="00570E24"/>
    <w:rsid w:val="005723DC"/>
    <w:rsid w:val="00574A8A"/>
    <w:rsid w:val="00580214"/>
    <w:rsid w:val="00584305"/>
    <w:rsid w:val="005964F7"/>
    <w:rsid w:val="005A11D6"/>
    <w:rsid w:val="005B00A9"/>
    <w:rsid w:val="005B06BB"/>
    <w:rsid w:val="005D64AD"/>
    <w:rsid w:val="005F0B0E"/>
    <w:rsid w:val="005F3881"/>
    <w:rsid w:val="00612B20"/>
    <w:rsid w:val="006149B6"/>
    <w:rsid w:val="006210DC"/>
    <w:rsid w:val="00625411"/>
    <w:rsid w:val="006263AB"/>
    <w:rsid w:val="00626B56"/>
    <w:rsid w:val="00631D0C"/>
    <w:rsid w:val="0064349D"/>
    <w:rsid w:val="0064355F"/>
    <w:rsid w:val="00645825"/>
    <w:rsid w:val="00646973"/>
    <w:rsid w:val="00646A44"/>
    <w:rsid w:val="00653EED"/>
    <w:rsid w:val="00667ED8"/>
    <w:rsid w:val="00672DCF"/>
    <w:rsid w:val="006732FD"/>
    <w:rsid w:val="00674E8F"/>
    <w:rsid w:val="00677B4B"/>
    <w:rsid w:val="0068039B"/>
    <w:rsid w:val="006818B9"/>
    <w:rsid w:val="006832CB"/>
    <w:rsid w:val="00685131"/>
    <w:rsid w:val="00685549"/>
    <w:rsid w:val="00693449"/>
    <w:rsid w:val="006A1FD5"/>
    <w:rsid w:val="006A397E"/>
    <w:rsid w:val="006B0196"/>
    <w:rsid w:val="006B183E"/>
    <w:rsid w:val="006B2451"/>
    <w:rsid w:val="006B7365"/>
    <w:rsid w:val="006C1C9E"/>
    <w:rsid w:val="006C2D81"/>
    <w:rsid w:val="006C7100"/>
    <w:rsid w:val="006C7DF8"/>
    <w:rsid w:val="006D0164"/>
    <w:rsid w:val="006D6856"/>
    <w:rsid w:val="006E3523"/>
    <w:rsid w:val="006E49EF"/>
    <w:rsid w:val="006E67CA"/>
    <w:rsid w:val="006F3E81"/>
    <w:rsid w:val="006F40B9"/>
    <w:rsid w:val="0070273C"/>
    <w:rsid w:val="0071016F"/>
    <w:rsid w:val="0071440D"/>
    <w:rsid w:val="007154DC"/>
    <w:rsid w:val="00716972"/>
    <w:rsid w:val="00736244"/>
    <w:rsid w:val="00750FC8"/>
    <w:rsid w:val="007533D0"/>
    <w:rsid w:val="00753911"/>
    <w:rsid w:val="00755069"/>
    <w:rsid w:val="0075743A"/>
    <w:rsid w:val="00762554"/>
    <w:rsid w:val="0076334C"/>
    <w:rsid w:val="0076543D"/>
    <w:rsid w:val="00774570"/>
    <w:rsid w:val="00776955"/>
    <w:rsid w:val="007B0660"/>
    <w:rsid w:val="007C2BB1"/>
    <w:rsid w:val="007C4411"/>
    <w:rsid w:val="007C5056"/>
    <w:rsid w:val="007D4194"/>
    <w:rsid w:val="007E3868"/>
    <w:rsid w:val="00800609"/>
    <w:rsid w:val="008035D8"/>
    <w:rsid w:val="00815082"/>
    <w:rsid w:val="00817DB9"/>
    <w:rsid w:val="00817EEB"/>
    <w:rsid w:val="00820C41"/>
    <w:rsid w:val="0082209E"/>
    <w:rsid w:val="00837443"/>
    <w:rsid w:val="00846BDD"/>
    <w:rsid w:val="00847598"/>
    <w:rsid w:val="00850256"/>
    <w:rsid w:val="00855CE1"/>
    <w:rsid w:val="0086040C"/>
    <w:rsid w:val="00860B5A"/>
    <w:rsid w:val="00863969"/>
    <w:rsid w:val="00867C71"/>
    <w:rsid w:val="0087505B"/>
    <w:rsid w:val="00875D08"/>
    <w:rsid w:val="00883E61"/>
    <w:rsid w:val="00890582"/>
    <w:rsid w:val="0089630F"/>
    <w:rsid w:val="008A073B"/>
    <w:rsid w:val="008A27E1"/>
    <w:rsid w:val="008A6474"/>
    <w:rsid w:val="008C066B"/>
    <w:rsid w:val="008C0763"/>
    <w:rsid w:val="008C1D6A"/>
    <w:rsid w:val="008D2C0D"/>
    <w:rsid w:val="008E186E"/>
    <w:rsid w:val="00902E09"/>
    <w:rsid w:val="00917B47"/>
    <w:rsid w:val="00922DEA"/>
    <w:rsid w:val="00930A68"/>
    <w:rsid w:val="00933D4A"/>
    <w:rsid w:val="00935F80"/>
    <w:rsid w:val="0093686F"/>
    <w:rsid w:val="00942FD4"/>
    <w:rsid w:val="00946A0C"/>
    <w:rsid w:val="00951997"/>
    <w:rsid w:val="00951D23"/>
    <w:rsid w:val="009573AB"/>
    <w:rsid w:val="00963DF1"/>
    <w:rsid w:val="0096764D"/>
    <w:rsid w:val="009750D1"/>
    <w:rsid w:val="0098499F"/>
    <w:rsid w:val="00990352"/>
    <w:rsid w:val="00992017"/>
    <w:rsid w:val="009A0909"/>
    <w:rsid w:val="009B5F1F"/>
    <w:rsid w:val="009C35F8"/>
    <w:rsid w:val="009C5DAB"/>
    <w:rsid w:val="009D09D7"/>
    <w:rsid w:val="009D12C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435A"/>
    <w:rsid w:val="00A673DD"/>
    <w:rsid w:val="00A7014B"/>
    <w:rsid w:val="00A7629F"/>
    <w:rsid w:val="00A97113"/>
    <w:rsid w:val="00AA2C8E"/>
    <w:rsid w:val="00AA73E7"/>
    <w:rsid w:val="00AB2538"/>
    <w:rsid w:val="00AB3BB4"/>
    <w:rsid w:val="00AC171B"/>
    <w:rsid w:val="00AD0543"/>
    <w:rsid w:val="00AE193F"/>
    <w:rsid w:val="00AE26CF"/>
    <w:rsid w:val="00AF0CEE"/>
    <w:rsid w:val="00AF6E13"/>
    <w:rsid w:val="00B02DB9"/>
    <w:rsid w:val="00B116E9"/>
    <w:rsid w:val="00B14EE1"/>
    <w:rsid w:val="00B15D49"/>
    <w:rsid w:val="00B23E2A"/>
    <w:rsid w:val="00B31B02"/>
    <w:rsid w:val="00B32E8C"/>
    <w:rsid w:val="00B41293"/>
    <w:rsid w:val="00B41BE4"/>
    <w:rsid w:val="00B42703"/>
    <w:rsid w:val="00B434E4"/>
    <w:rsid w:val="00B6013F"/>
    <w:rsid w:val="00B64321"/>
    <w:rsid w:val="00B667AD"/>
    <w:rsid w:val="00B66A7A"/>
    <w:rsid w:val="00B7320F"/>
    <w:rsid w:val="00B8023D"/>
    <w:rsid w:val="00B84C38"/>
    <w:rsid w:val="00B858B5"/>
    <w:rsid w:val="00B86C00"/>
    <w:rsid w:val="00B90616"/>
    <w:rsid w:val="00B91B73"/>
    <w:rsid w:val="00B91D6A"/>
    <w:rsid w:val="00B947F6"/>
    <w:rsid w:val="00BA2D29"/>
    <w:rsid w:val="00BB49EC"/>
    <w:rsid w:val="00BB6890"/>
    <w:rsid w:val="00BB71A6"/>
    <w:rsid w:val="00BC0963"/>
    <w:rsid w:val="00BC15CD"/>
    <w:rsid w:val="00BC1C4E"/>
    <w:rsid w:val="00BD4378"/>
    <w:rsid w:val="00BF16AA"/>
    <w:rsid w:val="00BF526C"/>
    <w:rsid w:val="00C0414C"/>
    <w:rsid w:val="00C15F04"/>
    <w:rsid w:val="00C354B8"/>
    <w:rsid w:val="00C41592"/>
    <w:rsid w:val="00C455B0"/>
    <w:rsid w:val="00C46101"/>
    <w:rsid w:val="00C52517"/>
    <w:rsid w:val="00C5595F"/>
    <w:rsid w:val="00C573FB"/>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133AC"/>
    <w:rsid w:val="00D13CDC"/>
    <w:rsid w:val="00D417C2"/>
    <w:rsid w:val="00D422EF"/>
    <w:rsid w:val="00D54562"/>
    <w:rsid w:val="00D55185"/>
    <w:rsid w:val="00D60936"/>
    <w:rsid w:val="00D709EB"/>
    <w:rsid w:val="00D71003"/>
    <w:rsid w:val="00D74714"/>
    <w:rsid w:val="00D82F3F"/>
    <w:rsid w:val="00D8669D"/>
    <w:rsid w:val="00D921C6"/>
    <w:rsid w:val="00D92384"/>
    <w:rsid w:val="00D958C2"/>
    <w:rsid w:val="00D95C3F"/>
    <w:rsid w:val="00DB06D1"/>
    <w:rsid w:val="00DC420C"/>
    <w:rsid w:val="00DD2FD5"/>
    <w:rsid w:val="00DE69F2"/>
    <w:rsid w:val="00DF41CD"/>
    <w:rsid w:val="00E04AB5"/>
    <w:rsid w:val="00E11E75"/>
    <w:rsid w:val="00E20EF0"/>
    <w:rsid w:val="00E23ABC"/>
    <w:rsid w:val="00E50EEA"/>
    <w:rsid w:val="00E52F58"/>
    <w:rsid w:val="00E53469"/>
    <w:rsid w:val="00E54233"/>
    <w:rsid w:val="00E61403"/>
    <w:rsid w:val="00E65805"/>
    <w:rsid w:val="00E65CC0"/>
    <w:rsid w:val="00E7187D"/>
    <w:rsid w:val="00E77E19"/>
    <w:rsid w:val="00E82311"/>
    <w:rsid w:val="00E8764A"/>
    <w:rsid w:val="00E92A64"/>
    <w:rsid w:val="00E954BA"/>
    <w:rsid w:val="00EA21D5"/>
    <w:rsid w:val="00EC1CEA"/>
    <w:rsid w:val="00EC26AA"/>
    <w:rsid w:val="00EC473E"/>
    <w:rsid w:val="00EC47E3"/>
    <w:rsid w:val="00EC6018"/>
    <w:rsid w:val="00ED7A53"/>
    <w:rsid w:val="00EE4273"/>
    <w:rsid w:val="00EF300D"/>
    <w:rsid w:val="00F01013"/>
    <w:rsid w:val="00F02004"/>
    <w:rsid w:val="00F02E69"/>
    <w:rsid w:val="00F042CB"/>
    <w:rsid w:val="00F12D76"/>
    <w:rsid w:val="00F14A41"/>
    <w:rsid w:val="00F16C97"/>
    <w:rsid w:val="00F21BB4"/>
    <w:rsid w:val="00F357D8"/>
    <w:rsid w:val="00F371BF"/>
    <w:rsid w:val="00F60A20"/>
    <w:rsid w:val="00F62D1A"/>
    <w:rsid w:val="00F65075"/>
    <w:rsid w:val="00F6633A"/>
    <w:rsid w:val="00F7721B"/>
    <w:rsid w:val="00F938A1"/>
    <w:rsid w:val="00F96885"/>
    <w:rsid w:val="00FA14CA"/>
    <w:rsid w:val="00FA1E05"/>
    <w:rsid w:val="00FB61B7"/>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1544</Words>
  <Characters>8651</Characters>
  <Application>Microsoft Office Word</Application>
  <DocSecurity>4</DocSecurity>
  <Lines>151</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2026-02-25T19:06:00Z</cp:lastPrinted>
  <dcterms:created xsi:type="dcterms:W3CDTF">2026-02-26T21:29:00Z</dcterms:created>
  <dcterms:modified xsi:type="dcterms:W3CDTF">2026-02-26T21:29:00Z</dcterms:modified>
</cp:coreProperties>
</file>