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6B2AC" w14:textId="77777777" w:rsidR="00F270B5" w:rsidRPr="00B03D12" w:rsidRDefault="00F270B5" w:rsidP="00F270B5">
      <w:pPr>
        <w:jc w:val="center"/>
        <w:rPr>
          <w:rFonts w:ascii="Book Antiqua" w:hAnsi="Book Antiqua"/>
          <w:sz w:val="28"/>
          <w:lang w:val="es-ES"/>
        </w:rPr>
      </w:pPr>
      <w:r w:rsidRPr="00B03D12">
        <w:rPr>
          <w:rFonts w:ascii="Book Antiqua" w:hAnsi="Book Antiqua"/>
          <w:sz w:val="28"/>
          <w:lang w:val="es-ES"/>
        </w:rPr>
        <w:t>GOBIERNO DE PUERTO RICO</w:t>
      </w:r>
    </w:p>
    <w:p w14:paraId="0B512636" w14:textId="77777777" w:rsidR="00F270B5" w:rsidRPr="0050054E" w:rsidRDefault="00F270B5" w:rsidP="00F270B5">
      <w:pPr>
        <w:jc w:val="center"/>
        <w:rPr>
          <w:rFonts w:ascii="Book Antiqua" w:hAnsi="Book Antiqua"/>
          <w:szCs w:val="24"/>
          <w:lang w:val="es-ES"/>
        </w:rPr>
      </w:pPr>
    </w:p>
    <w:p w14:paraId="4333A229" w14:textId="47517590" w:rsidR="00F270B5" w:rsidRPr="00B03D12" w:rsidRDefault="006D3BE5" w:rsidP="00F270B5">
      <w:pPr>
        <w:pStyle w:val="Title2"/>
        <w:tabs>
          <w:tab w:val="clear" w:pos="7776"/>
        </w:tabs>
        <w:rPr>
          <w:rFonts w:ascii="Book Antiqua" w:hAnsi="Book Antiqua"/>
          <w:lang w:val="es-ES"/>
        </w:rPr>
      </w:pPr>
      <w:r>
        <w:rPr>
          <w:rFonts w:ascii="Book Antiqua" w:hAnsi="Book Antiqua"/>
          <w:lang w:val="es-ES"/>
        </w:rPr>
        <w:t>20m</w:t>
      </w:r>
      <w:r w:rsidR="00F270B5" w:rsidRPr="00B03D12">
        <w:rPr>
          <w:rFonts w:ascii="Book Antiqua" w:hAnsi="Book Antiqua"/>
          <w:lang w:val="es-ES"/>
        </w:rPr>
        <w:t>a. Asamblea</w:t>
      </w:r>
      <w:r w:rsidR="00F270B5" w:rsidRPr="00B03D12">
        <w:rPr>
          <w:rFonts w:ascii="Book Antiqua" w:hAnsi="Book Antiqua"/>
          <w:lang w:val="es-ES"/>
        </w:rPr>
        <w:tab/>
      </w:r>
      <w:r>
        <w:rPr>
          <w:rFonts w:ascii="Book Antiqua" w:hAnsi="Book Antiqua"/>
          <w:lang w:val="es-ES"/>
        </w:rPr>
        <w:t>1r</w:t>
      </w:r>
      <w:r w:rsidR="00F270B5" w:rsidRPr="00B03D12">
        <w:rPr>
          <w:rFonts w:ascii="Book Antiqua" w:hAnsi="Book Antiqua"/>
          <w:lang w:val="es-ES"/>
        </w:rPr>
        <w:t>a. Sesión</w:t>
      </w:r>
    </w:p>
    <w:p w14:paraId="2EE0CFBE" w14:textId="77777777" w:rsidR="00F270B5" w:rsidRPr="00B03D12" w:rsidRDefault="00F270B5" w:rsidP="00F270B5">
      <w:pPr>
        <w:pStyle w:val="Title2"/>
        <w:tabs>
          <w:tab w:val="clear" w:pos="7776"/>
        </w:tabs>
        <w:rPr>
          <w:rFonts w:ascii="Book Antiqua" w:hAnsi="Book Antiqua"/>
          <w:lang w:val="es-ES"/>
        </w:rPr>
      </w:pPr>
      <w:r w:rsidRPr="00B03D12">
        <w:rPr>
          <w:rFonts w:ascii="Book Antiqua" w:hAnsi="Book Antiqua"/>
          <w:lang w:val="es-ES"/>
        </w:rPr>
        <w:tab/>
        <w:t>Legislativa</w:t>
      </w:r>
      <w:r w:rsidRPr="00B03D12">
        <w:rPr>
          <w:rFonts w:ascii="Book Antiqua" w:hAnsi="Book Antiqua"/>
          <w:lang w:val="es-ES"/>
        </w:rPr>
        <w:tab/>
      </w:r>
      <w:r w:rsidRPr="00B03D12">
        <w:rPr>
          <w:rFonts w:ascii="Book Antiqua" w:hAnsi="Book Antiqua"/>
          <w:lang w:val="es-ES"/>
        </w:rPr>
        <w:tab/>
        <w:t xml:space="preserve">      Ordinaria</w:t>
      </w:r>
    </w:p>
    <w:p w14:paraId="018E857E" w14:textId="77777777" w:rsidR="00F270B5" w:rsidRPr="00B03D12" w:rsidRDefault="00F270B5" w:rsidP="00F270B5">
      <w:pPr>
        <w:rPr>
          <w:lang w:val="es-ES"/>
        </w:rPr>
      </w:pPr>
    </w:p>
    <w:p w14:paraId="53A3E19A" w14:textId="77777777" w:rsidR="00F270B5" w:rsidRPr="00B03D12" w:rsidRDefault="00F270B5" w:rsidP="00F270B5">
      <w:pPr>
        <w:jc w:val="center"/>
        <w:rPr>
          <w:rFonts w:ascii="Book Antiqua" w:hAnsi="Book Antiqua"/>
          <w:b/>
          <w:sz w:val="36"/>
          <w:lang w:val="es-ES"/>
        </w:rPr>
      </w:pPr>
      <w:r w:rsidRPr="00B03D12">
        <w:rPr>
          <w:rFonts w:ascii="Book Antiqua" w:hAnsi="Book Antiqua"/>
          <w:b/>
          <w:sz w:val="36"/>
          <w:lang w:val="es-ES"/>
        </w:rPr>
        <w:t>CÁMARA DE REPRESENTANTES</w:t>
      </w:r>
    </w:p>
    <w:p w14:paraId="5112BEF1" w14:textId="77777777" w:rsidR="00F270B5" w:rsidRPr="00B03D12" w:rsidRDefault="00F270B5" w:rsidP="00F270B5">
      <w:pPr>
        <w:jc w:val="center"/>
        <w:rPr>
          <w:rFonts w:ascii="Book Antiqua" w:hAnsi="Book Antiqua"/>
          <w:b/>
          <w:szCs w:val="24"/>
          <w:lang w:val="es-ES"/>
        </w:rPr>
      </w:pPr>
    </w:p>
    <w:p w14:paraId="5733FB5E" w14:textId="084E71DA" w:rsidR="00F270B5" w:rsidRPr="00B03D12" w:rsidRDefault="00F270B5" w:rsidP="00F270B5">
      <w:pPr>
        <w:jc w:val="center"/>
        <w:rPr>
          <w:rFonts w:ascii="Book Antiqua" w:hAnsi="Book Antiqua"/>
          <w:b/>
          <w:sz w:val="52"/>
          <w:lang w:val="es-ES"/>
        </w:rPr>
      </w:pPr>
      <w:r w:rsidRPr="00B03D12">
        <w:rPr>
          <w:rFonts w:ascii="Book Antiqua" w:hAnsi="Book Antiqua"/>
          <w:b/>
          <w:sz w:val="52"/>
          <w:lang w:val="es-ES"/>
        </w:rPr>
        <w:t xml:space="preserve">R. C. de la C. </w:t>
      </w:r>
      <w:r w:rsidR="00C95D7A">
        <w:rPr>
          <w:rFonts w:ascii="Book Antiqua" w:hAnsi="Book Antiqua"/>
          <w:b/>
          <w:sz w:val="52"/>
          <w:lang w:val="es-ES"/>
        </w:rPr>
        <w:t>155</w:t>
      </w:r>
    </w:p>
    <w:p w14:paraId="003F1A7F" w14:textId="77777777" w:rsidR="00F270B5" w:rsidRPr="00B03D12" w:rsidRDefault="00F270B5" w:rsidP="00F270B5">
      <w:pPr>
        <w:jc w:val="center"/>
        <w:rPr>
          <w:rFonts w:ascii="Book Antiqua" w:hAnsi="Book Antiqua"/>
          <w:b/>
          <w:szCs w:val="24"/>
          <w:lang w:val="es-ES"/>
        </w:rPr>
      </w:pPr>
    </w:p>
    <w:p w14:paraId="0FE82958" w14:textId="72B0CD24" w:rsidR="00F270B5" w:rsidRPr="00B03D12" w:rsidRDefault="00C95D7A" w:rsidP="00F270B5">
      <w:pPr>
        <w:jc w:val="center"/>
        <w:rPr>
          <w:rFonts w:ascii="Book Antiqua" w:hAnsi="Book Antiqua"/>
          <w:lang w:val="es-ES"/>
        </w:rPr>
      </w:pPr>
      <w:r>
        <w:rPr>
          <w:rFonts w:ascii="Book Antiqua" w:hAnsi="Book Antiqua"/>
          <w:lang w:val="es-ES"/>
        </w:rPr>
        <w:t>17</w:t>
      </w:r>
      <w:r w:rsidR="00F270B5" w:rsidRPr="00B03D12">
        <w:rPr>
          <w:rFonts w:ascii="Book Antiqua" w:hAnsi="Book Antiqua"/>
          <w:lang w:val="es-ES"/>
        </w:rPr>
        <w:t xml:space="preserve"> DE </w:t>
      </w:r>
      <w:r w:rsidR="004053DB">
        <w:rPr>
          <w:rFonts w:ascii="Book Antiqua" w:hAnsi="Book Antiqua"/>
          <w:lang w:val="es-ES"/>
        </w:rPr>
        <w:t>JUNIO</w:t>
      </w:r>
      <w:r w:rsidR="00F270B5" w:rsidRPr="00B03D12">
        <w:rPr>
          <w:rFonts w:ascii="Book Antiqua" w:hAnsi="Book Antiqua"/>
          <w:lang w:val="es-ES"/>
        </w:rPr>
        <w:t xml:space="preserve"> DE 202</w:t>
      </w:r>
      <w:r w:rsidR="006D3BE5">
        <w:rPr>
          <w:rFonts w:ascii="Book Antiqua" w:hAnsi="Book Antiqua"/>
          <w:lang w:val="es-ES"/>
        </w:rPr>
        <w:t>5</w:t>
      </w:r>
    </w:p>
    <w:p w14:paraId="5886D914" w14:textId="77777777" w:rsidR="00F270B5" w:rsidRPr="00B03D12" w:rsidRDefault="00F270B5" w:rsidP="00F270B5">
      <w:pPr>
        <w:jc w:val="center"/>
        <w:rPr>
          <w:rFonts w:ascii="Book Antiqua" w:hAnsi="Book Antiqua"/>
          <w:lang w:val="es-ES"/>
        </w:rPr>
      </w:pPr>
    </w:p>
    <w:p w14:paraId="4842C0BE" w14:textId="77777777" w:rsidR="00F270B5" w:rsidRPr="00B03D12" w:rsidRDefault="00F270B5" w:rsidP="00F270B5">
      <w:pPr>
        <w:jc w:val="center"/>
        <w:rPr>
          <w:rFonts w:ascii="Book Antiqua" w:hAnsi="Book Antiqua"/>
          <w:i/>
          <w:lang w:val="es-ES"/>
        </w:rPr>
      </w:pPr>
      <w:r w:rsidRPr="00B03D12">
        <w:rPr>
          <w:rFonts w:ascii="Book Antiqua" w:hAnsi="Book Antiqua"/>
          <w:lang w:val="es-ES"/>
        </w:rPr>
        <w:t xml:space="preserve">Presentada por el representante </w:t>
      </w:r>
      <w:r w:rsidRPr="00B03D12">
        <w:rPr>
          <w:rFonts w:ascii="Book Antiqua" w:hAnsi="Book Antiqua"/>
          <w:i/>
          <w:lang w:val="es-ES"/>
        </w:rPr>
        <w:t>Navarro Suárez</w:t>
      </w:r>
    </w:p>
    <w:p w14:paraId="43E91B54" w14:textId="77777777" w:rsidR="00F270B5" w:rsidRPr="00B03D12" w:rsidRDefault="00F270B5" w:rsidP="00F270B5">
      <w:pPr>
        <w:jc w:val="center"/>
        <w:rPr>
          <w:rFonts w:ascii="Book Antiqua" w:hAnsi="Book Antiqua"/>
          <w:lang w:val="es-ES"/>
        </w:rPr>
      </w:pPr>
    </w:p>
    <w:p w14:paraId="60CA4B57" w14:textId="55BC1208" w:rsidR="00F270B5" w:rsidRPr="00E42918" w:rsidRDefault="00F270B5" w:rsidP="00F270B5">
      <w:pPr>
        <w:jc w:val="center"/>
        <w:rPr>
          <w:rFonts w:ascii="Book Antiqua" w:hAnsi="Book Antiqua"/>
          <w:i/>
          <w:iCs/>
          <w:lang w:val="es-ES"/>
        </w:rPr>
      </w:pPr>
      <w:r w:rsidRPr="00B03D12">
        <w:rPr>
          <w:rFonts w:ascii="Book Antiqua" w:hAnsi="Book Antiqua"/>
          <w:lang w:val="es-ES"/>
        </w:rPr>
        <w:t xml:space="preserve">Referida a la Comisión de </w:t>
      </w:r>
      <w:r w:rsidR="00E42918">
        <w:rPr>
          <w:rFonts w:ascii="Book Antiqua" w:hAnsi="Book Antiqua"/>
          <w:i/>
          <w:iCs/>
          <w:lang w:val="es-ES"/>
        </w:rPr>
        <w:t>Gobierno</w:t>
      </w:r>
    </w:p>
    <w:p w14:paraId="4BB9430A" w14:textId="77777777" w:rsidR="00F270B5" w:rsidRPr="00B03D12" w:rsidRDefault="00F270B5" w:rsidP="00F270B5">
      <w:pPr>
        <w:jc w:val="both"/>
        <w:rPr>
          <w:rFonts w:ascii="Book Antiqua" w:hAnsi="Book Antiqua"/>
          <w:lang w:val="es-ES"/>
        </w:rPr>
      </w:pPr>
    </w:p>
    <w:p w14:paraId="1D4DA8D5" w14:textId="77777777" w:rsidR="00F270B5" w:rsidRPr="00B03D12" w:rsidRDefault="00F270B5" w:rsidP="00F270B5">
      <w:pPr>
        <w:jc w:val="center"/>
        <w:rPr>
          <w:rFonts w:ascii="Book Antiqua" w:hAnsi="Book Antiqua"/>
          <w:b/>
          <w:sz w:val="28"/>
          <w:lang w:val="es-ES"/>
        </w:rPr>
      </w:pPr>
      <w:r w:rsidRPr="00B03D12">
        <w:rPr>
          <w:rFonts w:ascii="Book Antiqua" w:hAnsi="Book Antiqua"/>
          <w:b/>
          <w:sz w:val="28"/>
          <w:lang w:val="es-ES"/>
        </w:rPr>
        <w:t>RESOLUCIÓN CONJUNTA</w:t>
      </w:r>
    </w:p>
    <w:p w14:paraId="4752B0D2" w14:textId="77777777" w:rsidR="00F270B5" w:rsidRPr="00B03D12" w:rsidRDefault="00F270B5" w:rsidP="00F270B5">
      <w:pPr>
        <w:jc w:val="both"/>
        <w:rPr>
          <w:rFonts w:ascii="Book Antiqua" w:hAnsi="Book Antiqua"/>
          <w:lang w:val="es-ES"/>
        </w:rPr>
      </w:pPr>
    </w:p>
    <w:p w14:paraId="69E34147" w14:textId="0F72CBB2" w:rsidR="00F270B5" w:rsidRPr="00B03D12" w:rsidRDefault="00906E2A" w:rsidP="00F270B5">
      <w:pPr>
        <w:ind w:left="720" w:hanging="720"/>
        <w:jc w:val="both"/>
        <w:rPr>
          <w:rFonts w:ascii="Book Antiqua" w:hAnsi="Book Antiqua"/>
          <w:lang w:val="es-ES"/>
        </w:rPr>
      </w:pPr>
      <w:r w:rsidRPr="00906E2A">
        <w:rPr>
          <w:rFonts w:ascii="Book Antiqua" w:hAnsi="Book Antiqua"/>
          <w:lang w:val="es-ES"/>
        </w:rPr>
        <w:t xml:space="preserve">Para ordenar al consorcio LUMA Energy a que, en un término de treinta (30) días, muestre causa por la cual no deba cancelarse su contrato con el Gobierno de Puerto Rico. De establecerse causa suficiente para la cancelación, y mediante el voto afirmativo de la Asamblea Legislativa, se procederá a solicitar formalmente al Gobierno de Puerto Rico la cancelación del contrato. </w:t>
      </w:r>
    </w:p>
    <w:p w14:paraId="26195FD5" w14:textId="77777777" w:rsidR="00906E2A" w:rsidRDefault="00906E2A" w:rsidP="00F270B5">
      <w:pPr>
        <w:ind w:firstLine="360"/>
        <w:jc w:val="center"/>
        <w:rPr>
          <w:rFonts w:ascii="Book Antiqua" w:hAnsi="Book Antiqua"/>
          <w:szCs w:val="24"/>
          <w:lang w:val="es-ES"/>
        </w:rPr>
      </w:pPr>
    </w:p>
    <w:p w14:paraId="4E4C40D8" w14:textId="41FD1B9E" w:rsidR="00F270B5" w:rsidRPr="00B03D12" w:rsidRDefault="00F270B5" w:rsidP="00F270B5">
      <w:pPr>
        <w:ind w:firstLine="360"/>
        <w:jc w:val="center"/>
        <w:rPr>
          <w:rFonts w:ascii="Book Antiqua" w:hAnsi="Book Antiqua"/>
          <w:szCs w:val="24"/>
          <w:lang w:val="es-ES"/>
        </w:rPr>
      </w:pPr>
      <w:r w:rsidRPr="00B03D12">
        <w:rPr>
          <w:rFonts w:ascii="Book Antiqua" w:hAnsi="Book Antiqua"/>
          <w:szCs w:val="24"/>
          <w:lang w:val="es-ES"/>
        </w:rPr>
        <w:t>EXPOSICIÓN DE MOTIVOS</w:t>
      </w:r>
    </w:p>
    <w:p w14:paraId="719DE4F5" w14:textId="77777777" w:rsidR="00B03D12" w:rsidRPr="00B03D12" w:rsidRDefault="00B03D12" w:rsidP="00A71D81">
      <w:pPr>
        <w:jc w:val="both"/>
        <w:rPr>
          <w:rFonts w:ascii="Book Antiqua" w:eastAsia="Calibri" w:hAnsi="Book Antiqua"/>
          <w:szCs w:val="22"/>
          <w:lang w:val="es-ES"/>
        </w:rPr>
      </w:pPr>
    </w:p>
    <w:p w14:paraId="60CBE035" w14:textId="77777777" w:rsidR="004053DB" w:rsidRDefault="004053DB" w:rsidP="004053DB">
      <w:pPr>
        <w:ind w:firstLine="720"/>
        <w:jc w:val="both"/>
        <w:rPr>
          <w:rFonts w:ascii="Book Antiqua" w:eastAsia="Calibri" w:hAnsi="Book Antiqua"/>
          <w:szCs w:val="22"/>
          <w:lang w:val="es-ES"/>
        </w:rPr>
      </w:pPr>
      <w:r>
        <w:rPr>
          <w:rFonts w:ascii="Book Antiqua" w:eastAsia="Calibri" w:hAnsi="Book Antiqua"/>
          <w:szCs w:val="22"/>
          <w:lang w:val="es-ES"/>
        </w:rPr>
        <w:t>El servicio de energía eléctrico</w:t>
      </w:r>
      <w:r w:rsidRPr="004053DB">
        <w:rPr>
          <w:rFonts w:ascii="Book Antiqua" w:eastAsia="Calibri" w:hAnsi="Book Antiqua"/>
          <w:szCs w:val="22"/>
          <w:lang w:val="es-ES"/>
        </w:rPr>
        <w:t xml:space="preserve"> es un servicio fundamental para el bienestar de la población, el desarrollo económico y la seguridad pública. Cualquier interrupción prolongada o deficiencia en la prestación de este servicio tiene un impacto directo y adverso en la vida diaria de los ciudadanos y en la funcionalidad de las instituciones y empresas.</w:t>
      </w:r>
      <w:r w:rsidR="00F270B5" w:rsidRPr="00B03D12">
        <w:rPr>
          <w:rFonts w:ascii="Book Antiqua" w:eastAsia="Calibri" w:hAnsi="Book Antiqua"/>
          <w:szCs w:val="22"/>
          <w:lang w:val="es-ES"/>
        </w:rPr>
        <w:t xml:space="preserve"> </w:t>
      </w:r>
    </w:p>
    <w:p w14:paraId="6B62BD75" w14:textId="77777777" w:rsidR="003A02EF" w:rsidRDefault="003A02EF" w:rsidP="004053DB">
      <w:pPr>
        <w:ind w:firstLine="720"/>
        <w:jc w:val="both"/>
        <w:rPr>
          <w:rFonts w:ascii="Book Antiqua" w:eastAsia="Calibri" w:hAnsi="Book Antiqua"/>
          <w:szCs w:val="22"/>
          <w:lang w:val="es-ES"/>
        </w:rPr>
      </w:pPr>
    </w:p>
    <w:p w14:paraId="1F8B645F" w14:textId="07DB8626" w:rsidR="003A02EF" w:rsidRPr="003A02EF" w:rsidRDefault="00815D02" w:rsidP="003A02EF">
      <w:pPr>
        <w:ind w:firstLine="720"/>
        <w:jc w:val="both"/>
        <w:rPr>
          <w:rFonts w:ascii="Book Antiqua" w:eastAsia="Calibri" w:hAnsi="Book Antiqua"/>
          <w:szCs w:val="22"/>
          <w:lang w:val="es-ES"/>
        </w:rPr>
      </w:pPr>
      <w:r>
        <w:rPr>
          <w:rFonts w:ascii="Book Antiqua" w:eastAsia="Calibri" w:hAnsi="Book Antiqua"/>
          <w:szCs w:val="22"/>
          <w:lang w:val="es-ES"/>
        </w:rPr>
        <w:t>En días recientes, la</w:t>
      </w:r>
      <w:r w:rsidR="003A02EF" w:rsidRPr="003A02EF">
        <w:rPr>
          <w:rFonts w:ascii="Book Antiqua" w:eastAsia="Calibri" w:hAnsi="Book Antiqua"/>
          <w:szCs w:val="22"/>
          <w:lang w:val="es-ES"/>
        </w:rPr>
        <w:t xml:space="preserve"> Unidad CT</w:t>
      </w:r>
      <w:r w:rsidR="003A02EF" w:rsidRPr="003A02EF">
        <w:rPr>
          <w:rFonts w:ascii="Cambria Math" w:eastAsia="Calibri" w:hAnsi="Cambria Math" w:cs="Cambria Math"/>
          <w:szCs w:val="22"/>
          <w:lang w:val="es-ES"/>
        </w:rPr>
        <w:t>‑</w:t>
      </w:r>
      <w:r w:rsidR="003A02EF" w:rsidRPr="003A02EF">
        <w:rPr>
          <w:rFonts w:ascii="Book Antiqua" w:eastAsia="Calibri" w:hAnsi="Book Antiqua"/>
          <w:szCs w:val="22"/>
          <w:lang w:val="es-ES"/>
        </w:rPr>
        <w:t>1 de EcoEléctrica quedó fuera de servicio por tercera ocasión en el mismo día,</w:t>
      </w:r>
      <w:r w:rsidR="0099171F">
        <w:rPr>
          <w:rFonts w:ascii="Book Antiqua" w:eastAsia="Calibri" w:hAnsi="Book Antiqua"/>
          <w:szCs w:val="22"/>
          <w:lang w:val="es-ES"/>
        </w:rPr>
        <w:t xml:space="preserve"> </w:t>
      </w:r>
      <w:r w:rsidR="003A02EF" w:rsidRPr="003A02EF">
        <w:rPr>
          <w:rFonts w:ascii="Book Antiqua" w:eastAsia="Calibri" w:hAnsi="Book Antiqua"/>
          <w:szCs w:val="22"/>
          <w:lang w:val="es-ES"/>
        </w:rPr>
        <w:t>mientras se efectuaba la transición de gas natural a diésel. Esta interrupción no es un hecho aislado, sino la consecuencia directa de otro error operativo atribuible tanto al Operador del Sistema, LUMA Energy, como al Operador de generación, GENERA PR. Ambos fallaron en realizar evaluaciones y estimados adecuados sobre el volumen de gas natural requerido para el período en cuestión, provocando un déficit inmediato de combustible.</w:t>
      </w:r>
    </w:p>
    <w:p w14:paraId="419648A2" w14:textId="77777777" w:rsidR="003A02EF" w:rsidRPr="003A02EF" w:rsidRDefault="003A02EF" w:rsidP="003A02EF">
      <w:pPr>
        <w:ind w:firstLine="720"/>
        <w:jc w:val="both"/>
        <w:rPr>
          <w:rFonts w:ascii="Book Antiqua" w:eastAsia="Calibri" w:hAnsi="Book Antiqua"/>
          <w:szCs w:val="22"/>
          <w:lang w:val="es-ES"/>
        </w:rPr>
      </w:pPr>
    </w:p>
    <w:p w14:paraId="3D6D4A90" w14:textId="77777777" w:rsidR="003A02EF" w:rsidRPr="003A02EF" w:rsidRDefault="003A02EF" w:rsidP="003A02EF">
      <w:pPr>
        <w:ind w:firstLine="720"/>
        <w:jc w:val="both"/>
        <w:rPr>
          <w:rFonts w:ascii="Book Antiqua" w:eastAsia="Calibri" w:hAnsi="Book Antiqua"/>
          <w:szCs w:val="22"/>
          <w:lang w:val="es-ES"/>
        </w:rPr>
      </w:pPr>
      <w:r w:rsidRPr="003A02EF">
        <w:rPr>
          <w:rFonts w:ascii="Book Antiqua" w:eastAsia="Calibri" w:hAnsi="Book Antiqua"/>
          <w:szCs w:val="22"/>
          <w:lang w:val="es-ES"/>
        </w:rPr>
        <w:t>El error de cálculo obligó a que las unidades de Costa</w:t>
      </w:r>
      <w:r w:rsidRPr="003A02EF">
        <w:rPr>
          <w:rFonts w:eastAsia="Calibri"/>
          <w:szCs w:val="22"/>
          <w:lang w:val="es-ES"/>
        </w:rPr>
        <w:t> </w:t>
      </w:r>
      <w:r w:rsidRPr="003A02EF">
        <w:rPr>
          <w:rFonts w:ascii="Book Antiqua" w:eastAsia="Calibri" w:hAnsi="Book Antiqua"/>
          <w:szCs w:val="22"/>
          <w:lang w:val="es-ES"/>
        </w:rPr>
        <w:t xml:space="preserve">Sur pasaran a operar con combustible residual (#6), mientras EcoEléctrica lleva una semana entera intentando, sin </w:t>
      </w:r>
      <w:r w:rsidRPr="003A02EF">
        <w:rPr>
          <w:rFonts w:ascii="Book Antiqua" w:eastAsia="Calibri" w:hAnsi="Book Antiqua"/>
          <w:szCs w:val="22"/>
          <w:lang w:val="es-ES"/>
        </w:rPr>
        <w:lastRenderedPageBreak/>
        <w:t>éxito, completar su cambio a diésel. Tal situación redundó en un nuevo apagón general, evidencia patente de otra “metida de pata” de LUMA, descrita públicamente como inconcebible e inaudita.</w:t>
      </w:r>
    </w:p>
    <w:p w14:paraId="24D25CBE" w14:textId="77777777" w:rsidR="003A02EF" w:rsidRPr="003A02EF" w:rsidRDefault="003A02EF" w:rsidP="003A02EF">
      <w:pPr>
        <w:ind w:firstLine="720"/>
        <w:jc w:val="both"/>
        <w:rPr>
          <w:rFonts w:ascii="Book Antiqua" w:eastAsia="Calibri" w:hAnsi="Book Antiqua"/>
          <w:szCs w:val="22"/>
          <w:lang w:val="es-ES"/>
        </w:rPr>
      </w:pPr>
    </w:p>
    <w:p w14:paraId="34C13279" w14:textId="353CA41D" w:rsidR="003A02EF" w:rsidRDefault="003A02EF" w:rsidP="003A02EF">
      <w:pPr>
        <w:ind w:firstLine="720"/>
        <w:jc w:val="both"/>
        <w:rPr>
          <w:rFonts w:ascii="Book Antiqua" w:eastAsia="Calibri" w:hAnsi="Book Antiqua"/>
          <w:szCs w:val="22"/>
          <w:lang w:val="es-ES"/>
        </w:rPr>
      </w:pPr>
      <w:r w:rsidRPr="003A02EF">
        <w:rPr>
          <w:rFonts w:ascii="Book Antiqua" w:eastAsia="Calibri" w:hAnsi="Book Antiqua"/>
          <w:szCs w:val="22"/>
          <w:lang w:val="es-ES"/>
        </w:rPr>
        <w:t>Las fallas operacionales de LUMA se han vuelto reiteradas e inaceptables. Durante la presente semana, todos los relevos de carga asociados a la generación eléctrica han sido provocados por deficiencias en su gestión: incapacidad para estimar con precisión el consumo de gas natural, programación deficiente y ausencia de planes de contingencia oportunos. Lejos de subsanar tales deficiencias, ahora se suma la participación de GENERA en los errores, lo que agrava la precariedad del sistema.</w:t>
      </w:r>
    </w:p>
    <w:p w14:paraId="3901CD26" w14:textId="77777777" w:rsidR="00DA6B69" w:rsidRDefault="00DA6B69" w:rsidP="003A02EF">
      <w:pPr>
        <w:ind w:firstLine="720"/>
        <w:jc w:val="both"/>
        <w:rPr>
          <w:rFonts w:ascii="Book Antiqua" w:eastAsia="Calibri" w:hAnsi="Book Antiqua"/>
          <w:szCs w:val="22"/>
          <w:lang w:val="es-ES"/>
        </w:rPr>
      </w:pPr>
    </w:p>
    <w:p w14:paraId="3A3602E7" w14:textId="5BF9B3D0" w:rsidR="00DA6B69" w:rsidRDefault="00DA6B69" w:rsidP="003A02EF">
      <w:pPr>
        <w:ind w:firstLine="720"/>
        <w:jc w:val="both"/>
        <w:rPr>
          <w:rFonts w:ascii="Book Antiqua" w:eastAsia="Calibri" w:hAnsi="Book Antiqua"/>
          <w:szCs w:val="22"/>
          <w:lang w:val="es-ES"/>
        </w:rPr>
      </w:pPr>
      <w:r w:rsidRPr="00DA6B69">
        <w:rPr>
          <w:rFonts w:ascii="Book Antiqua" w:eastAsia="Calibri" w:hAnsi="Book Antiqua"/>
          <w:szCs w:val="22"/>
          <w:lang w:val="es-ES"/>
        </w:rPr>
        <w:t xml:space="preserve">En ese contexto, resulta legítimo cuestionar la responsabilidad de LUMA. La empresa se permite emitir comunicados justificativos cuando, de hecho, es causante directa de los eventos que han puesto en riesgo la continuidad y confiabilidad del servicio eléctrico. Esta conducta refuerza el imperativo de exigirle que comparezca ante la Asamblea Legislativa y demuestre, bajo peso de prueba, por qué no debe rescindirse su contrato, conforme dispone </w:t>
      </w:r>
      <w:r w:rsidR="00105F50">
        <w:rPr>
          <w:rFonts w:ascii="Book Antiqua" w:eastAsia="Calibri" w:hAnsi="Book Antiqua"/>
          <w:szCs w:val="22"/>
          <w:lang w:val="es-ES"/>
        </w:rPr>
        <w:t>esta</w:t>
      </w:r>
      <w:r w:rsidRPr="00DA6B69">
        <w:rPr>
          <w:rFonts w:ascii="Book Antiqua" w:eastAsia="Calibri" w:hAnsi="Book Antiqua"/>
          <w:szCs w:val="22"/>
          <w:lang w:val="es-ES"/>
        </w:rPr>
        <w:t xml:space="preserve"> Resolución Conjunta</w:t>
      </w:r>
    </w:p>
    <w:p w14:paraId="78CBCE6C" w14:textId="77777777" w:rsidR="004053DB" w:rsidRDefault="004053DB" w:rsidP="004053DB">
      <w:pPr>
        <w:ind w:firstLine="720"/>
        <w:jc w:val="both"/>
        <w:rPr>
          <w:rFonts w:ascii="Book Antiqua" w:eastAsia="Calibri" w:hAnsi="Book Antiqua"/>
          <w:szCs w:val="22"/>
          <w:lang w:val="es-ES"/>
        </w:rPr>
      </w:pPr>
    </w:p>
    <w:p w14:paraId="654862B2" w14:textId="6A19BF46" w:rsidR="00B03D12" w:rsidRDefault="004053DB" w:rsidP="004053DB">
      <w:pPr>
        <w:ind w:firstLine="720"/>
        <w:jc w:val="both"/>
        <w:rPr>
          <w:rFonts w:ascii="Book Antiqua" w:eastAsia="Calibri" w:hAnsi="Book Antiqua"/>
          <w:szCs w:val="22"/>
          <w:lang w:val="es-ES"/>
        </w:rPr>
      </w:pPr>
      <w:r>
        <w:rPr>
          <w:rFonts w:ascii="Book Antiqua" w:eastAsia="Calibri" w:hAnsi="Book Antiqua"/>
          <w:szCs w:val="22"/>
          <w:lang w:val="es-ES"/>
        </w:rPr>
        <w:t xml:space="preserve">Esta </w:t>
      </w:r>
      <w:r w:rsidRPr="004053DB">
        <w:rPr>
          <w:rFonts w:ascii="Book Antiqua" w:eastAsia="Calibri" w:hAnsi="Book Antiqua"/>
          <w:szCs w:val="22"/>
          <w:lang w:val="es-ES"/>
        </w:rPr>
        <w:t xml:space="preserve">medida busca establecer un mecanismo de rendición de cuentas y transparencia en la gestión de LUMA Energy. Es imperativo evaluar de manera objetiva y detallada el desempeño de </w:t>
      </w:r>
      <w:r>
        <w:rPr>
          <w:rFonts w:ascii="Book Antiqua" w:eastAsia="Calibri" w:hAnsi="Book Antiqua"/>
          <w:szCs w:val="22"/>
          <w:lang w:val="es-ES"/>
        </w:rPr>
        <w:t>esta</w:t>
      </w:r>
      <w:r w:rsidRPr="004053DB">
        <w:rPr>
          <w:rFonts w:ascii="Book Antiqua" w:eastAsia="Calibri" w:hAnsi="Book Antiqua"/>
          <w:szCs w:val="22"/>
          <w:lang w:val="es-ES"/>
        </w:rPr>
        <w:t xml:space="preserve"> empresa en la administración del sistema eléctrico. Esto</w:t>
      </w:r>
      <w:r>
        <w:rPr>
          <w:rFonts w:ascii="Book Antiqua" w:eastAsia="Calibri" w:hAnsi="Book Antiqua"/>
          <w:szCs w:val="22"/>
          <w:lang w:val="es-ES"/>
        </w:rPr>
        <w:t xml:space="preserve"> nos</w:t>
      </w:r>
      <w:r w:rsidRPr="004053DB">
        <w:rPr>
          <w:rFonts w:ascii="Book Antiqua" w:eastAsia="Calibri" w:hAnsi="Book Antiqua"/>
          <w:szCs w:val="22"/>
          <w:lang w:val="es-ES"/>
        </w:rPr>
        <w:t xml:space="preserve"> permitirá tener un panorama claro sobre si LUMA Energy ha cumplido con los términos y expectativas establecidas en su contrato. En caso de identificar deficiencias graves o incumplimientos contractuales, se justifica la adopción de acciones correctivas, incluyendo la cancelación del contrato.</w:t>
      </w:r>
    </w:p>
    <w:p w14:paraId="15F9D4E6" w14:textId="77777777" w:rsidR="004053DB" w:rsidRDefault="004053DB" w:rsidP="004053DB">
      <w:pPr>
        <w:ind w:firstLine="720"/>
        <w:jc w:val="both"/>
        <w:rPr>
          <w:rFonts w:ascii="Book Antiqua" w:eastAsia="Calibri" w:hAnsi="Book Antiqua"/>
          <w:szCs w:val="22"/>
          <w:lang w:val="es-ES"/>
        </w:rPr>
      </w:pPr>
    </w:p>
    <w:p w14:paraId="05957D20" w14:textId="68080021" w:rsidR="004053DB" w:rsidRDefault="004053DB" w:rsidP="004053DB">
      <w:pPr>
        <w:ind w:firstLine="720"/>
        <w:jc w:val="both"/>
        <w:rPr>
          <w:rFonts w:ascii="Book Antiqua" w:eastAsia="Calibri" w:hAnsi="Book Antiqua"/>
          <w:szCs w:val="22"/>
          <w:lang w:val="es-ES"/>
        </w:rPr>
      </w:pPr>
      <w:r w:rsidRPr="004053DB">
        <w:rPr>
          <w:rFonts w:ascii="Book Antiqua" w:eastAsia="Calibri" w:hAnsi="Book Antiqua"/>
          <w:szCs w:val="22"/>
          <w:lang w:val="es-ES"/>
        </w:rPr>
        <w:t xml:space="preserve">La legislación propuesta también se fundamenta en la protección de los derechos de los ciudadanos a recibir servicios esenciales de calidad. </w:t>
      </w:r>
      <w:r>
        <w:rPr>
          <w:rFonts w:ascii="Book Antiqua" w:eastAsia="Calibri" w:hAnsi="Book Antiqua"/>
          <w:szCs w:val="22"/>
          <w:lang w:val="es-ES"/>
        </w:rPr>
        <w:t xml:space="preserve">Tenemos </w:t>
      </w:r>
      <w:r w:rsidRPr="004053DB">
        <w:rPr>
          <w:rFonts w:ascii="Book Antiqua" w:eastAsia="Calibri" w:hAnsi="Book Antiqua"/>
          <w:szCs w:val="22"/>
          <w:lang w:val="es-ES"/>
        </w:rPr>
        <w:t>problemas</w:t>
      </w:r>
      <w:r>
        <w:rPr>
          <w:rFonts w:ascii="Book Antiqua" w:eastAsia="Calibri" w:hAnsi="Book Antiqua"/>
          <w:szCs w:val="22"/>
          <w:lang w:val="es-ES"/>
        </w:rPr>
        <w:t xml:space="preserve"> recurrentes</w:t>
      </w:r>
      <w:r w:rsidRPr="004053DB">
        <w:rPr>
          <w:rFonts w:ascii="Book Antiqua" w:eastAsia="Calibri" w:hAnsi="Book Antiqua"/>
          <w:szCs w:val="22"/>
          <w:lang w:val="es-ES"/>
        </w:rPr>
        <w:t xml:space="preserve"> en el suministro eléctrico, como apagones, fluctuaciones de voltaje y respuesta inadecuada a emergencias, han generado un descontento generalizado y han puesto en riesgo la calidad de vida de los puertorriqueños. Al exigir a LUMA Energy que demuestre causa para no cancelar el contrato, se busca asegurar que los derechos y necesidades de los ciudadanos sean prioritarios en la gestión del servicio eléctrico.</w:t>
      </w:r>
    </w:p>
    <w:p w14:paraId="79CDEEFA" w14:textId="77777777" w:rsidR="004053DB" w:rsidRDefault="004053DB" w:rsidP="004053DB">
      <w:pPr>
        <w:ind w:firstLine="720"/>
        <w:jc w:val="both"/>
        <w:rPr>
          <w:rFonts w:ascii="Book Antiqua" w:eastAsia="Calibri" w:hAnsi="Book Antiqua"/>
          <w:szCs w:val="22"/>
          <w:lang w:val="es-ES"/>
        </w:rPr>
      </w:pPr>
    </w:p>
    <w:p w14:paraId="3BC3B4E6" w14:textId="4AF6F51D" w:rsidR="004053DB" w:rsidRDefault="004053DB" w:rsidP="004053DB">
      <w:pPr>
        <w:ind w:firstLine="720"/>
        <w:jc w:val="both"/>
        <w:rPr>
          <w:rFonts w:ascii="Book Antiqua" w:eastAsia="Calibri" w:hAnsi="Book Antiqua"/>
          <w:szCs w:val="22"/>
          <w:lang w:val="es-ES"/>
        </w:rPr>
      </w:pPr>
      <w:r w:rsidRPr="004053DB">
        <w:rPr>
          <w:rFonts w:ascii="Book Antiqua" w:eastAsia="Calibri" w:hAnsi="Book Antiqua"/>
          <w:szCs w:val="22"/>
          <w:lang w:val="es-ES"/>
        </w:rPr>
        <w:t xml:space="preserve">El interés apremiante de esta medida radica en la necesidad de garantizar que los servicios eléctricos se gestionen de manera eficaz y con alta responsabilidad. Dada la situación crítica del sistema eléctrico en Puerto Rico, cualquier menoscabo de obligaciones contractuales se justifica plenamente en aras de proteger el interés público. </w:t>
      </w:r>
    </w:p>
    <w:p w14:paraId="514E5DAC" w14:textId="466C7277" w:rsidR="004053DB" w:rsidRDefault="004053DB" w:rsidP="004053DB">
      <w:pPr>
        <w:ind w:firstLine="720"/>
        <w:jc w:val="both"/>
        <w:rPr>
          <w:rFonts w:ascii="Book Antiqua" w:eastAsia="Calibri" w:hAnsi="Book Antiqua"/>
          <w:szCs w:val="22"/>
          <w:lang w:val="es-ES"/>
        </w:rPr>
      </w:pPr>
    </w:p>
    <w:p w14:paraId="4970170C" w14:textId="0C6B7401" w:rsidR="004053DB" w:rsidRPr="00B03D12" w:rsidRDefault="004053DB" w:rsidP="004053DB">
      <w:pPr>
        <w:ind w:firstLine="720"/>
        <w:jc w:val="both"/>
        <w:rPr>
          <w:rFonts w:ascii="Book Antiqua" w:eastAsia="Calibri" w:hAnsi="Book Antiqua"/>
          <w:szCs w:val="22"/>
          <w:lang w:val="es-ES"/>
        </w:rPr>
      </w:pPr>
      <w:r>
        <w:rPr>
          <w:rFonts w:ascii="Book Antiqua" w:eastAsia="Calibri" w:hAnsi="Book Antiqua"/>
          <w:szCs w:val="22"/>
          <w:lang w:val="es-ES"/>
        </w:rPr>
        <w:t xml:space="preserve">Es nuestra </w:t>
      </w:r>
      <w:r w:rsidRPr="004053DB">
        <w:rPr>
          <w:rFonts w:ascii="Book Antiqua" w:eastAsia="Calibri" w:hAnsi="Book Antiqua"/>
          <w:szCs w:val="22"/>
          <w:lang w:val="es-ES"/>
        </w:rPr>
        <w:t xml:space="preserve">responsabilidad gubernamental la supervisión y regulación de contratos </w:t>
      </w:r>
      <w:r w:rsidR="007121E4">
        <w:rPr>
          <w:rFonts w:ascii="Book Antiqua" w:eastAsia="Calibri" w:hAnsi="Book Antiqua"/>
          <w:szCs w:val="22"/>
          <w:lang w:val="es-ES"/>
        </w:rPr>
        <w:t>bajo las alianzas públicos/privadas que ofrecen servicios de primera necesidad</w:t>
      </w:r>
      <w:r w:rsidRPr="004053DB">
        <w:rPr>
          <w:rFonts w:ascii="Book Antiqua" w:eastAsia="Calibri" w:hAnsi="Book Antiqua"/>
          <w:szCs w:val="22"/>
          <w:lang w:val="es-ES"/>
        </w:rPr>
        <w:t xml:space="preserve">. </w:t>
      </w:r>
      <w:r>
        <w:rPr>
          <w:rFonts w:ascii="Book Antiqua" w:eastAsia="Calibri" w:hAnsi="Book Antiqua"/>
          <w:szCs w:val="22"/>
          <w:lang w:val="es-ES"/>
        </w:rPr>
        <w:t>Existe una justificada</w:t>
      </w:r>
      <w:r w:rsidRPr="004053DB">
        <w:rPr>
          <w:rFonts w:ascii="Book Antiqua" w:eastAsia="Calibri" w:hAnsi="Book Antiqua"/>
          <w:szCs w:val="22"/>
          <w:lang w:val="es-ES"/>
        </w:rPr>
        <w:t xml:space="preserve"> intolerancia ante la negligencia y el incumplimiento en la prestación de servicios esenciales. Al establecer un procedimiento claro y riguroso para la </w:t>
      </w:r>
      <w:r w:rsidRPr="004053DB">
        <w:rPr>
          <w:rFonts w:ascii="Book Antiqua" w:eastAsia="Calibri" w:hAnsi="Book Antiqua"/>
          <w:szCs w:val="22"/>
          <w:lang w:val="es-ES"/>
        </w:rPr>
        <w:lastRenderedPageBreak/>
        <w:t>evaluación y posible cancelación del contrato, el gobierno de Puerto Rico reafirma su compromiso con la transparencia, la eficiencia y la protección del bienestar de sus ciudadanos.</w:t>
      </w:r>
    </w:p>
    <w:p w14:paraId="4868F0B6" w14:textId="77777777" w:rsidR="00F270B5" w:rsidRPr="00B03D12" w:rsidRDefault="00F270B5" w:rsidP="00F270B5">
      <w:pPr>
        <w:ind w:firstLine="720"/>
        <w:jc w:val="both"/>
        <w:rPr>
          <w:rFonts w:ascii="Book Antiqua" w:eastAsia="Calibri" w:hAnsi="Book Antiqua"/>
          <w:szCs w:val="22"/>
          <w:lang w:val="es-ES"/>
        </w:rPr>
      </w:pPr>
    </w:p>
    <w:p w14:paraId="7CE7435D" w14:textId="18F4D072" w:rsidR="00F270B5" w:rsidRPr="00B03D12" w:rsidRDefault="00F270B5" w:rsidP="00F270B5">
      <w:pPr>
        <w:spacing w:line="480" w:lineRule="auto"/>
        <w:rPr>
          <w:rFonts w:ascii="Book Antiqua" w:hAnsi="Book Antiqua"/>
          <w:i/>
          <w:lang w:val="es-ES"/>
        </w:rPr>
      </w:pPr>
      <w:r w:rsidRPr="00B03D12">
        <w:rPr>
          <w:rFonts w:ascii="Book Antiqua" w:hAnsi="Book Antiqua"/>
          <w:i/>
          <w:lang w:val="es-ES"/>
        </w:rPr>
        <w:t xml:space="preserve">RESUÉLVESE POR LA </w:t>
      </w:r>
      <w:r w:rsidR="00D7014F">
        <w:rPr>
          <w:rFonts w:ascii="Book Antiqua" w:hAnsi="Book Antiqua"/>
          <w:i/>
          <w:lang w:val="es-ES"/>
        </w:rPr>
        <w:t>ASAMBLEA LEGISLATIVA</w:t>
      </w:r>
      <w:r w:rsidRPr="00B03D12">
        <w:rPr>
          <w:rFonts w:ascii="Book Antiqua" w:hAnsi="Book Antiqua"/>
          <w:i/>
          <w:lang w:val="es-ES"/>
        </w:rPr>
        <w:t xml:space="preserve"> DE PUERTO RICO:</w:t>
      </w:r>
    </w:p>
    <w:p w14:paraId="4F105167" w14:textId="77777777" w:rsidR="00F270B5" w:rsidRPr="00B03D12" w:rsidRDefault="00F270B5" w:rsidP="00F270B5">
      <w:pPr>
        <w:spacing w:line="480" w:lineRule="auto"/>
        <w:jc w:val="both"/>
        <w:rPr>
          <w:rFonts w:ascii="Book Antiqua" w:hAnsi="Book Antiqua"/>
          <w:i/>
          <w:lang w:val="es-ES"/>
        </w:rPr>
        <w:sectPr w:rsidR="00F270B5" w:rsidRPr="00B03D12" w:rsidSect="0005601C">
          <w:headerReference w:type="default" r:id="rId7"/>
          <w:type w:val="continuous"/>
          <w:pgSz w:w="12240" w:h="15840" w:code="1"/>
          <w:pgMar w:top="1440" w:right="1440" w:bottom="1440" w:left="1440" w:header="720" w:footer="720" w:gutter="0"/>
          <w:cols w:space="720"/>
          <w:titlePg/>
        </w:sectPr>
      </w:pPr>
    </w:p>
    <w:p w14:paraId="1FD5552E" w14:textId="77777777" w:rsidR="00B911D1" w:rsidRDefault="00F270B5" w:rsidP="004053DB">
      <w:pPr>
        <w:spacing w:line="480" w:lineRule="auto"/>
        <w:ind w:firstLine="432"/>
        <w:jc w:val="both"/>
        <w:rPr>
          <w:rFonts w:ascii="Book Antiqua" w:hAnsi="Book Antiqua"/>
          <w:lang w:val="es-ES"/>
        </w:rPr>
      </w:pPr>
      <w:r w:rsidRPr="00B03D12">
        <w:rPr>
          <w:rFonts w:ascii="Book Antiqua" w:hAnsi="Book Antiqua"/>
          <w:lang w:val="es-ES"/>
        </w:rPr>
        <w:tab/>
        <w:t>Sección 1.-</w:t>
      </w:r>
      <w:r w:rsidR="00B03D12" w:rsidRPr="00C95D7A">
        <w:rPr>
          <w:lang w:val="es-ES"/>
        </w:rPr>
        <w:t xml:space="preserve"> </w:t>
      </w:r>
      <w:r w:rsidR="00906E2A">
        <w:rPr>
          <w:rFonts w:ascii="Book Antiqua" w:hAnsi="Book Antiqua"/>
          <w:lang w:val="es-ES"/>
        </w:rPr>
        <w:t>Se ordena</w:t>
      </w:r>
      <w:r w:rsidR="00906E2A" w:rsidRPr="00906E2A">
        <w:rPr>
          <w:rFonts w:ascii="Book Antiqua" w:hAnsi="Book Antiqua"/>
          <w:lang w:val="es-ES"/>
        </w:rPr>
        <w:t xml:space="preserve"> al consorcio LUMA Energy a que, en un término de treinta (30) días, muestre causa </w:t>
      </w:r>
      <w:r w:rsidR="00906E2A">
        <w:rPr>
          <w:rFonts w:ascii="Book Antiqua" w:hAnsi="Book Antiqua"/>
          <w:lang w:val="es-ES"/>
        </w:rPr>
        <w:t xml:space="preserve">ante la Asamblea Legislativa </w:t>
      </w:r>
      <w:r w:rsidR="00906E2A" w:rsidRPr="00906E2A">
        <w:rPr>
          <w:rFonts w:ascii="Book Antiqua" w:hAnsi="Book Antiqua"/>
          <w:lang w:val="es-ES"/>
        </w:rPr>
        <w:t xml:space="preserve">por la cual no deba cancelarse su contrato con el Gobierno de Puerto Rico. </w:t>
      </w:r>
    </w:p>
    <w:p w14:paraId="44315153" w14:textId="44879113" w:rsidR="004053DB" w:rsidRDefault="00906E2A" w:rsidP="004053DB">
      <w:pPr>
        <w:spacing w:line="480" w:lineRule="auto"/>
        <w:ind w:firstLine="432"/>
        <w:jc w:val="both"/>
        <w:rPr>
          <w:rFonts w:ascii="Book Antiqua" w:hAnsi="Book Antiqua"/>
          <w:lang w:val="es-ES"/>
        </w:rPr>
      </w:pPr>
      <w:r w:rsidRPr="00906E2A">
        <w:rPr>
          <w:rFonts w:ascii="Book Antiqua" w:hAnsi="Book Antiqua"/>
          <w:lang w:val="es-ES"/>
        </w:rPr>
        <w:t xml:space="preserve">De establecerse causa suficiente para la cancelación, y mediante el voto afirmativo de la Asamblea Legislativa, se procederá a solicitar formalmente al Gobierno de Puerto Rico la cancelación del contrato. </w:t>
      </w:r>
      <w:r w:rsidR="00091D9A">
        <w:rPr>
          <w:rFonts w:ascii="Book Antiqua" w:hAnsi="Book Antiqua"/>
          <w:lang w:val="es-ES"/>
        </w:rPr>
        <w:t>LUMA Energy</w:t>
      </w:r>
      <w:r w:rsidR="006D3BE5">
        <w:rPr>
          <w:rFonts w:ascii="Book Antiqua" w:hAnsi="Book Antiqua"/>
          <w:lang w:val="es-ES"/>
        </w:rPr>
        <w:t xml:space="preserve"> tendrá el peso de la prueba para demostrar que </w:t>
      </w:r>
      <w:r w:rsidR="00091D9A">
        <w:rPr>
          <w:rFonts w:ascii="Book Antiqua" w:hAnsi="Book Antiqua"/>
          <w:lang w:val="es-ES"/>
        </w:rPr>
        <w:t xml:space="preserve">cumple con sus obligaciones contractuales y ofrece un servicio </w:t>
      </w:r>
      <w:r w:rsidR="005F553C">
        <w:rPr>
          <w:rFonts w:ascii="Book Antiqua" w:hAnsi="Book Antiqua"/>
          <w:lang w:val="es-ES"/>
        </w:rPr>
        <w:t>adecuado</w:t>
      </w:r>
      <w:r w:rsidR="00957E72">
        <w:rPr>
          <w:rFonts w:ascii="Book Antiqua" w:hAnsi="Book Antiqua"/>
          <w:lang w:val="es-ES"/>
        </w:rPr>
        <w:t xml:space="preserve"> mediante. Deberá rendir informe y comparecer ante Asamblea Legislativa para exponer su posición por la cual no se deba cancelar el contrato. </w:t>
      </w:r>
    </w:p>
    <w:p w14:paraId="370BF2E0" w14:textId="6A402E68" w:rsidR="004053DB" w:rsidRPr="00B03D12" w:rsidRDefault="004053DB" w:rsidP="004053DB">
      <w:pPr>
        <w:spacing w:line="480" w:lineRule="auto"/>
        <w:ind w:firstLine="432"/>
        <w:jc w:val="both"/>
        <w:rPr>
          <w:rFonts w:ascii="Book Antiqua" w:hAnsi="Book Antiqua"/>
          <w:lang w:val="es-ES"/>
        </w:rPr>
      </w:pPr>
      <w:r>
        <w:rPr>
          <w:rFonts w:ascii="Book Antiqua" w:hAnsi="Book Antiqua"/>
          <w:lang w:val="es-ES"/>
        </w:rPr>
        <w:t xml:space="preserve">Sección 2. - </w:t>
      </w:r>
      <w:r w:rsidRPr="004053DB">
        <w:rPr>
          <w:rFonts w:ascii="Book Antiqua" w:hAnsi="Book Antiqua"/>
          <w:lang w:val="es-ES"/>
        </w:rPr>
        <w:t>De existir causa para cancelar</w:t>
      </w:r>
      <w:r w:rsidR="006D3BE5">
        <w:rPr>
          <w:rFonts w:ascii="Book Antiqua" w:hAnsi="Book Antiqua"/>
          <w:lang w:val="es-ES"/>
        </w:rPr>
        <w:t xml:space="preserve"> el </w:t>
      </w:r>
      <w:r w:rsidRPr="004053DB">
        <w:rPr>
          <w:rFonts w:ascii="Book Antiqua" w:hAnsi="Book Antiqua"/>
          <w:lang w:val="es-ES"/>
        </w:rPr>
        <w:t xml:space="preserve">contrato </w:t>
      </w:r>
      <w:r w:rsidR="00115C95">
        <w:rPr>
          <w:rFonts w:ascii="Book Antiqua" w:hAnsi="Book Antiqua"/>
          <w:lang w:val="es-ES"/>
        </w:rPr>
        <w:t>se solicitará al Gobierno de Puerto Rico que cancele el contrato</w:t>
      </w:r>
      <w:r w:rsidRPr="004053DB">
        <w:rPr>
          <w:rFonts w:ascii="Book Antiqua" w:hAnsi="Book Antiqua"/>
          <w:lang w:val="es-ES"/>
        </w:rPr>
        <w:t xml:space="preserve"> cuando exista una compañía que pueda asumir las funciones de manera competente</w:t>
      </w:r>
      <w:r w:rsidR="006D3BE5">
        <w:rPr>
          <w:rFonts w:ascii="Book Antiqua" w:hAnsi="Book Antiqua"/>
          <w:lang w:val="es-ES"/>
        </w:rPr>
        <w:t xml:space="preserve"> en su sustitución.</w:t>
      </w:r>
    </w:p>
    <w:p w14:paraId="57DD8FF7" w14:textId="37524570" w:rsidR="00F270B5" w:rsidRPr="00B03D12" w:rsidRDefault="00F270B5" w:rsidP="00B03D12">
      <w:pPr>
        <w:spacing w:line="480" w:lineRule="auto"/>
        <w:ind w:firstLine="432"/>
        <w:jc w:val="both"/>
        <w:rPr>
          <w:rFonts w:ascii="Book Antiqua" w:hAnsi="Book Antiqua"/>
          <w:lang w:val="es-ES"/>
        </w:rPr>
      </w:pPr>
      <w:r w:rsidRPr="00B03D12">
        <w:rPr>
          <w:rFonts w:ascii="Book Antiqua" w:hAnsi="Book Antiqua"/>
          <w:lang w:val="es-ES"/>
        </w:rPr>
        <w:t xml:space="preserve">Sección </w:t>
      </w:r>
      <w:r w:rsidR="004053DB">
        <w:rPr>
          <w:rFonts w:ascii="Book Antiqua" w:hAnsi="Book Antiqua"/>
          <w:lang w:val="es-ES"/>
        </w:rPr>
        <w:t>3</w:t>
      </w:r>
      <w:r w:rsidRPr="00B03D12">
        <w:rPr>
          <w:rFonts w:ascii="Book Antiqua" w:hAnsi="Book Antiqua"/>
          <w:lang w:val="es-ES"/>
        </w:rPr>
        <w:t>. – Vigencia</w:t>
      </w:r>
    </w:p>
    <w:p w14:paraId="6A267990" w14:textId="26EBEDF2" w:rsidR="00F73AAE" w:rsidRPr="00B03D12" w:rsidRDefault="00F270B5" w:rsidP="0036743C">
      <w:pPr>
        <w:spacing w:line="480" w:lineRule="auto"/>
        <w:ind w:firstLine="720"/>
        <w:jc w:val="both"/>
        <w:rPr>
          <w:rFonts w:ascii="Book Antiqua" w:hAnsi="Book Antiqua"/>
          <w:lang w:val="es-ES"/>
        </w:rPr>
      </w:pPr>
      <w:r w:rsidRPr="00B03D12">
        <w:rPr>
          <w:rFonts w:ascii="Book Antiqua" w:hAnsi="Book Antiqua"/>
          <w:lang w:val="es-ES"/>
        </w:rPr>
        <w:t>Esta Resolución Conjunta entrará en vigor inmediatamente después de su aprobación</w:t>
      </w:r>
      <w:r w:rsidR="0036743C" w:rsidRPr="00B03D12">
        <w:rPr>
          <w:rFonts w:ascii="Book Antiqua" w:hAnsi="Book Antiqua"/>
          <w:lang w:val="es-ES"/>
        </w:rPr>
        <w:t>.</w:t>
      </w:r>
    </w:p>
    <w:sectPr w:rsidR="00F73AAE" w:rsidRPr="00B03D12" w:rsidSect="0005601C">
      <w:headerReference w:type="default" r:id="rId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C522D" w14:textId="77777777" w:rsidR="00A83FCA" w:rsidRDefault="00A83FCA">
      <w:r>
        <w:separator/>
      </w:r>
    </w:p>
  </w:endnote>
  <w:endnote w:type="continuationSeparator" w:id="0">
    <w:p w14:paraId="74938101" w14:textId="77777777" w:rsidR="00A83FCA" w:rsidRDefault="00A83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4106F" w14:textId="77777777" w:rsidR="00A83FCA" w:rsidRDefault="00A83FCA">
      <w:r>
        <w:separator/>
      </w:r>
    </w:p>
  </w:footnote>
  <w:footnote w:type="continuationSeparator" w:id="0">
    <w:p w14:paraId="6BAEC881" w14:textId="77777777" w:rsidR="00A83FCA" w:rsidRDefault="00A83F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5776" w14:textId="77777777" w:rsidR="00F270B5" w:rsidRDefault="00F270B5">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AC82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A1A57">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73AAE"/>
    <w:rsid w:val="00020BBB"/>
    <w:rsid w:val="0005601C"/>
    <w:rsid w:val="00056024"/>
    <w:rsid w:val="00091D9A"/>
    <w:rsid w:val="00095AE1"/>
    <w:rsid w:val="000A6B6C"/>
    <w:rsid w:val="000B0DBB"/>
    <w:rsid w:val="000B38B5"/>
    <w:rsid w:val="00100DEA"/>
    <w:rsid w:val="00105F50"/>
    <w:rsid w:val="00111E71"/>
    <w:rsid w:val="00115C95"/>
    <w:rsid w:val="00127C6A"/>
    <w:rsid w:val="001363FE"/>
    <w:rsid w:val="0017132B"/>
    <w:rsid w:val="00174F06"/>
    <w:rsid w:val="00190422"/>
    <w:rsid w:val="001F612A"/>
    <w:rsid w:val="00211396"/>
    <w:rsid w:val="00226AE6"/>
    <w:rsid w:val="00245B34"/>
    <w:rsid w:val="00257786"/>
    <w:rsid w:val="00263355"/>
    <w:rsid w:val="00273792"/>
    <w:rsid w:val="002D4AC8"/>
    <w:rsid w:val="003047FB"/>
    <w:rsid w:val="00315A60"/>
    <w:rsid w:val="00320D78"/>
    <w:rsid w:val="003600B8"/>
    <w:rsid w:val="0036743C"/>
    <w:rsid w:val="00380FE5"/>
    <w:rsid w:val="00384C84"/>
    <w:rsid w:val="003924DD"/>
    <w:rsid w:val="00394FCB"/>
    <w:rsid w:val="003963F4"/>
    <w:rsid w:val="003A02EF"/>
    <w:rsid w:val="003B5254"/>
    <w:rsid w:val="003B75A6"/>
    <w:rsid w:val="003C36A4"/>
    <w:rsid w:val="003E588F"/>
    <w:rsid w:val="004053DB"/>
    <w:rsid w:val="004061CA"/>
    <w:rsid w:val="00413BEC"/>
    <w:rsid w:val="00415689"/>
    <w:rsid w:val="004440CB"/>
    <w:rsid w:val="004713D2"/>
    <w:rsid w:val="00494867"/>
    <w:rsid w:val="0050054E"/>
    <w:rsid w:val="00521639"/>
    <w:rsid w:val="00532BB7"/>
    <w:rsid w:val="005332E4"/>
    <w:rsid w:val="0053550C"/>
    <w:rsid w:val="00555018"/>
    <w:rsid w:val="00566615"/>
    <w:rsid w:val="005723DC"/>
    <w:rsid w:val="00586DB4"/>
    <w:rsid w:val="005A1DFE"/>
    <w:rsid w:val="005D3B5E"/>
    <w:rsid w:val="005F553C"/>
    <w:rsid w:val="006210DC"/>
    <w:rsid w:val="00623441"/>
    <w:rsid w:val="0063327E"/>
    <w:rsid w:val="0064349D"/>
    <w:rsid w:val="00685549"/>
    <w:rsid w:val="006A1550"/>
    <w:rsid w:val="006B7365"/>
    <w:rsid w:val="006C0F35"/>
    <w:rsid w:val="006C2D81"/>
    <w:rsid w:val="006C7DF8"/>
    <w:rsid w:val="006D3BE5"/>
    <w:rsid w:val="006F4C1F"/>
    <w:rsid w:val="006F7611"/>
    <w:rsid w:val="00706679"/>
    <w:rsid w:val="007121E4"/>
    <w:rsid w:val="00744F28"/>
    <w:rsid w:val="00750FC8"/>
    <w:rsid w:val="007533D0"/>
    <w:rsid w:val="00755069"/>
    <w:rsid w:val="007B0660"/>
    <w:rsid w:val="007E3868"/>
    <w:rsid w:val="007E3BDD"/>
    <w:rsid w:val="00815D02"/>
    <w:rsid w:val="00820C41"/>
    <w:rsid w:val="00850256"/>
    <w:rsid w:val="00853A73"/>
    <w:rsid w:val="00854572"/>
    <w:rsid w:val="008D28D4"/>
    <w:rsid w:val="00906E2A"/>
    <w:rsid w:val="00942FD4"/>
    <w:rsid w:val="00951997"/>
    <w:rsid w:val="00957E72"/>
    <w:rsid w:val="00967439"/>
    <w:rsid w:val="00986345"/>
    <w:rsid w:val="00990352"/>
    <w:rsid w:val="0099171F"/>
    <w:rsid w:val="009B33EE"/>
    <w:rsid w:val="009D28E6"/>
    <w:rsid w:val="00A03405"/>
    <w:rsid w:val="00A1528A"/>
    <w:rsid w:val="00A33918"/>
    <w:rsid w:val="00A71D81"/>
    <w:rsid w:val="00A7629F"/>
    <w:rsid w:val="00A83FCA"/>
    <w:rsid w:val="00A92E31"/>
    <w:rsid w:val="00AA1A57"/>
    <w:rsid w:val="00AB2DF5"/>
    <w:rsid w:val="00AF0CEE"/>
    <w:rsid w:val="00AF1701"/>
    <w:rsid w:val="00B03D12"/>
    <w:rsid w:val="00B579D9"/>
    <w:rsid w:val="00B667AD"/>
    <w:rsid w:val="00B84C38"/>
    <w:rsid w:val="00B86C00"/>
    <w:rsid w:val="00B911D1"/>
    <w:rsid w:val="00B947F6"/>
    <w:rsid w:val="00B97F0E"/>
    <w:rsid w:val="00BA32C0"/>
    <w:rsid w:val="00BC7C69"/>
    <w:rsid w:val="00BF16AA"/>
    <w:rsid w:val="00C354B8"/>
    <w:rsid w:val="00C37ABC"/>
    <w:rsid w:val="00C47086"/>
    <w:rsid w:val="00C52517"/>
    <w:rsid w:val="00C62936"/>
    <w:rsid w:val="00C653F2"/>
    <w:rsid w:val="00C679E6"/>
    <w:rsid w:val="00C908F9"/>
    <w:rsid w:val="00C95D7A"/>
    <w:rsid w:val="00CA0917"/>
    <w:rsid w:val="00CD73ED"/>
    <w:rsid w:val="00D1578A"/>
    <w:rsid w:val="00D417C2"/>
    <w:rsid w:val="00D60936"/>
    <w:rsid w:val="00D7014F"/>
    <w:rsid w:val="00D709EB"/>
    <w:rsid w:val="00D74714"/>
    <w:rsid w:val="00D810F6"/>
    <w:rsid w:val="00D82F3F"/>
    <w:rsid w:val="00D921C6"/>
    <w:rsid w:val="00D958C2"/>
    <w:rsid w:val="00DA6B69"/>
    <w:rsid w:val="00DD3D0E"/>
    <w:rsid w:val="00DE47C6"/>
    <w:rsid w:val="00E04AB5"/>
    <w:rsid w:val="00E42918"/>
    <w:rsid w:val="00E454F3"/>
    <w:rsid w:val="00E50EEA"/>
    <w:rsid w:val="00E52F58"/>
    <w:rsid w:val="00E66A45"/>
    <w:rsid w:val="00E72AA8"/>
    <w:rsid w:val="00EC26AA"/>
    <w:rsid w:val="00ED7A53"/>
    <w:rsid w:val="00EE4273"/>
    <w:rsid w:val="00F02004"/>
    <w:rsid w:val="00F042CB"/>
    <w:rsid w:val="00F101F9"/>
    <w:rsid w:val="00F256CE"/>
    <w:rsid w:val="00F270B5"/>
    <w:rsid w:val="00F714FB"/>
    <w:rsid w:val="00F73AAE"/>
    <w:rsid w:val="00FC0A95"/>
    <w:rsid w:val="00FC3D9C"/>
    <w:rsid w:val="00FE21A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BAF117"/>
  <w15:docId w15:val="{779304FE-E653-4A87-A35F-FCFE15E4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897</Words>
  <Characters>5037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Brenda L. Camacho Rivera</dc:creator>
  <cp:keywords/>
  <cp:lastModifiedBy>Gladys J. Burgos Torres</cp:lastModifiedBy>
  <cp:revision>5</cp:revision>
  <cp:lastPrinted>2000-03-03T16:35:00Z</cp:lastPrinted>
  <dcterms:created xsi:type="dcterms:W3CDTF">2025-06-17T21:17:00Z</dcterms:created>
  <dcterms:modified xsi:type="dcterms:W3CDTF">2025-06-19T13:15:00Z</dcterms:modified>
</cp:coreProperties>
</file>