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DE562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E45B379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1302FEC1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3D1498">
        <w:rPr>
          <w:rFonts w:ascii="Book Antiqua" w:hAnsi="Book Antiqua"/>
          <w:szCs w:val="24"/>
          <w:lang w:val="es-ES_tradnl"/>
        </w:rPr>
        <w:t>2d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74F3E4C3" w14:textId="77777777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4B9C04F3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76BEB6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57F1D30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88FA8D0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A4BD608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9C1115">
        <w:rPr>
          <w:rFonts w:ascii="Book Antiqua" w:hAnsi="Book Antiqua" w:cs="Tahoma"/>
          <w:b/>
          <w:sz w:val="52"/>
          <w:szCs w:val="52"/>
          <w:lang w:val="es-ES_tradnl"/>
        </w:rPr>
        <w:t xml:space="preserve"> 364</w:t>
      </w: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1A5EB9AA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3F05708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EBB70C4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E1FB1B" w14:textId="77777777" w:rsidR="002670C1" w:rsidRPr="005A7E47" w:rsidRDefault="00A362B3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12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29076F">
        <w:rPr>
          <w:rFonts w:ascii="Book Antiqua" w:hAnsi="Book Antiqua" w:cs="Tahoma"/>
          <w:lang w:val="es-ES_tradnl"/>
        </w:rPr>
        <w:t>agosto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036ADD81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35C05529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E8FE1AF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60D1BD9B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963C4A3" w14:textId="77777777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9C1115">
        <w:rPr>
          <w:rFonts w:ascii="Book Antiqua" w:hAnsi="Book Antiqua" w:cs="Tahoma"/>
          <w:lang w:val="es-ES_tradnl"/>
        </w:rPr>
        <w:t xml:space="preserve"> 364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37B9F8C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28A47AC7" w14:textId="77777777" w:rsidR="008D4A0A" w:rsidRPr="00DF3E6F" w:rsidRDefault="00BC1CB2" w:rsidP="009C1115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9C1115">
        <w:rPr>
          <w:rFonts w:ascii="Book Antiqua" w:hAnsi="Book Antiqua"/>
          <w:lang w:val="es-ES_tradnl"/>
        </w:rPr>
        <w:t>Para</w:t>
      </w:r>
      <w:r w:rsidR="00E86FF9" w:rsidRPr="009C1115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9C1115">
        <w:rPr>
          <w:rFonts w:ascii="Book Antiqua" w:hAnsi="Book Antiqua"/>
          <w:lang w:val="es-PR"/>
        </w:rPr>
        <w:t xml:space="preserve">ordenar </w:t>
      </w:r>
      <w:bookmarkStart w:id="3" w:name="_Hlk481775927"/>
      <w:r w:rsidR="00272823" w:rsidRPr="009C1115">
        <w:rPr>
          <w:rFonts w:ascii="Book Antiqua" w:hAnsi="Book Antiqua"/>
          <w:lang w:val="es-PR"/>
        </w:rPr>
        <w:t xml:space="preserve">a la Comisión </w:t>
      </w:r>
      <w:r w:rsidR="00C321E8" w:rsidRPr="009C1115">
        <w:rPr>
          <w:rFonts w:ascii="Book Antiqua" w:hAnsi="Book Antiqua"/>
          <w:lang w:val="es-ES_tradnl"/>
        </w:rPr>
        <w:t>de</w:t>
      </w:r>
      <w:r w:rsidR="00DF3E6F" w:rsidRPr="009C1115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9C1115" w:rsidRPr="009C1115">
        <w:rPr>
          <w:rFonts w:ascii="Book Antiqua" w:hAnsi="Book Antiqua"/>
          <w:lang w:val="es-ES_tradnl"/>
        </w:rPr>
        <w:t xml:space="preserve">Seguridad Pública de la Cámara de Representantes del Gobierno de Puerto Rico, realizar una investigación sobre las condiciones operacionales de los hidrantes (bocas de incendio) en Puerto Rico y determinar si el Departamento de Seguridad Pública, el Negociado de Bomberos de Puerto Rico y la Autoridad de Acueductos y Alcantarillados (AAA), </w:t>
      </w:r>
      <w:r w:rsidR="009C1115" w:rsidRPr="009C1115">
        <w:rPr>
          <w:rFonts w:ascii="Book Antiqua" w:hAnsi="Book Antiqua"/>
          <w:iCs/>
          <w:lang w:val="es-ES_tradnl"/>
        </w:rPr>
        <w:t>mantienen o han desarrollado un plan de mejoras que garantice su funcionamiento eficiente y adecuado durante emergencias</w:t>
      </w:r>
      <w:r w:rsidR="009C1115" w:rsidRPr="009C1115">
        <w:rPr>
          <w:rFonts w:ascii="Book Antiqua" w:hAnsi="Book Antiqua"/>
          <w:lang w:val="es-ES_tradnl"/>
        </w:rPr>
        <w:t>; y</w:t>
      </w:r>
      <w:r w:rsidR="00B20577">
        <w:rPr>
          <w:rFonts w:ascii="Book Antiqua" w:hAnsi="Book Antiqua"/>
          <w:lang w:val="es-ES_tradnl"/>
        </w:rPr>
        <w:t xml:space="preserve"> para otros fines relacionados.</w:t>
      </w:r>
      <w:r w:rsidR="00FA5F29" w:rsidRPr="009C1115">
        <w:rPr>
          <w:rFonts w:ascii="Book Antiqua" w:hAnsi="Book Antiqua"/>
          <w:bCs/>
          <w:lang w:val="es-ES_tradnl"/>
        </w:rPr>
        <w:t>”</w:t>
      </w:r>
    </w:p>
    <w:p w14:paraId="4906F19E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2A70259F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2B601BD4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1187068" w14:textId="77777777" w:rsidR="009C1115" w:rsidRPr="00361FF5" w:rsidRDefault="00CC4336" w:rsidP="009C1115">
      <w:pPr>
        <w:jc w:val="both"/>
        <w:rPr>
          <w:rFonts w:ascii="Book Antiqua" w:hAnsi="Book Antiqua"/>
          <w:lang w:val="es-ES_tradnl"/>
        </w:rPr>
      </w:pPr>
      <w:r w:rsidRPr="00876FDE">
        <w:rPr>
          <w:rFonts w:ascii="Book Antiqua" w:eastAsia="Calibri" w:hAnsi="Book Antiqua"/>
          <w:lang w:val="es-ES_tradnl"/>
        </w:rPr>
        <w:t xml:space="preserve">     </w:t>
      </w:r>
      <w:r w:rsidR="00DE02EB" w:rsidRPr="00361FF5">
        <w:rPr>
          <w:rFonts w:ascii="Book Antiqua" w:hAnsi="Book Antiqua"/>
          <w:lang w:val="es-ES_tradnl"/>
        </w:rPr>
        <w:t>La</w:t>
      </w:r>
      <w:r w:rsidR="00194744" w:rsidRPr="00361FF5">
        <w:rPr>
          <w:rFonts w:ascii="Book Antiqua" w:hAnsi="Book Antiqua"/>
          <w:lang w:val="es-ES_tradnl"/>
        </w:rPr>
        <w:t xml:space="preserve"> Resolución de la Cámara Núm.</w:t>
      </w:r>
      <w:r w:rsidR="000F1167" w:rsidRPr="00361FF5">
        <w:rPr>
          <w:rFonts w:ascii="Book Antiqua" w:hAnsi="Book Antiqua"/>
          <w:lang w:val="es-ES_tradnl"/>
        </w:rPr>
        <w:t xml:space="preserve"> </w:t>
      </w:r>
      <w:r w:rsidR="009C1115" w:rsidRPr="00361FF5">
        <w:rPr>
          <w:rFonts w:ascii="Book Antiqua" w:hAnsi="Book Antiqua"/>
          <w:lang w:val="es-ES_tradnl"/>
        </w:rPr>
        <w:t>364 tiene como objetivo evaluar el estado de los hidrantes en Puerto Rico y determinar si existen planes concretos de mantenimiento y mejoras por parte de las agencias pertinentes, a saber: el Departamento de Seguridad Pública, el Negociado de Bomberos de Puerto Rico y la Autoridad de Acueductos y Alcantarillados.</w:t>
      </w:r>
    </w:p>
    <w:p w14:paraId="419CF7D5" w14:textId="77777777" w:rsidR="009C1115" w:rsidRPr="00361FF5" w:rsidRDefault="009C1115" w:rsidP="009C1115">
      <w:pPr>
        <w:jc w:val="both"/>
        <w:rPr>
          <w:rFonts w:ascii="Book Antiqua" w:hAnsi="Book Antiqua"/>
          <w:lang w:val="es-ES_tradnl"/>
        </w:rPr>
      </w:pPr>
    </w:p>
    <w:p w14:paraId="3DDC8D1B" w14:textId="77777777" w:rsidR="009C1115" w:rsidRPr="00361FF5" w:rsidRDefault="009C1115" w:rsidP="009C1115">
      <w:pPr>
        <w:jc w:val="both"/>
        <w:rPr>
          <w:rFonts w:ascii="Book Antiqua" w:hAnsi="Book Antiqua"/>
          <w:lang w:val="es-ES_tradnl"/>
        </w:rPr>
      </w:pPr>
      <w:r w:rsidRPr="00361FF5">
        <w:rPr>
          <w:rFonts w:ascii="Book Antiqua" w:hAnsi="Book Antiqua"/>
          <w:lang w:val="es-ES_tradnl"/>
        </w:rPr>
        <w:t xml:space="preserve">     La Exposición de Motivos destaca el mandato legal del Negociado del Cuerpo de Bomberos en virtud de la Ley 20-2017, así como el rol de la AAA bajo la Ley Núm. 410 </w:t>
      </w:r>
      <w:r w:rsidRPr="00361FF5">
        <w:rPr>
          <w:rFonts w:ascii="Book Antiqua" w:hAnsi="Book Antiqua"/>
          <w:lang w:val="es-ES_tradnl"/>
        </w:rPr>
        <w:lastRenderedPageBreak/>
        <w:t>de 1945. Señala que, en la práctica, muchos hidrantes se encuentran inoperantes o deteriorados, lo cual ha comprometido la capacidad de respuesta ante incendios.</w:t>
      </w:r>
    </w:p>
    <w:p w14:paraId="511E1FC5" w14:textId="77777777" w:rsidR="009C1115" w:rsidRPr="00361FF5" w:rsidRDefault="009C1115" w:rsidP="009C1115">
      <w:pPr>
        <w:jc w:val="both"/>
        <w:rPr>
          <w:rFonts w:ascii="Book Antiqua" w:hAnsi="Book Antiqua"/>
          <w:lang w:val="es-ES_tradnl"/>
        </w:rPr>
      </w:pPr>
    </w:p>
    <w:p w14:paraId="0BB5B60A" w14:textId="77777777" w:rsidR="009C1115" w:rsidRPr="00361FF5" w:rsidRDefault="009C1115" w:rsidP="009C1115">
      <w:pPr>
        <w:jc w:val="both"/>
        <w:rPr>
          <w:rFonts w:ascii="Book Antiqua" w:hAnsi="Book Antiqua"/>
          <w:lang w:val="es-ES_tradnl"/>
        </w:rPr>
      </w:pPr>
      <w:r w:rsidRPr="00361FF5">
        <w:rPr>
          <w:rFonts w:ascii="Book Antiqua" w:hAnsi="Book Antiqua"/>
          <w:lang w:val="es-ES_tradnl"/>
        </w:rPr>
        <w:t xml:space="preserve">     Además, se recoge la denuncia del Procurador del Ciudadano sobre la falta de funcionamiento de numerosos hidrantes y su potencial efecto en situaciones de emergencia. Este señalamiento levanta preocupaciones legítimas sobre la coordinación interagencial y la eficacia de los mecanismos de mantenimiento y supervisión.</w:t>
      </w:r>
    </w:p>
    <w:p w14:paraId="55155F92" w14:textId="77777777" w:rsidR="009C1115" w:rsidRPr="00361FF5" w:rsidRDefault="009C1115" w:rsidP="009C1115">
      <w:pPr>
        <w:jc w:val="both"/>
        <w:rPr>
          <w:rFonts w:ascii="Book Antiqua" w:hAnsi="Book Antiqua"/>
          <w:lang w:val="es-ES_tradnl"/>
        </w:rPr>
      </w:pPr>
    </w:p>
    <w:p w14:paraId="300037E3" w14:textId="77777777" w:rsidR="009C1115" w:rsidRPr="00361FF5" w:rsidRDefault="009C1115" w:rsidP="009C1115">
      <w:pPr>
        <w:jc w:val="both"/>
        <w:rPr>
          <w:rFonts w:ascii="Book Antiqua" w:hAnsi="Book Antiqua"/>
          <w:lang w:val="es-ES_tradnl"/>
        </w:rPr>
      </w:pPr>
      <w:r w:rsidRPr="00361FF5">
        <w:rPr>
          <w:rFonts w:ascii="Book Antiqua" w:hAnsi="Book Antiqua"/>
          <w:lang w:val="es-ES_tradnl"/>
        </w:rPr>
        <w:t xml:space="preserve">     La medida propone un análisis legislativo que permita identificar fallas estructurales en el sistema, establecer responsabilidades y, de ser necesario, promover legislación correctiva.</w:t>
      </w:r>
    </w:p>
    <w:p w14:paraId="136CBCC2" w14:textId="77777777" w:rsidR="009C1115" w:rsidRPr="00361FF5" w:rsidRDefault="009C1115" w:rsidP="009C1115">
      <w:pPr>
        <w:jc w:val="both"/>
        <w:rPr>
          <w:rFonts w:ascii="Book Antiqua" w:hAnsi="Book Antiqua"/>
          <w:lang w:val="es-ES_tradnl"/>
        </w:rPr>
      </w:pPr>
    </w:p>
    <w:p w14:paraId="4D922848" w14:textId="77777777" w:rsidR="00DF3E6F" w:rsidRPr="00361FF5" w:rsidRDefault="009C1115" w:rsidP="00DF3E6F">
      <w:pPr>
        <w:jc w:val="both"/>
        <w:rPr>
          <w:rFonts w:ascii="Book Antiqua" w:hAnsi="Book Antiqua"/>
          <w:lang w:val="es-ES_tradnl"/>
        </w:rPr>
      </w:pPr>
      <w:r w:rsidRPr="00361FF5">
        <w:rPr>
          <w:rFonts w:ascii="Book Antiqua" w:hAnsi="Book Antiqua"/>
          <w:lang w:val="es-ES_tradnl"/>
        </w:rPr>
        <w:t xml:space="preserve">     La Comisión estima que la medida cumple con los requisitos legales y reglamentarios aplicables, y que persigue un fin legítimo y apremiante relacionado con la seguridad pública.</w:t>
      </w:r>
    </w:p>
    <w:p w14:paraId="7B2028C5" w14:textId="77777777" w:rsidR="006150BB" w:rsidRPr="00361FF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361FF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BC90CDF" w14:textId="77777777" w:rsidR="001A02E8" w:rsidRPr="00361FF5" w:rsidRDefault="00361FF5" w:rsidP="00361FF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361FF5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361FF5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la Resoluc</w:t>
      </w:r>
      <w:r w:rsidRPr="00361FF5">
        <w:rPr>
          <w:rFonts w:ascii="Book Antiqua" w:hAnsi="Book Antiqua"/>
          <w:sz w:val="24"/>
          <w:szCs w:val="24"/>
          <w:lang w:val="es-ES_tradnl"/>
        </w:rPr>
        <w:t>ión de la Cámara 364</w:t>
      </w:r>
      <w:r w:rsidR="001A02E8" w:rsidRPr="00361FF5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0AFF91DE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098BB6BC" w14:textId="77777777" w:rsidR="00DF3E6F" w:rsidRPr="009E3ED7" w:rsidRDefault="00DF3E6F" w:rsidP="00DF3E6F">
      <w:pPr>
        <w:jc w:val="both"/>
        <w:rPr>
          <w:rFonts w:ascii="Book Antiqua" w:hAnsi="Book Antiqua"/>
          <w:lang w:val="es-PR"/>
        </w:rPr>
      </w:pPr>
    </w:p>
    <w:p w14:paraId="4FEE0FE8" w14:textId="77777777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9E3ED7">
        <w:rPr>
          <w:rFonts w:ascii="Book Antiqua" w:hAnsi="Book Antiqua"/>
          <w:lang w:val="es-PR"/>
        </w:rPr>
        <w:t xml:space="preserve">    </w:t>
      </w:r>
    </w:p>
    <w:p w14:paraId="7AE5074D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3F5614E0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646BB19C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12899E84" w14:textId="77777777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DFA92" w14:textId="77777777" w:rsidR="00737E93" w:rsidRDefault="00737E93" w:rsidP="00614C2C">
      <w:r>
        <w:separator/>
      </w:r>
    </w:p>
  </w:endnote>
  <w:endnote w:type="continuationSeparator" w:id="0">
    <w:p w14:paraId="00472757" w14:textId="77777777" w:rsidR="00737E93" w:rsidRDefault="00737E9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57B44" w14:textId="77777777" w:rsidR="009C1115" w:rsidRDefault="009C111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0577">
      <w:rPr>
        <w:noProof/>
      </w:rPr>
      <w:t>1</w:t>
    </w:r>
    <w:r>
      <w:rPr>
        <w:noProof/>
      </w:rPr>
      <w:fldChar w:fldCharType="end"/>
    </w:r>
  </w:p>
  <w:p w14:paraId="08E6B700" w14:textId="77777777" w:rsidR="009C1115" w:rsidRDefault="009C11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943A4" w14:textId="77777777" w:rsidR="00737E93" w:rsidRDefault="00737E93" w:rsidP="00614C2C">
      <w:r>
        <w:separator/>
      </w:r>
    </w:p>
  </w:footnote>
  <w:footnote w:type="continuationSeparator" w:id="0">
    <w:p w14:paraId="2E38D56A" w14:textId="77777777" w:rsidR="00737E93" w:rsidRDefault="00737E9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4875466">
    <w:abstractNumId w:val="6"/>
  </w:num>
  <w:num w:numId="2" w16cid:durableId="308294483">
    <w:abstractNumId w:val="12"/>
  </w:num>
  <w:num w:numId="3" w16cid:durableId="732582372">
    <w:abstractNumId w:val="3"/>
  </w:num>
  <w:num w:numId="4" w16cid:durableId="1800799710">
    <w:abstractNumId w:val="1"/>
  </w:num>
  <w:num w:numId="5" w16cid:durableId="1445736424">
    <w:abstractNumId w:val="7"/>
  </w:num>
  <w:num w:numId="6" w16cid:durableId="292712056">
    <w:abstractNumId w:val="4"/>
  </w:num>
  <w:num w:numId="7" w16cid:durableId="1206478418">
    <w:abstractNumId w:val="5"/>
  </w:num>
  <w:num w:numId="8" w16cid:durableId="319310393">
    <w:abstractNumId w:val="8"/>
  </w:num>
  <w:num w:numId="9" w16cid:durableId="679508643">
    <w:abstractNumId w:val="9"/>
  </w:num>
  <w:num w:numId="10" w16cid:durableId="233510345">
    <w:abstractNumId w:val="0"/>
  </w:num>
  <w:num w:numId="11" w16cid:durableId="2130274414">
    <w:abstractNumId w:val="2"/>
  </w:num>
  <w:num w:numId="12" w16cid:durableId="504439203">
    <w:abstractNumId w:val="11"/>
  </w:num>
  <w:num w:numId="13" w16cid:durableId="3638721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B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61FF5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37E93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0781B"/>
    <w:rsid w:val="00812C0F"/>
    <w:rsid w:val="008171E8"/>
    <w:rsid w:val="00846B7C"/>
    <w:rsid w:val="00851127"/>
    <w:rsid w:val="00876FDE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1115"/>
    <w:rsid w:val="009E27AD"/>
    <w:rsid w:val="009E2C2B"/>
    <w:rsid w:val="009E3ED7"/>
    <w:rsid w:val="009E7623"/>
    <w:rsid w:val="00A012A2"/>
    <w:rsid w:val="00A14380"/>
    <w:rsid w:val="00A15740"/>
    <w:rsid w:val="00A16A73"/>
    <w:rsid w:val="00A21C7C"/>
    <w:rsid w:val="00A362B3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77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C6819"/>
    <w:rsid w:val="00CD5EE6"/>
    <w:rsid w:val="00CD69DB"/>
    <w:rsid w:val="00D42962"/>
    <w:rsid w:val="00D6584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0672B"/>
    <w:rsid w:val="00E13CC6"/>
    <w:rsid w:val="00E33303"/>
    <w:rsid w:val="00E7273B"/>
    <w:rsid w:val="00E8699D"/>
    <w:rsid w:val="00E86FF9"/>
    <w:rsid w:val="00EB0209"/>
    <w:rsid w:val="00EB3FFE"/>
    <w:rsid w:val="00EC1109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DC1BA2"/>
  <w15:docId w15:val="{6A38838C-4975-4AF9-807E-CE1A5BAD0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64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RC0364 -i</Template>
  <TotalTime>0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2025-08-12T20:09:00Z</dcterms:created>
  <dcterms:modified xsi:type="dcterms:W3CDTF">2025-08-12T20:09:00Z</dcterms:modified>
</cp:coreProperties>
</file>