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3A2D5AE3" w:rsidR="00104EFE" w:rsidRPr="00FB6836" w:rsidRDefault="00104EFE" w:rsidP="00104EFE">
      <w:pPr>
        <w:jc w:val="center"/>
        <w:rPr>
          <w:rFonts w:ascii="Book Antiqua" w:hAnsi="Book Antiqua"/>
          <w:color w:val="000000"/>
          <w:lang w:val="es-ES"/>
        </w:rPr>
      </w:pPr>
      <w:r w:rsidRPr="00FB6836">
        <w:rPr>
          <w:rFonts w:ascii="Book Antiqua" w:hAnsi="Book Antiqua"/>
          <w:b/>
          <w:color w:val="000000"/>
          <w:sz w:val="28"/>
          <w:szCs w:val="28"/>
          <w:lang w:val="es-ES"/>
        </w:rPr>
        <w:t>GOBIERNO DE PUERTO RICO</w:t>
      </w:r>
    </w:p>
    <w:p w14:paraId="25DFC41B" w14:textId="77777777" w:rsidR="00104EFE" w:rsidRPr="00FB6836"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B6836" w14:paraId="67F2466B" w14:textId="77777777">
        <w:tc>
          <w:tcPr>
            <w:tcW w:w="3139" w:type="dxa"/>
          </w:tcPr>
          <w:p w14:paraId="5227DC8D" w14:textId="77777777" w:rsidR="00104EFE" w:rsidRPr="00FB6836" w:rsidRDefault="00104EFE">
            <w:pPr>
              <w:rPr>
                <w:rFonts w:ascii="Book Antiqua" w:hAnsi="Book Antiqua"/>
                <w:lang w:val="es-ES"/>
              </w:rPr>
            </w:pPr>
            <w:r w:rsidRPr="00FB6836">
              <w:rPr>
                <w:rFonts w:ascii="Book Antiqua" w:hAnsi="Book Antiqua"/>
                <w:lang w:val="es-ES"/>
              </w:rPr>
              <w:t>20</w:t>
            </w:r>
            <w:r w:rsidRPr="00FB6836">
              <w:rPr>
                <w:rFonts w:ascii="Book Antiqua" w:hAnsi="Book Antiqua"/>
                <w:vertAlign w:val="superscript"/>
                <w:lang w:val="es-ES"/>
              </w:rPr>
              <w:t>ma</w:t>
            </w:r>
            <w:r w:rsidRPr="00FB6836">
              <w:rPr>
                <w:rFonts w:ascii="Book Antiqua" w:hAnsi="Book Antiqua"/>
                <w:lang w:val="es-ES"/>
              </w:rPr>
              <w:t>Asamblea</w:t>
            </w:r>
          </w:p>
          <w:p w14:paraId="5E44E796" w14:textId="77777777" w:rsidR="00104EFE" w:rsidRPr="00FB6836" w:rsidRDefault="00104EFE">
            <w:pPr>
              <w:rPr>
                <w:rFonts w:ascii="Book Antiqua" w:hAnsi="Book Antiqua"/>
                <w:lang w:val="es-ES"/>
              </w:rPr>
            </w:pPr>
            <w:r w:rsidRPr="00FB6836">
              <w:rPr>
                <w:rFonts w:ascii="Book Antiqua" w:hAnsi="Book Antiqua"/>
                <w:lang w:val="es-ES"/>
              </w:rPr>
              <w:t>Legislativa</w:t>
            </w:r>
          </w:p>
        </w:tc>
        <w:tc>
          <w:tcPr>
            <w:tcW w:w="3095" w:type="dxa"/>
          </w:tcPr>
          <w:p w14:paraId="14754195" w14:textId="77777777" w:rsidR="00104EFE" w:rsidRPr="00FB6836" w:rsidRDefault="00104EFE">
            <w:pPr>
              <w:jc w:val="center"/>
              <w:rPr>
                <w:rFonts w:ascii="Book Antiqua" w:hAnsi="Book Antiqua"/>
                <w:lang w:val="es-ES"/>
              </w:rPr>
            </w:pPr>
          </w:p>
        </w:tc>
        <w:tc>
          <w:tcPr>
            <w:tcW w:w="3126" w:type="dxa"/>
          </w:tcPr>
          <w:p w14:paraId="7161ADAB" w14:textId="026E3D74" w:rsidR="00104EFE" w:rsidRPr="00FB6836" w:rsidRDefault="00A429CC">
            <w:pPr>
              <w:jc w:val="right"/>
              <w:rPr>
                <w:rFonts w:ascii="Book Antiqua" w:hAnsi="Book Antiqua"/>
                <w:lang w:val="es-ES"/>
              </w:rPr>
            </w:pPr>
            <w:r w:rsidRPr="00A429CC">
              <w:rPr>
                <w:rFonts w:ascii="Book Antiqua" w:hAnsi="Book Antiqua"/>
                <w:lang w:val="es-ES"/>
              </w:rPr>
              <w:t>2</w:t>
            </w:r>
            <w:r>
              <w:rPr>
                <w:rFonts w:ascii="Book Antiqua" w:hAnsi="Book Antiqua"/>
                <w:vertAlign w:val="superscript"/>
                <w:lang w:val="es-ES"/>
              </w:rPr>
              <w:t>da</w:t>
            </w:r>
            <w:r w:rsidR="00104EFE" w:rsidRPr="00FB6836">
              <w:rPr>
                <w:rFonts w:ascii="Book Antiqua" w:hAnsi="Book Antiqua"/>
                <w:lang w:val="es-ES"/>
              </w:rPr>
              <w:t xml:space="preserve"> Sesión </w:t>
            </w:r>
          </w:p>
          <w:p w14:paraId="4B507055" w14:textId="77777777" w:rsidR="00104EFE" w:rsidRPr="00FB6836" w:rsidRDefault="00104EFE">
            <w:pPr>
              <w:jc w:val="right"/>
              <w:rPr>
                <w:rFonts w:ascii="Book Antiqua" w:hAnsi="Book Antiqua"/>
                <w:lang w:val="es-ES"/>
              </w:rPr>
            </w:pPr>
            <w:r w:rsidRPr="00FB6836">
              <w:rPr>
                <w:rFonts w:ascii="Book Antiqua" w:hAnsi="Book Antiqua"/>
                <w:lang w:val="es-ES"/>
              </w:rPr>
              <w:t>Ordinaria</w:t>
            </w:r>
          </w:p>
        </w:tc>
      </w:tr>
    </w:tbl>
    <w:p w14:paraId="06600B14" w14:textId="77777777" w:rsidR="00104EFE" w:rsidRPr="00FB6836" w:rsidRDefault="00104EFE" w:rsidP="00104EFE">
      <w:pPr>
        <w:jc w:val="center"/>
        <w:rPr>
          <w:rFonts w:ascii="Book Antiqua" w:hAnsi="Book Antiqua"/>
          <w:b/>
          <w:bCs/>
          <w:color w:val="000000"/>
          <w:sz w:val="28"/>
          <w:szCs w:val="28"/>
          <w:lang w:val="es-ES"/>
        </w:rPr>
      </w:pPr>
    </w:p>
    <w:p w14:paraId="2D95B650" w14:textId="77777777" w:rsidR="00104EFE" w:rsidRPr="00FB6836" w:rsidRDefault="00104EFE" w:rsidP="00104EFE">
      <w:pPr>
        <w:jc w:val="center"/>
        <w:rPr>
          <w:rFonts w:ascii="Book Antiqua" w:hAnsi="Book Antiqua"/>
          <w:b/>
          <w:bCs/>
          <w:color w:val="000000"/>
          <w:sz w:val="36"/>
          <w:szCs w:val="36"/>
          <w:lang w:val="es-ES"/>
        </w:rPr>
      </w:pPr>
      <w:r w:rsidRPr="00FB6836">
        <w:rPr>
          <w:rFonts w:ascii="Book Antiqua" w:hAnsi="Book Antiqua"/>
          <w:b/>
          <w:bCs/>
          <w:color w:val="000000"/>
          <w:sz w:val="36"/>
          <w:szCs w:val="36"/>
          <w:lang w:val="es-ES"/>
        </w:rPr>
        <w:t>CÁMARA DE REPRESENTANTES</w:t>
      </w:r>
    </w:p>
    <w:p w14:paraId="637FEFCE" w14:textId="77777777" w:rsidR="00104EFE" w:rsidRPr="00FB6836" w:rsidRDefault="00104EFE" w:rsidP="00104EFE">
      <w:pPr>
        <w:jc w:val="center"/>
        <w:rPr>
          <w:rFonts w:ascii="Book Antiqua" w:hAnsi="Book Antiqua"/>
          <w:lang w:val="es-ES"/>
        </w:rPr>
      </w:pPr>
    </w:p>
    <w:p w14:paraId="3E1F9C62" w14:textId="2851F8B5" w:rsidR="00104EFE" w:rsidRPr="00FB6836" w:rsidRDefault="00104EFE" w:rsidP="00104EFE">
      <w:pPr>
        <w:jc w:val="center"/>
        <w:rPr>
          <w:rFonts w:ascii="Book Antiqua" w:hAnsi="Book Antiqua"/>
          <w:b/>
          <w:sz w:val="52"/>
          <w:szCs w:val="52"/>
          <w:lang w:val="es-ES"/>
        </w:rPr>
      </w:pPr>
      <w:r w:rsidRPr="00FB6836">
        <w:rPr>
          <w:rFonts w:ascii="Book Antiqua" w:hAnsi="Book Antiqua"/>
          <w:b/>
          <w:sz w:val="52"/>
          <w:szCs w:val="52"/>
          <w:lang w:val="es-ES"/>
        </w:rPr>
        <w:t xml:space="preserve">P. de la C. </w:t>
      </w:r>
      <w:r w:rsidR="009A1F1C">
        <w:rPr>
          <w:rFonts w:ascii="Book Antiqua" w:hAnsi="Book Antiqua"/>
          <w:b/>
          <w:sz w:val="52"/>
          <w:szCs w:val="52"/>
          <w:lang w:val="es-ES"/>
        </w:rPr>
        <w:t>732</w:t>
      </w:r>
    </w:p>
    <w:p w14:paraId="5DBF40AE" w14:textId="77777777" w:rsidR="00104EFE" w:rsidRPr="00FB6836" w:rsidRDefault="00104EFE" w:rsidP="00104EFE">
      <w:pPr>
        <w:pStyle w:val="Heading1"/>
        <w:jc w:val="center"/>
        <w:rPr>
          <w:rFonts w:ascii="Book Antiqua" w:hAnsi="Book Antiqua"/>
          <w:color w:val="auto"/>
          <w:sz w:val="28"/>
          <w:szCs w:val="28"/>
          <w:lang w:val="es-ES"/>
        </w:rPr>
      </w:pPr>
      <w:r w:rsidRPr="00FB6836">
        <w:rPr>
          <w:rFonts w:ascii="Book Antiqua" w:hAnsi="Book Antiqua"/>
          <w:color w:val="auto"/>
          <w:sz w:val="28"/>
          <w:szCs w:val="28"/>
          <w:lang w:val="es-ES"/>
        </w:rPr>
        <w:t>INFORME POSITIVO</w:t>
      </w:r>
    </w:p>
    <w:p w14:paraId="0D212E54" w14:textId="77777777" w:rsidR="00104EFE" w:rsidRPr="00FB6836" w:rsidRDefault="00104EFE" w:rsidP="00104EFE">
      <w:pPr>
        <w:rPr>
          <w:rFonts w:ascii="Book Antiqua" w:hAnsi="Book Antiqua"/>
          <w:bCs/>
          <w:color w:val="000000"/>
          <w:lang w:val="es-ES"/>
        </w:rPr>
      </w:pPr>
    </w:p>
    <w:p w14:paraId="4CFAFB32" w14:textId="44CD8211" w:rsidR="00104EFE" w:rsidRPr="00FB6836" w:rsidRDefault="00EA200A" w:rsidP="00104EFE">
      <w:pPr>
        <w:jc w:val="center"/>
        <w:rPr>
          <w:rFonts w:ascii="Book Antiqua" w:hAnsi="Book Antiqua"/>
          <w:color w:val="000000"/>
          <w:lang w:val="es-ES"/>
        </w:rPr>
      </w:pPr>
      <w:r>
        <w:rPr>
          <w:rFonts w:ascii="Book Antiqua" w:hAnsi="Book Antiqua"/>
          <w:bCs/>
          <w:color w:val="000000"/>
          <w:lang w:val="es-ES"/>
        </w:rPr>
        <w:t>13</w:t>
      </w:r>
      <w:r w:rsidR="00F865AD" w:rsidRPr="00FB6836">
        <w:rPr>
          <w:rFonts w:ascii="Book Antiqua" w:hAnsi="Book Antiqua"/>
          <w:bCs/>
          <w:color w:val="000000"/>
          <w:lang w:val="es-ES"/>
        </w:rPr>
        <w:t xml:space="preserve"> DE </w:t>
      </w:r>
      <w:r w:rsidR="00385237">
        <w:rPr>
          <w:rFonts w:ascii="Book Antiqua" w:hAnsi="Book Antiqua"/>
          <w:bCs/>
          <w:color w:val="000000"/>
          <w:lang w:val="es-ES"/>
        </w:rPr>
        <w:t>NOVIEMBRE</w:t>
      </w:r>
      <w:r w:rsidR="00F865AD" w:rsidRPr="00FB6836">
        <w:rPr>
          <w:rFonts w:ascii="Book Antiqua" w:hAnsi="Book Antiqua"/>
          <w:bCs/>
          <w:color w:val="000000"/>
          <w:lang w:val="es-ES"/>
        </w:rPr>
        <w:t xml:space="preserve"> DE 2025</w:t>
      </w:r>
    </w:p>
    <w:p w14:paraId="78CD984C" w14:textId="77777777" w:rsidR="00104EFE" w:rsidRPr="00FB6836" w:rsidRDefault="00104EFE" w:rsidP="00104EFE">
      <w:pPr>
        <w:rPr>
          <w:rFonts w:ascii="Book Antiqua" w:hAnsi="Book Antiqua"/>
          <w:color w:val="000000"/>
          <w:lang w:val="es-ES"/>
        </w:rPr>
      </w:pPr>
    </w:p>
    <w:p w14:paraId="02589E97" w14:textId="77777777" w:rsidR="00104EFE" w:rsidRPr="00DE7942" w:rsidRDefault="00104EFE" w:rsidP="00104EFE">
      <w:pPr>
        <w:rPr>
          <w:rFonts w:ascii="Book Antiqua" w:hAnsi="Book Antiqua"/>
          <w:b/>
          <w:bCs/>
          <w:lang w:val="es-ES"/>
        </w:rPr>
      </w:pPr>
      <w:r w:rsidRPr="00DE7942">
        <w:rPr>
          <w:rFonts w:ascii="Book Antiqua" w:hAnsi="Book Antiqua"/>
          <w:b/>
          <w:bCs/>
          <w:lang w:val="es-ES"/>
        </w:rPr>
        <w:t>A LA CÁMARA DE REPRESENTANTES DE PUERTO RICO:</w:t>
      </w:r>
    </w:p>
    <w:p w14:paraId="1CC8A774" w14:textId="77777777" w:rsidR="00104EFE" w:rsidRPr="00DE7942" w:rsidRDefault="00104EFE" w:rsidP="00104EFE">
      <w:pPr>
        <w:rPr>
          <w:rFonts w:ascii="Book Antiqua" w:hAnsi="Book Antiqua"/>
          <w:b/>
          <w:bCs/>
          <w:lang w:val="es-ES"/>
        </w:rPr>
      </w:pPr>
    </w:p>
    <w:p w14:paraId="58CCC124" w14:textId="675E9060" w:rsidR="00104EFE" w:rsidRPr="00DE7942" w:rsidRDefault="00104EFE" w:rsidP="00630645">
      <w:pPr>
        <w:ind w:firstLine="720"/>
        <w:jc w:val="both"/>
        <w:rPr>
          <w:rFonts w:ascii="Book Antiqua" w:hAnsi="Book Antiqua"/>
          <w:lang w:val="es-ES"/>
        </w:rPr>
      </w:pPr>
      <w:r w:rsidRPr="00DE7942">
        <w:rPr>
          <w:rFonts w:ascii="Book Antiqua" w:hAnsi="Book Antiqua"/>
          <w:lang w:val="es-ES"/>
        </w:rPr>
        <w:t xml:space="preserve">La Comisión de Salud de la Cámara de Representantes de Puerto Rico, tienen el honor de recomendar a este Augusto Cuerpo la aprobación del P. de la C. </w:t>
      </w:r>
      <w:r w:rsidR="009A1F1C" w:rsidRPr="00DE7942">
        <w:rPr>
          <w:rFonts w:ascii="Book Antiqua" w:hAnsi="Book Antiqua"/>
          <w:lang w:val="es-ES"/>
        </w:rPr>
        <w:t>732</w:t>
      </w:r>
      <w:r w:rsidR="007369B0">
        <w:rPr>
          <w:rFonts w:ascii="Book Antiqua" w:hAnsi="Book Antiqua"/>
          <w:lang w:val="es-ES"/>
        </w:rPr>
        <w:t xml:space="preserve"> sin enmiendas</w:t>
      </w:r>
      <w:r w:rsidRPr="00DE7942">
        <w:rPr>
          <w:rFonts w:ascii="Book Antiqua" w:hAnsi="Book Antiqua"/>
          <w:lang w:val="es-ES"/>
        </w:rPr>
        <w:t>.</w:t>
      </w:r>
    </w:p>
    <w:p w14:paraId="421A752B" w14:textId="77777777" w:rsidR="00104EFE" w:rsidRPr="009A1F1C" w:rsidRDefault="00104EFE" w:rsidP="00104EFE">
      <w:pPr>
        <w:rPr>
          <w:rFonts w:ascii="Book Antiqua" w:hAnsi="Book Antiqua"/>
          <w:highlight w:val="yellow"/>
          <w:lang w:val="es-ES"/>
        </w:rPr>
      </w:pPr>
    </w:p>
    <w:p w14:paraId="0C0DCC77" w14:textId="77777777" w:rsidR="00104EFE" w:rsidRPr="00DE7942" w:rsidRDefault="00104EFE" w:rsidP="00C4700C">
      <w:pPr>
        <w:pStyle w:val="Heading2"/>
        <w:ind w:left="1440" w:firstLine="720"/>
        <w:rPr>
          <w:rFonts w:ascii="Book Antiqua" w:hAnsi="Book Antiqua"/>
          <w:color w:val="auto"/>
          <w:sz w:val="28"/>
          <w:szCs w:val="28"/>
          <w:lang w:val="es-ES"/>
        </w:rPr>
      </w:pPr>
      <w:r w:rsidRPr="00DE7942">
        <w:rPr>
          <w:rFonts w:ascii="Book Antiqua" w:hAnsi="Book Antiqua"/>
          <w:color w:val="auto"/>
          <w:sz w:val="28"/>
          <w:szCs w:val="28"/>
          <w:lang w:val="es-ES"/>
        </w:rPr>
        <w:t>ALCANCE DE LA MEDIDA</w:t>
      </w:r>
    </w:p>
    <w:p w14:paraId="08699C8B" w14:textId="77777777" w:rsidR="00104EFE" w:rsidRPr="009A1F1C" w:rsidRDefault="00104EFE" w:rsidP="00104EFE">
      <w:pPr>
        <w:jc w:val="both"/>
        <w:rPr>
          <w:rFonts w:ascii="Book Antiqua" w:hAnsi="Book Antiqua"/>
          <w:lang w:val="es-ES"/>
        </w:rPr>
      </w:pPr>
    </w:p>
    <w:p w14:paraId="08BF0811" w14:textId="34ABC576" w:rsidR="0055055A" w:rsidRPr="009A1F1C" w:rsidRDefault="00104EFE" w:rsidP="009A1F1C">
      <w:pPr>
        <w:suppressLineNumbers/>
        <w:ind w:firstLine="720"/>
        <w:jc w:val="both"/>
        <w:rPr>
          <w:rFonts w:ascii="Book Antiqua" w:hAnsi="Book Antiqua"/>
        </w:rPr>
      </w:pPr>
      <w:r w:rsidRPr="009A1F1C">
        <w:rPr>
          <w:rFonts w:ascii="Book Antiqua" w:hAnsi="Book Antiqua"/>
          <w:lang w:val="es-ES"/>
        </w:rPr>
        <w:t xml:space="preserve">El </w:t>
      </w:r>
      <w:r w:rsidRPr="009A1F1C">
        <w:rPr>
          <w:rFonts w:ascii="Book Antiqua" w:hAnsi="Book Antiqua"/>
          <w:b/>
          <w:bCs/>
          <w:lang w:val="es-ES"/>
        </w:rPr>
        <w:t xml:space="preserve">Proyecto de la Cámara Núm. </w:t>
      </w:r>
      <w:r w:rsidR="009A1F1C" w:rsidRPr="009A1F1C">
        <w:rPr>
          <w:rFonts w:ascii="Book Antiqua" w:hAnsi="Book Antiqua"/>
          <w:b/>
          <w:bCs/>
          <w:lang w:val="es-ES"/>
        </w:rPr>
        <w:t>732</w:t>
      </w:r>
      <w:r w:rsidRPr="009A1F1C">
        <w:rPr>
          <w:rFonts w:ascii="Book Antiqua" w:hAnsi="Book Antiqua"/>
          <w:lang w:val="es-ES"/>
        </w:rPr>
        <w:t>,</w:t>
      </w:r>
      <w:r w:rsidR="009A3270" w:rsidRPr="009A1F1C">
        <w:rPr>
          <w:rFonts w:ascii="Book Antiqua" w:hAnsi="Book Antiqua"/>
          <w:lang w:val="es-ES"/>
        </w:rPr>
        <w:t xml:space="preserve"> </w:t>
      </w:r>
      <w:r w:rsidR="00487319" w:rsidRPr="009A1F1C">
        <w:rPr>
          <w:rFonts w:ascii="Book Antiqua" w:hAnsi="Book Antiqua"/>
          <w:lang w:val="es-ES"/>
        </w:rPr>
        <w:t>tiene como propósito</w:t>
      </w:r>
      <w:r w:rsidR="009A1F1C">
        <w:rPr>
          <w:rFonts w:ascii="Book Antiqua" w:hAnsi="Book Antiqua"/>
          <w:lang w:val="es-ES"/>
        </w:rPr>
        <w:t xml:space="preserve"> </w:t>
      </w:r>
      <w:r w:rsidR="009A1F1C" w:rsidRPr="009A1F1C">
        <w:rPr>
          <w:rFonts w:ascii="Book Antiqua" w:hAnsi="Book Antiqua"/>
        </w:rPr>
        <w:t>establecer la política pública del Gobierno de Puerto Rico sobre el acceso a medicamentos recetados para las poblaciones médico-indigentes; proteger la dispensación de ciertos medicamentos por parte de centros de atención médica; proporcionar definiciones; identificar ciertas acciones como discriminatorias con respecto a los medicamentos descontados por un programa federal y las entidades que los dispensan; establecer sanciones; y para otros fines relacionados.</w:t>
      </w:r>
    </w:p>
    <w:p w14:paraId="1543F3B8" w14:textId="23A52555" w:rsidR="00943584" w:rsidRPr="009A1F1C" w:rsidRDefault="00943584" w:rsidP="00487319">
      <w:pPr>
        <w:suppressLineNumbers/>
        <w:ind w:firstLine="720"/>
        <w:jc w:val="both"/>
        <w:rPr>
          <w:rFonts w:ascii="Book Antiqua" w:hAnsi="Book Antiqua"/>
          <w:highlight w:val="yellow"/>
        </w:rPr>
      </w:pPr>
    </w:p>
    <w:p w14:paraId="3FA9881B" w14:textId="2AAAC594" w:rsidR="00DE7942" w:rsidRPr="00DE7942" w:rsidRDefault="00487319" w:rsidP="00DE7942">
      <w:pPr>
        <w:suppressLineNumbers/>
        <w:ind w:firstLine="720"/>
        <w:jc w:val="both"/>
        <w:rPr>
          <w:rFonts w:ascii="Book Antiqua" w:hAnsi="Book Antiqua"/>
          <w:lang w:val="es-US"/>
        </w:rPr>
      </w:pPr>
      <w:r w:rsidRPr="00DE7942">
        <w:rPr>
          <w:rFonts w:ascii="Book Antiqua" w:hAnsi="Book Antiqua"/>
          <w:lang w:val="es-ES"/>
        </w:rPr>
        <w:t>La exposición de motivos de esta medida</w:t>
      </w:r>
      <w:r w:rsidR="00DE7942">
        <w:rPr>
          <w:rFonts w:ascii="Book Antiqua" w:hAnsi="Book Antiqua"/>
          <w:lang w:val="es-ES"/>
        </w:rPr>
        <w:t xml:space="preserve"> enfatiza que la misma</w:t>
      </w:r>
      <w:r w:rsidR="00DE7942" w:rsidRPr="00DE7942">
        <w:rPr>
          <w:rFonts w:ascii="Book Antiqua" w:hAnsi="Book Antiqua"/>
          <w:lang w:val="es-US"/>
        </w:rPr>
        <w:t xml:space="preserve"> tiene como propósito establecer la política pública del Gobierno de Puerto Rico sobre el acceso a medicamentos recetados para las poblaciones médico-indigentes, proteger la dispensación de ciertos medicamentos por parte de centros de atención médica y prohibir prácticas discriminatorias relacionadas con los medicamentos descontados bajo el Programa Federal 340B. Además, busca definir términos, establecer sanciones y disponer la reglamentación necesaria para garantizar la aplicación efectiva de la ley.</w:t>
      </w:r>
    </w:p>
    <w:p w14:paraId="65D73764" w14:textId="77777777" w:rsidR="00DE7942" w:rsidRPr="00DE7942" w:rsidRDefault="00DE7942" w:rsidP="00DE7942">
      <w:pPr>
        <w:suppressLineNumbers/>
        <w:ind w:firstLine="720"/>
        <w:jc w:val="both"/>
        <w:rPr>
          <w:rFonts w:ascii="Book Antiqua" w:hAnsi="Book Antiqua"/>
          <w:lang w:val="es-US"/>
        </w:rPr>
      </w:pPr>
    </w:p>
    <w:p w14:paraId="0C74F164" w14:textId="328DCD4C" w:rsidR="00DE7942" w:rsidRPr="00DE7942" w:rsidRDefault="00DE7942" w:rsidP="00DE7942">
      <w:pPr>
        <w:suppressLineNumbers/>
        <w:ind w:firstLine="720"/>
        <w:jc w:val="both"/>
        <w:rPr>
          <w:rFonts w:ascii="Book Antiqua" w:hAnsi="Book Antiqua"/>
          <w:lang w:val="es-US"/>
        </w:rPr>
      </w:pPr>
      <w:r>
        <w:rPr>
          <w:rFonts w:ascii="Book Antiqua" w:hAnsi="Book Antiqua"/>
          <w:lang w:val="es-US"/>
        </w:rPr>
        <w:t>Por tanto,</w:t>
      </w:r>
      <w:r w:rsidRPr="00DE7942">
        <w:rPr>
          <w:rFonts w:ascii="Book Antiqua" w:hAnsi="Book Antiqua"/>
          <w:lang w:val="es-US"/>
        </w:rPr>
        <w:t xml:space="preserve"> el Programa 340B fue creado por la Ley Federal de Reautorización de Medicamentos para la Prevención y Tratamiento del SIDA (Ryan White Comprehensive AIDS </w:t>
      </w:r>
      <w:proofErr w:type="spellStart"/>
      <w:r w:rsidRPr="00DE7942">
        <w:rPr>
          <w:rFonts w:ascii="Book Antiqua" w:hAnsi="Book Antiqua"/>
          <w:lang w:val="es-US"/>
        </w:rPr>
        <w:t>Resources</w:t>
      </w:r>
      <w:proofErr w:type="spellEnd"/>
      <w:r w:rsidRPr="00DE7942">
        <w:rPr>
          <w:rFonts w:ascii="Book Antiqua" w:hAnsi="Book Antiqua"/>
          <w:lang w:val="es-US"/>
        </w:rPr>
        <w:t xml:space="preserve"> </w:t>
      </w:r>
      <w:proofErr w:type="spellStart"/>
      <w:r w:rsidRPr="00DE7942">
        <w:rPr>
          <w:rFonts w:ascii="Book Antiqua" w:hAnsi="Book Antiqua"/>
          <w:lang w:val="es-US"/>
        </w:rPr>
        <w:t>Emergency</w:t>
      </w:r>
      <w:proofErr w:type="spellEnd"/>
      <w:r w:rsidRPr="00DE7942">
        <w:rPr>
          <w:rFonts w:ascii="Book Antiqua" w:hAnsi="Book Antiqua"/>
          <w:lang w:val="es-US"/>
        </w:rPr>
        <w:t xml:space="preserve"> </w:t>
      </w:r>
      <w:proofErr w:type="spellStart"/>
      <w:r w:rsidRPr="00DE7942">
        <w:rPr>
          <w:rFonts w:ascii="Book Antiqua" w:hAnsi="Book Antiqua"/>
          <w:lang w:val="es-US"/>
        </w:rPr>
        <w:t>Act</w:t>
      </w:r>
      <w:proofErr w:type="spellEnd"/>
      <w:r w:rsidRPr="00DE7942">
        <w:rPr>
          <w:rFonts w:ascii="Book Antiqua" w:hAnsi="Book Antiqua"/>
          <w:lang w:val="es-US"/>
        </w:rPr>
        <w:t>) de 1990, con el objetivo de facilitar el acceso a medicamentos a precios reducidos para instituciones que atienden poblaciones vulnerables. Aunque inicialmente dirigido a pacientes con VIH/SIDA, el programa se ha expandido para incluir hospitales sin fines de lucro, centros de salud comunitarios (Centros 330) y clínicas especializadas que sirven a personas de escasos recursos.</w:t>
      </w:r>
    </w:p>
    <w:p w14:paraId="7D5D38AE" w14:textId="77777777" w:rsidR="00DE7942" w:rsidRPr="00DE7942" w:rsidRDefault="00DE7942" w:rsidP="00DE7942">
      <w:pPr>
        <w:suppressLineNumbers/>
        <w:ind w:firstLine="720"/>
        <w:jc w:val="both"/>
        <w:rPr>
          <w:rFonts w:ascii="Book Antiqua" w:hAnsi="Book Antiqua"/>
          <w:lang w:val="es-US"/>
        </w:rPr>
      </w:pPr>
    </w:p>
    <w:p w14:paraId="7C54639E" w14:textId="77777777" w:rsidR="00DE7942" w:rsidRPr="00DE7942" w:rsidRDefault="00DE7942" w:rsidP="00DE7942">
      <w:pPr>
        <w:suppressLineNumbers/>
        <w:ind w:firstLine="720"/>
        <w:jc w:val="both"/>
        <w:rPr>
          <w:rFonts w:ascii="Book Antiqua" w:hAnsi="Book Antiqua"/>
          <w:lang w:val="es-US"/>
        </w:rPr>
      </w:pPr>
      <w:r w:rsidRPr="00DE7942">
        <w:rPr>
          <w:rFonts w:ascii="Book Antiqua" w:hAnsi="Book Antiqua"/>
          <w:lang w:val="es-US"/>
        </w:rPr>
        <w:t>El propósito fundamental del Programa 340B es mejorar el acceso a medicamentos recetados para las poblaciones médico-indigentes, mediante la oferta de descuentos significativos que permiten a las entidades participantes reinvertir los ahorros en servicios de salud adicionales para sus comunidades. En Puerto Rico, los Centros 330 utilizan esos fondos para ofrecer servicios médicos y medicamentos gratuitos o a bajo costo, vacunaciones, clínicas de salud mental y física, manejo de enfermedades crónicas, transporte a citas médicas y otras iniciativas que fortalecen la atención primaria.</w:t>
      </w:r>
    </w:p>
    <w:p w14:paraId="4C7EA0B4" w14:textId="77777777" w:rsidR="00DE7942" w:rsidRPr="00DE7942" w:rsidRDefault="00DE7942" w:rsidP="00DE7942">
      <w:pPr>
        <w:suppressLineNumbers/>
        <w:ind w:firstLine="720"/>
        <w:jc w:val="both"/>
        <w:rPr>
          <w:rFonts w:ascii="Book Antiqua" w:hAnsi="Book Antiqua"/>
          <w:lang w:val="es-US"/>
        </w:rPr>
      </w:pPr>
    </w:p>
    <w:p w14:paraId="30E8006B" w14:textId="6A5D3C06" w:rsidR="00DE7942" w:rsidRPr="00DE7942" w:rsidRDefault="00DE7942" w:rsidP="00DE7942">
      <w:pPr>
        <w:suppressLineNumbers/>
        <w:ind w:firstLine="720"/>
        <w:jc w:val="both"/>
        <w:rPr>
          <w:rFonts w:ascii="Book Antiqua" w:hAnsi="Book Antiqua"/>
          <w:lang w:val="es-US"/>
        </w:rPr>
      </w:pPr>
      <w:r>
        <w:rPr>
          <w:rFonts w:ascii="Book Antiqua" w:hAnsi="Book Antiqua"/>
          <w:lang w:val="es-US"/>
        </w:rPr>
        <w:t>Se</w:t>
      </w:r>
      <w:r w:rsidRPr="00DE7942">
        <w:rPr>
          <w:rFonts w:ascii="Book Antiqua" w:hAnsi="Book Antiqua"/>
          <w:lang w:val="es-US"/>
        </w:rPr>
        <w:t xml:space="preserve"> resalta que estos programas no representan gasto alguno para el Gobierno, ya que los ahorros provienen directamente de los descuentos de los fabricantes. Sin embargo, se advierte que en los últimos años dichos beneficios se han visto amenazados por la actuación de los Manejadores de Servicios de Farmacia (Pharmacy Benefit Managers, PBM), quienes han impuesto restricciones y condiciones que limitan el reembolso de medicamentos a las entidades 340B. Algunos estados de los Estados Unidos ya han legislado para proteger a estas instituciones y a los pacientes médico-indigentes ante esas prácticas.</w:t>
      </w:r>
    </w:p>
    <w:p w14:paraId="4F64D958" w14:textId="77777777" w:rsidR="00DE7942" w:rsidRPr="00DE7942" w:rsidRDefault="00DE7942" w:rsidP="00DE7942">
      <w:pPr>
        <w:suppressLineNumbers/>
        <w:ind w:firstLine="720"/>
        <w:jc w:val="both"/>
        <w:rPr>
          <w:rFonts w:ascii="Book Antiqua" w:hAnsi="Book Antiqua"/>
          <w:lang w:val="es-US"/>
        </w:rPr>
      </w:pPr>
    </w:p>
    <w:p w14:paraId="6AF2E1F4" w14:textId="77777777" w:rsidR="00DE7942" w:rsidRPr="00DE7942" w:rsidRDefault="00DE7942" w:rsidP="00DE7942">
      <w:pPr>
        <w:suppressLineNumbers/>
        <w:ind w:firstLine="720"/>
        <w:jc w:val="both"/>
        <w:rPr>
          <w:rFonts w:ascii="Book Antiqua" w:hAnsi="Book Antiqua"/>
          <w:lang w:val="es-US"/>
        </w:rPr>
      </w:pPr>
      <w:r w:rsidRPr="00DE7942">
        <w:rPr>
          <w:rFonts w:ascii="Book Antiqua" w:hAnsi="Book Antiqua"/>
          <w:lang w:val="es-US"/>
        </w:rPr>
        <w:t>Ante esta situación, el proyecto propone legislar en Puerto Rico para salvaguardar el Programa 340B, asegurando que las entidades cubiertas puedan continuar ofreciendo medicamentos y servicios esenciales sin obstáculos ni prácticas discriminatorias. La medida busca, en esencia, preservar el acceso a tratamientos asequibles para las poblaciones más vulnerables y fortalecer la red de atención primaria en la Isla, protegiendo tanto a los pacientes como a los proveedores de servicios de salud.</w:t>
      </w:r>
    </w:p>
    <w:p w14:paraId="2B7406F6" w14:textId="02D33772" w:rsidR="0003445D" w:rsidRPr="00DE7942" w:rsidRDefault="0003445D" w:rsidP="00DE7942">
      <w:pPr>
        <w:suppressLineNumbers/>
        <w:ind w:firstLine="720"/>
        <w:jc w:val="both"/>
        <w:rPr>
          <w:rFonts w:ascii="Book Antiqua" w:hAnsi="Book Antiqua"/>
          <w:lang w:val="es-US"/>
        </w:rPr>
      </w:pPr>
    </w:p>
    <w:p w14:paraId="1D3BE3EF" w14:textId="77777777" w:rsidR="0003445D" w:rsidRPr="009A1F1C" w:rsidRDefault="0003445D" w:rsidP="0003445D">
      <w:pPr>
        <w:suppressLineNumbers/>
        <w:ind w:firstLine="720"/>
        <w:jc w:val="both"/>
        <w:rPr>
          <w:rFonts w:ascii="Book Antiqua" w:hAnsi="Book Antiqua"/>
          <w:highlight w:val="yellow"/>
          <w:lang w:val="es-US"/>
        </w:rPr>
      </w:pPr>
    </w:p>
    <w:p w14:paraId="1DA41620" w14:textId="77777777" w:rsidR="0003445D" w:rsidRPr="009A1F1C" w:rsidRDefault="0003445D" w:rsidP="0003445D">
      <w:pPr>
        <w:suppressLineNumbers/>
        <w:ind w:firstLine="720"/>
        <w:jc w:val="both"/>
        <w:rPr>
          <w:rFonts w:ascii="Book Antiqua" w:hAnsi="Book Antiqua"/>
          <w:highlight w:val="yellow"/>
          <w:lang w:val="es-US"/>
        </w:rPr>
      </w:pPr>
    </w:p>
    <w:p w14:paraId="3AF19C59" w14:textId="77777777" w:rsidR="0003445D" w:rsidRPr="009A1F1C" w:rsidRDefault="0003445D" w:rsidP="0003445D">
      <w:pPr>
        <w:suppressLineNumbers/>
        <w:ind w:firstLine="720"/>
        <w:jc w:val="both"/>
        <w:rPr>
          <w:rFonts w:ascii="Book Antiqua" w:hAnsi="Book Antiqua"/>
          <w:highlight w:val="yellow"/>
          <w:lang w:val="es-US"/>
        </w:rPr>
      </w:pPr>
    </w:p>
    <w:p w14:paraId="6207CA30" w14:textId="77777777" w:rsidR="0003445D" w:rsidRPr="009A1F1C" w:rsidRDefault="0003445D" w:rsidP="0003445D">
      <w:pPr>
        <w:suppressLineNumbers/>
        <w:ind w:firstLine="720"/>
        <w:jc w:val="both"/>
        <w:rPr>
          <w:rFonts w:ascii="Book Antiqua" w:hAnsi="Book Antiqua"/>
          <w:highlight w:val="yellow"/>
          <w:lang w:val="es-US"/>
        </w:rPr>
      </w:pPr>
    </w:p>
    <w:p w14:paraId="7901508D" w14:textId="77777777" w:rsidR="00AE7A24" w:rsidRDefault="00AE7A24" w:rsidP="006F4695">
      <w:pPr>
        <w:rPr>
          <w:rFonts w:ascii="Book Antiqua" w:hAnsi="Book Antiqua"/>
          <w:highlight w:val="yellow"/>
          <w:lang w:val="es-US"/>
        </w:rPr>
      </w:pPr>
    </w:p>
    <w:p w14:paraId="30476B60" w14:textId="77777777" w:rsidR="00BB125B" w:rsidRPr="009A1F1C" w:rsidRDefault="00BB125B" w:rsidP="006F4695">
      <w:pPr>
        <w:rPr>
          <w:rFonts w:ascii="Book Antiqua" w:hAnsi="Book Antiqua"/>
          <w:b/>
          <w:highlight w:val="yellow"/>
          <w:lang w:val="es-ES"/>
        </w:rPr>
      </w:pPr>
    </w:p>
    <w:p w14:paraId="4EFB17F9" w14:textId="11D37A23" w:rsidR="00AE7A24" w:rsidRPr="00963928" w:rsidRDefault="00AE7A24" w:rsidP="00AE7A24">
      <w:pPr>
        <w:jc w:val="center"/>
        <w:rPr>
          <w:rFonts w:ascii="Book Antiqua" w:hAnsi="Book Antiqua"/>
          <w:b/>
          <w:lang w:val="es-ES"/>
        </w:rPr>
      </w:pPr>
      <w:r w:rsidRPr="00963928">
        <w:rPr>
          <w:rFonts w:ascii="Book Antiqua" w:hAnsi="Book Antiqua"/>
          <w:b/>
          <w:lang w:val="es-ES"/>
        </w:rPr>
        <w:t>ANÁLISIS DE LA MEDIDA</w:t>
      </w:r>
    </w:p>
    <w:p w14:paraId="09E16EA1" w14:textId="77777777" w:rsidR="00D06E07" w:rsidRPr="00963928" w:rsidRDefault="00D06E07" w:rsidP="00D06E07">
      <w:pPr>
        <w:jc w:val="center"/>
        <w:rPr>
          <w:rFonts w:ascii="Book Antiqua" w:hAnsi="Book Antiqua"/>
          <w:b/>
          <w:bCs/>
          <w:lang w:val="es-ES"/>
        </w:rPr>
      </w:pPr>
    </w:p>
    <w:p w14:paraId="7F6805BD" w14:textId="17231ECD" w:rsidR="004876B9" w:rsidRPr="00C0312A" w:rsidRDefault="004876B9" w:rsidP="004876B9">
      <w:pPr>
        <w:ind w:firstLine="720"/>
        <w:jc w:val="both"/>
        <w:rPr>
          <w:rFonts w:ascii="Book Antiqua" w:hAnsi="Book Antiqua"/>
          <w:b/>
          <w:lang w:val="es-ES"/>
        </w:rPr>
      </w:pPr>
      <w:r w:rsidRPr="00A04081">
        <w:rPr>
          <w:rFonts w:ascii="Book Antiqua" w:hAnsi="Book Antiqua"/>
          <w:bCs/>
          <w:lang w:val="es-ES"/>
        </w:rPr>
        <w:t>La Comisión de Salud de la Cámara de Representantes de Puerto Rico, para evaluar el presente Proyecto, solicitó memoriales explicativos a</w:t>
      </w:r>
      <w:r w:rsidR="00963928" w:rsidRPr="00A04081">
        <w:rPr>
          <w:rFonts w:ascii="Book Antiqua" w:hAnsi="Book Antiqua"/>
          <w:bCs/>
          <w:lang w:val="es-ES"/>
        </w:rPr>
        <w:t xml:space="preserve">l </w:t>
      </w:r>
      <w:r w:rsidR="00963928" w:rsidRPr="00C0312A">
        <w:rPr>
          <w:rFonts w:ascii="Book Antiqua" w:hAnsi="Book Antiqua"/>
          <w:b/>
          <w:lang w:val="es-ES"/>
        </w:rPr>
        <w:t xml:space="preserve">Departamento de Salud, Asociación de Salud Primaria de Puerto Rico, Programa de Control Comprensivo de Cáncer de Puerto Rico, Asociación de Farmacias de Puerto Rico, Hospital Damas, </w:t>
      </w:r>
      <w:proofErr w:type="spellStart"/>
      <w:r w:rsidR="00963928" w:rsidRPr="00C0312A">
        <w:rPr>
          <w:rFonts w:ascii="Book Antiqua" w:hAnsi="Book Antiqua"/>
          <w:b/>
          <w:lang w:val="es-ES"/>
        </w:rPr>
        <w:t>NeoMed</w:t>
      </w:r>
      <w:proofErr w:type="spellEnd"/>
      <w:r w:rsidR="00963928" w:rsidRPr="00C0312A">
        <w:rPr>
          <w:rFonts w:ascii="Book Antiqua" w:hAnsi="Book Antiqua"/>
          <w:b/>
          <w:lang w:val="es-ES"/>
        </w:rPr>
        <w:t xml:space="preserve"> Center, </w:t>
      </w:r>
      <w:r w:rsidR="00460330" w:rsidRPr="00C0312A">
        <w:rPr>
          <w:rFonts w:ascii="Book Antiqua" w:hAnsi="Book Antiqua"/>
          <w:b/>
          <w:lang w:val="es-ES"/>
        </w:rPr>
        <w:t>Iniciativa Comunitaria, Alianza de Centros de Salud Comunitaria</w:t>
      </w:r>
      <w:r w:rsidR="00A04081" w:rsidRPr="00C0312A">
        <w:rPr>
          <w:rFonts w:ascii="Book Antiqua" w:hAnsi="Book Antiqua"/>
          <w:b/>
          <w:lang w:val="es-ES"/>
        </w:rPr>
        <w:t>.</w:t>
      </w:r>
    </w:p>
    <w:p w14:paraId="6860489E" w14:textId="77777777" w:rsidR="00A04081" w:rsidRDefault="00A04081" w:rsidP="004876B9">
      <w:pPr>
        <w:ind w:firstLine="720"/>
        <w:jc w:val="both"/>
        <w:rPr>
          <w:rFonts w:ascii="Book Antiqua" w:hAnsi="Book Antiqua"/>
          <w:bCs/>
          <w:lang w:val="es-ES"/>
        </w:rPr>
      </w:pPr>
    </w:p>
    <w:p w14:paraId="3876DE07" w14:textId="4E0A44E7" w:rsidR="007F0F91" w:rsidRPr="00AC3FC7" w:rsidRDefault="00A04081" w:rsidP="00AC3FC7">
      <w:pPr>
        <w:ind w:firstLine="720"/>
        <w:jc w:val="both"/>
        <w:rPr>
          <w:rFonts w:ascii="Book Antiqua" w:hAnsi="Book Antiqua"/>
          <w:bCs/>
          <w:lang w:val="es-ES"/>
        </w:rPr>
      </w:pPr>
      <w:r w:rsidRPr="00A04081">
        <w:rPr>
          <w:rFonts w:ascii="Book Antiqua" w:hAnsi="Book Antiqua"/>
          <w:bCs/>
          <w:lang w:val="es-ES"/>
        </w:rPr>
        <w:t>Al momento de la redacción de este informe, no se ha recibido el memorial solicitado al D</w:t>
      </w:r>
      <w:r>
        <w:rPr>
          <w:rFonts w:ascii="Book Antiqua" w:hAnsi="Book Antiqua"/>
          <w:bCs/>
          <w:lang w:val="es-ES"/>
        </w:rPr>
        <w:t xml:space="preserve">epartamento de Salud y la </w:t>
      </w:r>
      <w:r w:rsidR="008E0C84">
        <w:rPr>
          <w:rFonts w:ascii="Book Antiqua" w:hAnsi="Book Antiqua"/>
          <w:bCs/>
          <w:lang w:val="es-ES"/>
        </w:rPr>
        <w:t>Asociación</w:t>
      </w:r>
      <w:r>
        <w:rPr>
          <w:rFonts w:ascii="Book Antiqua" w:hAnsi="Book Antiqua"/>
          <w:bCs/>
          <w:lang w:val="es-ES"/>
        </w:rPr>
        <w:t xml:space="preserve"> de Farmacias de Puerto Rico</w:t>
      </w:r>
      <w:r w:rsidR="008E0C84">
        <w:rPr>
          <w:rFonts w:ascii="Book Antiqua" w:hAnsi="Book Antiqua"/>
          <w:bCs/>
          <w:lang w:val="es-ES"/>
        </w:rPr>
        <w:t>.</w:t>
      </w:r>
    </w:p>
    <w:p w14:paraId="6FCF680F" w14:textId="77777777" w:rsidR="003C6026" w:rsidRPr="00492FC4" w:rsidRDefault="003C6026" w:rsidP="004876B9">
      <w:pPr>
        <w:jc w:val="both"/>
        <w:rPr>
          <w:rFonts w:ascii="Book Antiqua" w:hAnsi="Book Antiqua" w:cs="Arial"/>
          <w:lang w:val="es-ES_tradnl"/>
        </w:rPr>
      </w:pPr>
    </w:p>
    <w:p w14:paraId="4C4455C2" w14:textId="1552EF9D" w:rsidR="00492FC4" w:rsidRPr="00492FC4" w:rsidRDefault="00492FC4" w:rsidP="00492FC4">
      <w:pPr>
        <w:jc w:val="center"/>
        <w:rPr>
          <w:rFonts w:ascii="Book Antiqua" w:hAnsi="Book Antiqua" w:cs="Arial"/>
          <w:b/>
          <w:bCs/>
          <w:u w:val="single"/>
          <w:lang w:val="es-ES_tradnl"/>
        </w:rPr>
      </w:pPr>
      <w:r w:rsidRPr="00492FC4">
        <w:rPr>
          <w:rFonts w:ascii="Book Antiqua" w:hAnsi="Book Antiqua" w:cs="Arial"/>
          <w:b/>
          <w:bCs/>
          <w:u w:val="single"/>
          <w:lang w:val="es-ES_tradnl"/>
        </w:rPr>
        <w:t>Asociación de Salud Primaria de Puerto Rico</w:t>
      </w:r>
      <w:r w:rsidR="00460330">
        <w:rPr>
          <w:rFonts w:ascii="Book Antiqua" w:hAnsi="Book Antiqua" w:cs="Arial"/>
          <w:b/>
          <w:bCs/>
          <w:u w:val="single"/>
          <w:lang w:val="es-ES_tradnl"/>
        </w:rPr>
        <w:t xml:space="preserve"> (ASPPR)</w:t>
      </w:r>
    </w:p>
    <w:p w14:paraId="5F069401" w14:textId="77777777" w:rsidR="00492FC4" w:rsidRPr="00492FC4" w:rsidRDefault="00492FC4" w:rsidP="00492FC4">
      <w:pPr>
        <w:jc w:val="center"/>
        <w:rPr>
          <w:rFonts w:ascii="Book Antiqua" w:hAnsi="Book Antiqua" w:cs="Arial"/>
          <w:b/>
          <w:bCs/>
          <w:u w:val="single"/>
          <w:lang w:val="es-ES_tradnl"/>
        </w:rPr>
      </w:pPr>
    </w:p>
    <w:p w14:paraId="28F9F48A" w14:textId="0F2E7443" w:rsidR="00492FC4" w:rsidRPr="00492FC4" w:rsidRDefault="00492FC4" w:rsidP="00492FC4">
      <w:pPr>
        <w:ind w:firstLine="720"/>
        <w:jc w:val="both"/>
        <w:rPr>
          <w:rFonts w:ascii="Book Antiqua" w:hAnsi="Book Antiqua" w:cs="Arial"/>
          <w:lang w:val="es-US"/>
        </w:rPr>
      </w:pPr>
      <w:r w:rsidRPr="00492FC4">
        <w:rPr>
          <w:rFonts w:ascii="Book Antiqua" w:hAnsi="Book Antiqua" w:cs="Arial"/>
          <w:lang w:val="es-US"/>
        </w:rPr>
        <w:t>La Asociación de Salud Primaria de Puerto Rico (ASPPR), entidad que agrupa a los 21 Centros de Salud Primaria (CSP) o Centros 330 que operan en 70 municipios de la Isla, presentó un memorial en respaldo total al Proyecto de la Cámara 732, al reconocerlo como una medida indispensable para proteger la estabilidad del sistema de atención primaria y salvaguardar el Programa Federal 340B, del cual dependen miles de pacientes médico-indigentes.</w:t>
      </w:r>
    </w:p>
    <w:p w14:paraId="18272994" w14:textId="77777777" w:rsidR="00492FC4" w:rsidRPr="00492FC4" w:rsidRDefault="00492FC4" w:rsidP="00492FC4">
      <w:pPr>
        <w:jc w:val="both"/>
        <w:rPr>
          <w:rFonts w:ascii="Book Antiqua" w:hAnsi="Book Antiqua" w:cs="Arial"/>
          <w:lang w:val="es-US"/>
        </w:rPr>
      </w:pPr>
    </w:p>
    <w:p w14:paraId="3172C545" w14:textId="6CB40C8A" w:rsidR="00492FC4" w:rsidRPr="00492FC4" w:rsidRDefault="00492FC4" w:rsidP="00492FC4">
      <w:pPr>
        <w:ind w:firstLine="720"/>
        <w:jc w:val="both"/>
        <w:rPr>
          <w:rFonts w:ascii="Book Antiqua" w:hAnsi="Book Antiqua" w:cs="Arial"/>
          <w:lang w:val="es-US"/>
        </w:rPr>
      </w:pPr>
      <w:r w:rsidRPr="00492FC4">
        <w:rPr>
          <w:rFonts w:ascii="Book Antiqua" w:hAnsi="Book Antiqua" w:cs="Arial"/>
          <w:lang w:val="es-US"/>
        </w:rPr>
        <w:t>La ASPPR destacó que los Centros 330 son instituciones sin fines de lucro que atienden anualmente a más de 470,000 personas, ofreciendo servicios de salud primaria, preventiva y especializada a comunidades vulnerables, sin importar su capacidad de pago. Los fondos generados por el Programa 340B</w:t>
      </w:r>
      <w:r w:rsidR="00963928">
        <w:rPr>
          <w:rFonts w:ascii="Book Antiqua" w:hAnsi="Book Antiqua" w:cs="Arial"/>
          <w:lang w:val="es-US"/>
        </w:rPr>
        <w:t xml:space="preserve">, </w:t>
      </w:r>
      <w:r w:rsidRPr="00492FC4">
        <w:rPr>
          <w:rFonts w:ascii="Book Antiqua" w:hAnsi="Book Antiqua" w:cs="Arial"/>
          <w:lang w:val="es-US"/>
        </w:rPr>
        <w:t>señaló la organización</w:t>
      </w:r>
      <w:r w:rsidR="00963928">
        <w:rPr>
          <w:rFonts w:ascii="Book Antiqua" w:hAnsi="Book Antiqua" w:cs="Arial"/>
          <w:lang w:val="es-US"/>
        </w:rPr>
        <w:t xml:space="preserve">, </w:t>
      </w:r>
      <w:r w:rsidRPr="00492FC4">
        <w:rPr>
          <w:rFonts w:ascii="Book Antiqua" w:hAnsi="Book Antiqua" w:cs="Arial"/>
          <w:lang w:val="es-US"/>
        </w:rPr>
        <w:t>son reinvertidos directamente en servicios médicos, medicamentos, vacunación, transporte, manejo de enfermedades crónicas y otras iniciativas que fortalecen la salud pública del país.</w:t>
      </w:r>
    </w:p>
    <w:p w14:paraId="1B06ABE1" w14:textId="77777777" w:rsidR="00492FC4" w:rsidRPr="00492FC4" w:rsidRDefault="00492FC4" w:rsidP="00492FC4">
      <w:pPr>
        <w:jc w:val="both"/>
        <w:rPr>
          <w:rFonts w:ascii="Book Antiqua" w:hAnsi="Book Antiqua" w:cs="Arial"/>
          <w:lang w:val="es-US"/>
        </w:rPr>
      </w:pPr>
    </w:p>
    <w:p w14:paraId="69FC98F9" w14:textId="2429353E" w:rsidR="00492FC4" w:rsidRPr="00492FC4" w:rsidRDefault="00492FC4" w:rsidP="00492FC4">
      <w:pPr>
        <w:ind w:firstLine="720"/>
        <w:jc w:val="both"/>
        <w:rPr>
          <w:rFonts w:ascii="Book Antiqua" w:hAnsi="Book Antiqua" w:cs="Arial"/>
          <w:lang w:val="es-US"/>
        </w:rPr>
      </w:pPr>
      <w:r w:rsidRPr="00492FC4">
        <w:rPr>
          <w:rFonts w:ascii="Book Antiqua" w:hAnsi="Book Antiqua" w:cs="Arial"/>
          <w:lang w:val="es-US"/>
        </w:rPr>
        <w:t>En su memorial, la ASPPR alertó que los ahorros del Programa 340B están en riesgo debido a prácticas discriminatorias de ciertos Manejadores de Beneficios de Farmacia (PBM), quienes han limitado o reducido los pagos a entidades participantes. Estas acciones, según la entidad, impactan los ingresos de los centros y amenazan su capacidad de continuar ofreciendo servicios a las poblaciones más necesitadas. Ante esa realidad, la ASPPR enfatizó que el P. de la C. 732 constituye una medida necesaria para frenar dichas prácticas y alinearse con las políticas públicas de más de una veintena de estados de los Estados Unidos que ya han aprobado legislación similar.</w:t>
      </w:r>
    </w:p>
    <w:p w14:paraId="7D8992EB" w14:textId="77777777" w:rsidR="00460330" w:rsidRDefault="00460330" w:rsidP="00AC3FC7">
      <w:pPr>
        <w:jc w:val="both"/>
        <w:rPr>
          <w:rFonts w:ascii="Book Antiqua" w:hAnsi="Book Antiqua" w:cs="Arial"/>
          <w:lang w:val="es-US"/>
        </w:rPr>
      </w:pPr>
    </w:p>
    <w:p w14:paraId="79D5FB84" w14:textId="7E4A2565" w:rsidR="00492FC4" w:rsidRDefault="00492FC4" w:rsidP="00492FC4">
      <w:pPr>
        <w:ind w:firstLine="720"/>
        <w:jc w:val="both"/>
        <w:rPr>
          <w:rFonts w:ascii="Book Antiqua" w:hAnsi="Book Antiqua" w:cs="Arial"/>
          <w:lang w:val="es-US"/>
        </w:rPr>
      </w:pPr>
      <w:r w:rsidRPr="00492FC4">
        <w:rPr>
          <w:rFonts w:ascii="Book Antiqua" w:hAnsi="Book Antiqua" w:cs="Arial"/>
          <w:lang w:val="es-US"/>
        </w:rPr>
        <w:lastRenderedPageBreak/>
        <w:t>Finalmente, la Asociación afirmó que el fortalecimiento de la salud primaria representa una inversión estratégica que reduce costos hospitalarios y de emergencia, mejora el manejo de enfermedades crónicas y eleva la calidad de vid</w:t>
      </w:r>
      <w:r>
        <w:rPr>
          <w:rFonts w:ascii="Book Antiqua" w:hAnsi="Book Antiqua" w:cs="Arial"/>
          <w:lang w:val="es-US"/>
        </w:rPr>
        <w:t xml:space="preserve">a                                  </w:t>
      </w:r>
    </w:p>
    <w:p w14:paraId="708EB891" w14:textId="77777777" w:rsidR="00492FC4" w:rsidRDefault="00492FC4" w:rsidP="00492FC4">
      <w:pPr>
        <w:jc w:val="both"/>
        <w:rPr>
          <w:rFonts w:ascii="Book Antiqua" w:hAnsi="Book Antiqua" w:cs="Arial"/>
          <w:lang w:val="es-US"/>
        </w:rPr>
      </w:pPr>
    </w:p>
    <w:p w14:paraId="3FE44A7C" w14:textId="053B4672" w:rsidR="00492FC4" w:rsidRPr="00AC3FC7" w:rsidRDefault="00492FC4" w:rsidP="004876B9">
      <w:pPr>
        <w:jc w:val="both"/>
        <w:rPr>
          <w:rFonts w:ascii="Book Antiqua" w:hAnsi="Book Antiqua" w:cs="Arial"/>
          <w:lang w:val="es-US"/>
        </w:rPr>
      </w:pPr>
      <w:r w:rsidRPr="00492FC4">
        <w:rPr>
          <w:rFonts w:ascii="Book Antiqua" w:hAnsi="Book Antiqua" w:cs="Arial"/>
          <w:lang w:val="es-US"/>
        </w:rPr>
        <w:t>de la población. Por tales razones, la ASPPR recomendó la aprobación del Proyecto de la Cámara 732 según presentado, al considerar que la medida protege el acceso a medicamentos asequibles, sostiene el modelo de reinversión comunitaria y preserva la salud pública de Puerto Rico </w:t>
      </w:r>
    </w:p>
    <w:p w14:paraId="7AA6952C" w14:textId="77777777" w:rsidR="00492FC4" w:rsidRPr="009A1F1C" w:rsidRDefault="00492FC4" w:rsidP="004876B9">
      <w:pPr>
        <w:jc w:val="both"/>
        <w:rPr>
          <w:rFonts w:ascii="Book Antiqua" w:hAnsi="Book Antiqua" w:cs="Arial"/>
          <w:highlight w:val="yellow"/>
          <w:lang w:val="es-ES_tradnl"/>
        </w:rPr>
      </w:pPr>
    </w:p>
    <w:p w14:paraId="18429BDE" w14:textId="399B3B4C" w:rsidR="00864F53" w:rsidRPr="00DE7942" w:rsidRDefault="00DE7942" w:rsidP="00864F53">
      <w:pPr>
        <w:suppressLineNumbers/>
        <w:jc w:val="center"/>
        <w:rPr>
          <w:rFonts w:ascii="Book Antiqua" w:hAnsi="Book Antiqua" w:cs="Arial"/>
          <w:b/>
          <w:bCs/>
          <w:color w:val="000000" w:themeColor="text1"/>
          <w:u w:val="single"/>
          <w:lang w:val="es-ES"/>
        </w:rPr>
      </w:pPr>
      <w:proofErr w:type="spellStart"/>
      <w:r>
        <w:rPr>
          <w:rFonts w:ascii="Book Antiqua" w:hAnsi="Book Antiqua" w:cs="Arial"/>
          <w:b/>
          <w:bCs/>
          <w:color w:val="000000" w:themeColor="text1"/>
          <w:u w:val="single"/>
          <w:lang w:val="es-ES"/>
        </w:rPr>
        <w:t>NeoMed</w:t>
      </w:r>
      <w:proofErr w:type="spellEnd"/>
      <w:r w:rsidR="00963928">
        <w:rPr>
          <w:rFonts w:ascii="Book Antiqua" w:hAnsi="Book Antiqua" w:cs="Arial"/>
          <w:b/>
          <w:bCs/>
          <w:color w:val="000000" w:themeColor="text1"/>
          <w:u w:val="single"/>
          <w:lang w:val="es-ES"/>
        </w:rPr>
        <w:t xml:space="preserve"> Center</w:t>
      </w:r>
      <w:r w:rsidR="00460330">
        <w:rPr>
          <w:rFonts w:ascii="Book Antiqua" w:hAnsi="Book Antiqua" w:cs="Arial"/>
          <w:b/>
          <w:bCs/>
          <w:color w:val="000000" w:themeColor="text1"/>
          <w:u w:val="single"/>
          <w:lang w:val="es-ES"/>
        </w:rPr>
        <w:t>, Inc.</w:t>
      </w:r>
    </w:p>
    <w:p w14:paraId="4E626026" w14:textId="77777777" w:rsidR="00864F53" w:rsidRPr="009A1F1C" w:rsidRDefault="00864F53" w:rsidP="00864F53">
      <w:pPr>
        <w:suppressLineNumbers/>
        <w:jc w:val="both"/>
        <w:rPr>
          <w:rFonts w:ascii="Book Antiqua" w:hAnsi="Book Antiqua" w:cs="Arial"/>
          <w:color w:val="000000" w:themeColor="text1"/>
          <w:highlight w:val="yellow"/>
          <w:lang w:val="es-ES"/>
        </w:rPr>
      </w:pPr>
    </w:p>
    <w:p w14:paraId="2F7ABB86" w14:textId="1F074BD7" w:rsidR="00DE7942" w:rsidRPr="00DE7942" w:rsidRDefault="00DE7942" w:rsidP="00DE7942">
      <w:pPr>
        <w:suppressLineNumbers/>
        <w:ind w:firstLine="720"/>
        <w:jc w:val="both"/>
        <w:rPr>
          <w:rFonts w:ascii="Book Antiqua" w:hAnsi="Book Antiqua" w:cs="Arial"/>
          <w:color w:val="000000" w:themeColor="text1"/>
          <w:lang w:val="es-US"/>
        </w:rPr>
      </w:pPr>
      <w:r w:rsidRPr="00DE7942">
        <w:rPr>
          <w:rFonts w:ascii="Book Antiqua" w:hAnsi="Book Antiqua" w:cs="Arial"/>
          <w:color w:val="000000" w:themeColor="text1"/>
          <w:lang w:val="es-US"/>
        </w:rPr>
        <w:t xml:space="preserve">En su memorial explicativo, </w:t>
      </w:r>
      <w:proofErr w:type="spellStart"/>
      <w:r w:rsidRPr="00DE7942">
        <w:rPr>
          <w:rFonts w:ascii="Book Antiqua" w:hAnsi="Book Antiqua" w:cs="Arial"/>
          <w:color w:val="000000" w:themeColor="text1"/>
          <w:lang w:val="es-US"/>
        </w:rPr>
        <w:t>NeoMed</w:t>
      </w:r>
      <w:proofErr w:type="spellEnd"/>
      <w:r w:rsidRPr="00DE7942">
        <w:rPr>
          <w:rFonts w:ascii="Book Antiqua" w:hAnsi="Book Antiqua" w:cs="Arial"/>
          <w:color w:val="000000" w:themeColor="text1"/>
          <w:lang w:val="es-US"/>
        </w:rPr>
        <w:t xml:space="preserve"> Center, </w:t>
      </w:r>
      <w:proofErr w:type="spellStart"/>
      <w:r w:rsidRPr="00DE7942">
        <w:rPr>
          <w:rFonts w:ascii="Book Antiqua" w:hAnsi="Book Antiqua" w:cs="Arial"/>
          <w:color w:val="000000" w:themeColor="text1"/>
          <w:lang w:val="es-US"/>
        </w:rPr>
        <w:t>Inc</w:t>
      </w:r>
      <w:proofErr w:type="spellEnd"/>
      <w:r w:rsidRPr="00DE7942">
        <w:rPr>
          <w:rFonts w:ascii="Book Antiqua" w:hAnsi="Book Antiqua" w:cs="Arial"/>
          <w:color w:val="000000" w:themeColor="text1"/>
          <w:lang w:val="es-US"/>
        </w:rPr>
        <w:t>, expresó su total apoyo al Proyecto de la Cámara 732, al cual considera esencial para salvaguardar el Programa Federal 340B en Puerto Rico y proteger la capacidad de las entidades cubiertas de continuar ofreciendo medicamentos y servicios a precios accesibles.  La organización enfatizó que los Centros 330 y demás entidades participantes del Programa 340B utilizan los ahorros generados por los descuentos farmacéuticos para financiar servicios críticos, incluyendo atención médica primaria, vacunación, salud mental, transporte a citas y manejo de enfermedades crónicas, beneficiando anualmente a miles de pacientes de bajos ingresos.</w:t>
      </w:r>
    </w:p>
    <w:p w14:paraId="1278C193" w14:textId="77777777" w:rsidR="00DE7942" w:rsidRPr="00DE7942" w:rsidRDefault="00DE7942" w:rsidP="00DE7942">
      <w:pPr>
        <w:suppressLineNumbers/>
        <w:ind w:firstLine="720"/>
        <w:jc w:val="both"/>
        <w:rPr>
          <w:rFonts w:ascii="Book Antiqua" w:hAnsi="Book Antiqua" w:cs="Arial"/>
          <w:color w:val="000000" w:themeColor="text1"/>
          <w:lang w:val="es-US"/>
        </w:rPr>
      </w:pPr>
    </w:p>
    <w:p w14:paraId="3DA6D93A" w14:textId="13ED81C1" w:rsidR="00DE7942" w:rsidRPr="00DE7942" w:rsidRDefault="00492FC4" w:rsidP="00DE7942">
      <w:pPr>
        <w:suppressLineNumbers/>
        <w:ind w:firstLine="720"/>
        <w:jc w:val="both"/>
        <w:rPr>
          <w:rFonts w:ascii="Book Antiqua" w:hAnsi="Book Antiqua" w:cs="Arial"/>
          <w:color w:val="000000" w:themeColor="text1"/>
          <w:lang w:val="es-US"/>
        </w:rPr>
      </w:pPr>
      <w:r>
        <w:rPr>
          <w:rFonts w:ascii="Book Antiqua" w:hAnsi="Book Antiqua" w:cs="Arial"/>
          <w:color w:val="000000" w:themeColor="text1"/>
          <w:lang w:val="es-US"/>
        </w:rPr>
        <w:t>Además,</w:t>
      </w:r>
      <w:r w:rsidR="00DE7942" w:rsidRPr="00DE7942">
        <w:rPr>
          <w:rFonts w:ascii="Book Antiqua" w:hAnsi="Book Antiqua" w:cs="Arial"/>
          <w:color w:val="000000" w:themeColor="text1"/>
          <w:lang w:val="es-US"/>
        </w:rPr>
        <w:t xml:space="preserve"> advirtió, que la sostenibilidad de esos servicios se ha visto amenazada por prácticas discriminatorias de ciertos aseguradores y manejadores de beneficios de farmacia (PBM), quienes han impuesto restricciones contractuales, tarifas adicionales y tasas de reembolso más bajas para medicamentos 340B. Estas acciones</w:t>
      </w:r>
      <w:r>
        <w:rPr>
          <w:rFonts w:ascii="Book Antiqua" w:hAnsi="Book Antiqua" w:cs="Arial"/>
          <w:color w:val="000000" w:themeColor="text1"/>
          <w:lang w:val="es-US"/>
        </w:rPr>
        <w:t xml:space="preserve">, </w:t>
      </w:r>
      <w:r w:rsidR="00DE7942" w:rsidRPr="00DE7942">
        <w:rPr>
          <w:rFonts w:ascii="Book Antiqua" w:hAnsi="Book Antiqua" w:cs="Arial"/>
          <w:color w:val="000000" w:themeColor="text1"/>
          <w:lang w:val="es-US"/>
        </w:rPr>
        <w:t>según detalla la entidad</w:t>
      </w:r>
      <w:r>
        <w:rPr>
          <w:rFonts w:ascii="Book Antiqua" w:hAnsi="Book Antiqua" w:cs="Arial"/>
          <w:color w:val="000000" w:themeColor="text1"/>
          <w:lang w:val="es-US"/>
        </w:rPr>
        <w:t xml:space="preserve">, </w:t>
      </w:r>
      <w:r w:rsidR="00DE7942" w:rsidRPr="00DE7942">
        <w:rPr>
          <w:rFonts w:ascii="Book Antiqua" w:hAnsi="Book Antiqua" w:cs="Arial"/>
          <w:color w:val="000000" w:themeColor="text1"/>
          <w:lang w:val="es-US"/>
        </w:rPr>
        <w:t>ponen en riesgo la estabilidad financiera de los proveedores que forman parte de la red de seguridad de salud del país.</w:t>
      </w:r>
    </w:p>
    <w:p w14:paraId="44E86215" w14:textId="77777777" w:rsidR="00DE7942" w:rsidRPr="00DE7942" w:rsidRDefault="00DE7942" w:rsidP="00DE7942">
      <w:pPr>
        <w:suppressLineNumbers/>
        <w:ind w:firstLine="720"/>
        <w:jc w:val="both"/>
        <w:rPr>
          <w:rFonts w:ascii="Book Antiqua" w:hAnsi="Book Antiqua" w:cs="Arial"/>
          <w:color w:val="000000" w:themeColor="text1"/>
          <w:lang w:val="es-US"/>
        </w:rPr>
      </w:pPr>
    </w:p>
    <w:p w14:paraId="22079B91" w14:textId="51E6A4C3" w:rsidR="00DE7942" w:rsidRPr="00DE7942" w:rsidRDefault="00492FC4" w:rsidP="00DE7942">
      <w:pPr>
        <w:suppressLineNumbers/>
        <w:ind w:firstLine="720"/>
        <w:jc w:val="both"/>
        <w:rPr>
          <w:rFonts w:ascii="Book Antiqua" w:hAnsi="Book Antiqua" w:cs="Arial"/>
          <w:color w:val="000000" w:themeColor="text1"/>
          <w:lang w:val="es-US"/>
        </w:rPr>
      </w:pPr>
      <w:r>
        <w:rPr>
          <w:rFonts w:ascii="Book Antiqua" w:hAnsi="Book Antiqua" w:cs="Arial"/>
          <w:color w:val="000000" w:themeColor="text1"/>
          <w:lang w:val="es-US"/>
        </w:rPr>
        <w:t>R</w:t>
      </w:r>
      <w:r w:rsidR="00DE7942" w:rsidRPr="00DE7942">
        <w:rPr>
          <w:rFonts w:ascii="Book Antiqua" w:hAnsi="Book Antiqua" w:cs="Arial"/>
          <w:color w:val="000000" w:themeColor="text1"/>
          <w:lang w:val="es-US"/>
        </w:rPr>
        <w:t xml:space="preserve">esaltó que más de treinta y cinco estados de los Estados Unidos ya han promulgado legislación para prohibir el reembolso discriminatorio y proteger a las entidades cubiertas del Programa 340B, citando ejemplos en </w:t>
      </w:r>
      <w:proofErr w:type="spellStart"/>
      <w:r w:rsidR="00DE7942" w:rsidRPr="00DE7942">
        <w:rPr>
          <w:rFonts w:ascii="Book Antiqua" w:hAnsi="Book Antiqua" w:cs="Arial"/>
          <w:color w:val="000000" w:themeColor="text1"/>
          <w:lang w:val="es-US"/>
        </w:rPr>
        <w:t>Louisiana</w:t>
      </w:r>
      <w:proofErr w:type="spellEnd"/>
      <w:r w:rsidR="00DE7942" w:rsidRPr="00DE7942">
        <w:rPr>
          <w:rFonts w:ascii="Book Antiqua" w:hAnsi="Book Antiqua" w:cs="Arial"/>
          <w:color w:val="000000" w:themeColor="text1"/>
          <w:lang w:val="es-US"/>
        </w:rPr>
        <w:t xml:space="preserve">, Mississippi, Maryland, California, Connecticut y West Virginia.  </w:t>
      </w:r>
      <w:proofErr w:type="spellStart"/>
      <w:r w:rsidR="00DE7942" w:rsidRPr="00DE7942">
        <w:rPr>
          <w:rFonts w:ascii="Book Antiqua" w:hAnsi="Book Antiqua" w:cs="Arial"/>
          <w:color w:val="000000" w:themeColor="text1"/>
          <w:lang w:val="es-US"/>
        </w:rPr>
        <w:t>NeoMed</w:t>
      </w:r>
      <w:proofErr w:type="spellEnd"/>
      <w:r w:rsidR="00DE7942" w:rsidRPr="00DE7942">
        <w:rPr>
          <w:rFonts w:ascii="Book Antiqua" w:hAnsi="Book Antiqua" w:cs="Arial"/>
          <w:color w:val="000000" w:themeColor="text1"/>
          <w:lang w:val="es-US"/>
        </w:rPr>
        <w:t xml:space="preserve"> sostuvo que el P. de la C. 732 alinea a Puerto Rico con esas mejores prácticas, al establecer protecciones integrales que incluyen la prohibición de discriminación en los pagos, restricciones contractuales y la imposición de sanciones administrativas y civiles por </w:t>
      </w:r>
      <w:r w:rsidRPr="00DE7942">
        <w:rPr>
          <w:rFonts w:ascii="Book Antiqua" w:hAnsi="Book Antiqua" w:cs="Arial"/>
          <w:color w:val="000000" w:themeColor="text1"/>
          <w:lang w:val="es-US"/>
        </w:rPr>
        <w:t>incumplimiento.</w:t>
      </w:r>
    </w:p>
    <w:p w14:paraId="18E7DEA6" w14:textId="77777777" w:rsidR="00DE7942" w:rsidRPr="00DE7942" w:rsidRDefault="00DE7942" w:rsidP="00DE7942">
      <w:pPr>
        <w:suppressLineNumbers/>
        <w:ind w:firstLine="720"/>
        <w:jc w:val="both"/>
        <w:rPr>
          <w:rFonts w:ascii="Book Antiqua" w:hAnsi="Book Antiqua" w:cs="Arial"/>
          <w:color w:val="000000" w:themeColor="text1"/>
          <w:lang w:val="es-US"/>
        </w:rPr>
      </w:pPr>
    </w:p>
    <w:p w14:paraId="30571BEA" w14:textId="77777777" w:rsidR="00460330" w:rsidRDefault="00460330" w:rsidP="00DE7942">
      <w:pPr>
        <w:suppressLineNumbers/>
        <w:ind w:firstLine="720"/>
        <w:jc w:val="both"/>
        <w:rPr>
          <w:rFonts w:ascii="Book Antiqua" w:hAnsi="Book Antiqua" w:cs="Arial"/>
          <w:color w:val="000000" w:themeColor="text1"/>
          <w:lang w:val="es-US"/>
        </w:rPr>
      </w:pPr>
    </w:p>
    <w:p w14:paraId="7DFB4A27" w14:textId="77777777" w:rsidR="00460330" w:rsidRDefault="00460330" w:rsidP="00DE7942">
      <w:pPr>
        <w:suppressLineNumbers/>
        <w:ind w:firstLine="720"/>
        <w:jc w:val="both"/>
        <w:rPr>
          <w:rFonts w:ascii="Book Antiqua" w:hAnsi="Book Antiqua" w:cs="Arial"/>
          <w:color w:val="000000" w:themeColor="text1"/>
          <w:lang w:val="es-US"/>
        </w:rPr>
      </w:pPr>
    </w:p>
    <w:p w14:paraId="12553909" w14:textId="18D6A817" w:rsidR="00DE7942" w:rsidRPr="00DE7942" w:rsidRDefault="00DE7942" w:rsidP="00DE7942">
      <w:pPr>
        <w:suppressLineNumbers/>
        <w:ind w:firstLine="720"/>
        <w:jc w:val="both"/>
        <w:rPr>
          <w:rFonts w:ascii="Book Antiqua" w:hAnsi="Book Antiqua" w:cs="Arial"/>
          <w:color w:val="000000" w:themeColor="text1"/>
          <w:lang w:val="es-US"/>
        </w:rPr>
      </w:pPr>
      <w:r w:rsidRPr="00DE7942">
        <w:rPr>
          <w:rFonts w:ascii="Book Antiqua" w:hAnsi="Book Antiqua" w:cs="Arial"/>
          <w:color w:val="000000" w:themeColor="text1"/>
          <w:lang w:val="es-US"/>
        </w:rPr>
        <w:lastRenderedPageBreak/>
        <w:t xml:space="preserve">Finalmente, </w:t>
      </w:r>
      <w:proofErr w:type="spellStart"/>
      <w:r w:rsidRPr="00DE7942">
        <w:rPr>
          <w:rFonts w:ascii="Book Antiqua" w:hAnsi="Book Antiqua" w:cs="Arial"/>
          <w:color w:val="000000" w:themeColor="text1"/>
          <w:lang w:val="es-US"/>
        </w:rPr>
        <w:t>NeoMed</w:t>
      </w:r>
      <w:proofErr w:type="spellEnd"/>
      <w:r w:rsidRPr="00DE7942">
        <w:rPr>
          <w:rFonts w:ascii="Book Antiqua" w:hAnsi="Book Antiqua" w:cs="Arial"/>
          <w:color w:val="000000" w:themeColor="text1"/>
          <w:lang w:val="es-US"/>
        </w:rPr>
        <w:t xml:space="preserve"> instó a la aprobación sin demora de la medida, señalando que su adopción preservará el acceso a medicamentos asequibles, permitirá mantener y expandir servicios de salud críticos y contribuirá a reducir las disparidades en salud que enfrentan las comunidades marginadas del país.</w:t>
      </w:r>
    </w:p>
    <w:p w14:paraId="29D8C72A" w14:textId="77777777" w:rsidR="00FB6836" w:rsidRPr="009A1F1C" w:rsidRDefault="00FB6836" w:rsidP="00D5392A">
      <w:pPr>
        <w:suppressLineNumbers/>
        <w:jc w:val="both"/>
        <w:rPr>
          <w:rFonts w:ascii="Book Antiqua" w:hAnsi="Book Antiqua" w:cs="Arial"/>
          <w:color w:val="000000" w:themeColor="text1"/>
          <w:highlight w:val="yellow"/>
          <w:lang w:val="es-ES"/>
        </w:rPr>
      </w:pPr>
    </w:p>
    <w:p w14:paraId="266FC6CB" w14:textId="24838345" w:rsidR="00C70ACB" w:rsidRPr="00492FC4" w:rsidRDefault="00492FC4" w:rsidP="00C70ACB">
      <w:pPr>
        <w:suppressLineNumbers/>
        <w:ind w:firstLine="720"/>
        <w:jc w:val="center"/>
        <w:rPr>
          <w:rFonts w:ascii="Book Antiqua" w:hAnsi="Book Antiqua" w:cs="Arial"/>
          <w:b/>
          <w:bCs/>
          <w:color w:val="000000" w:themeColor="text1"/>
          <w:u w:val="single"/>
          <w:lang w:val="es-ES"/>
        </w:rPr>
      </w:pPr>
      <w:r>
        <w:rPr>
          <w:rFonts w:ascii="Book Antiqua" w:hAnsi="Book Antiqua" w:cs="Arial"/>
          <w:b/>
          <w:bCs/>
          <w:color w:val="000000" w:themeColor="text1"/>
          <w:u w:val="single"/>
          <w:lang w:val="es-ES"/>
        </w:rPr>
        <w:t>Programa de Control Comprensivo de Cáncer de Puerto Rico (PRCCCP)</w:t>
      </w:r>
    </w:p>
    <w:p w14:paraId="236B36E1" w14:textId="77777777" w:rsidR="00C70ACB" w:rsidRPr="00492FC4" w:rsidRDefault="00C70ACB" w:rsidP="00C70ACB">
      <w:pPr>
        <w:suppressLineNumbers/>
        <w:ind w:firstLine="720"/>
        <w:jc w:val="center"/>
        <w:rPr>
          <w:rFonts w:ascii="Book Antiqua" w:hAnsi="Book Antiqua" w:cs="Arial"/>
          <w:b/>
          <w:bCs/>
          <w:color w:val="000000" w:themeColor="text1"/>
          <w:u w:val="single"/>
          <w:lang w:val="es-ES"/>
        </w:rPr>
      </w:pPr>
    </w:p>
    <w:p w14:paraId="1445370E" w14:textId="2CC000E4" w:rsidR="00492FC4" w:rsidRPr="00492FC4" w:rsidRDefault="00C70ACB" w:rsidP="00492FC4">
      <w:pPr>
        <w:suppressLineNumbers/>
        <w:ind w:firstLine="720"/>
        <w:jc w:val="both"/>
        <w:rPr>
          <w:rFonts w:ascii="Book Antiqua" w:hAnsi="Book Antiqua" w:cs="Arial"/>
          <w:color w:val="000000" w:themeColor="text1"/>
          <w:lang w:val="es-US"/>
        </w:rPr>
      </w:pPr>
      <w:r w:rsidRPr="00492FC4">
        <w:rPr>
          <w:rFonts w:ascii="Book Antiqua" w:hAnsi="Book Antiqua" w:cs="Arial"/>
          <w:color w:val="000000" w:themeColor="text1"/>
          <w:lang w:val="es-US"/>
        </w:rPr>
        <w:t xml:space="preserve"> </w:t>
      </w:r>
      <w:r w:rsidR="00492FC4" w:rsidRPr="00492FC4">
        <w:rPr>
          <w:rFonts w:ascii="Book Antiqua" w:hAnsi="Book Antiqua" w:cs="Arial"/>
          <w:color w:val="000000" w:themeColor="text1"/>
          <w:lang w:val="es-US"/>
        </w:rPr>
        <w:t>El Programa de Control Comprensivo de Cáncer de Puerto Rico (PRCCCP), adscrito al Centro Comprensivo de Cáncer de la Universidad de Puerto Rico, presentó un memorial en apoyo al Proyecto de la Cámara 732, en el cual expresó</w:t>
      </w:r>
      <w:r w:rsidR="00492FC4">
        <w:rPr>
          <w:rFonts w:ascii="Book Antiqua" w:hAnsi="Book Antiqua" w:cs="Arial"/>
          <w:color w:val="000000" w:themeColor="text1"/>
          <w:lang w:val="es-US"/>
        </w:rPr>
        <w:t xml:space="preserve"> su</w:t>
      </w:r>
      <w:r w:rsidR="00492FC4" w:rsidRPr="00492FC4">
        <w:rPr>
          <w:rFonts w:ascii="Book Antiqua" w:hAnsi="Book Antiqua" w:cs="Arial"/>
          <w:color w:val="000000" w:themeColor="text1"/>
          <w:lang w:val="es-US"/>
        </w:rPr>
        <w:t xml:space="preserve"> respaldo a la medida por considerarla una herramienta esencial para garantizar la sostenibilidad del sistema de salud y el acceso ininterrumpido a medicamentos por parte de los pacientes más </w:t>
      </w:r>
      <w:r w:rsidR="00963928" w:rsidRPr="00492FC4">
        <w:rPr>
          <w:rFonts w:ascii="Book Antiqua" w:hAnsi="Book Antiqua" w:cs="Arial"/>
          <w:color w:val="000000" w:themeColor="text1"/>
          <w:lang w:val="es-US"/>
        </w:rPr>
        <w:t>vulnerables.</w:t>
      </w:r>
    </w:p>
    <w:p w14:paraId="3E5DD533" w14:textId="77777777" w:rsidR="00492FC4" w:rsidRPr="00492FC4" w:rsidRDefault="00492FC4" w:rsidP="00492FC4">
      <w:pPr>
        <w:suppressLineNumbers/>
        <w:ind w:firstLine="720"/>
        <w:jc w:val="both"/>
        <w:rPr>
          <w:rFonts w:ascii="Book Antiqua" w:hAnsi="Book Antiqua" w:cs="Arial"/>
          <w:color w:val="000000" w:themeColor="text1"/>
          <w:lang w:val="es-US"/>
        </w:rPr>
      </w:pPr>
    </w:p>
    <w:p w14:paraId="30C8D973" w14:textId="55CC1781" w:rsidR="00492FC4" w:rsidRPr="00492FC4" w:rsidRDefault="00492FC4" w:rsidP="00492FC4">
      <w:pPr>
        <w:suppressLineNumbers/>
        <w:ind w:firstLine="720"/>
        <w:jc w:val="both"/>
        <w:rPr>
          <w:rFonts w:ascii="Book Antiqua" w:hAnsi="Book Antiqua" w:cs="Arial"/>
          <w:color w:val="000000" w:themeColor="text1"/>
          <w:lang w:val="es-US"/>
        </w:rPr>
      </w:pPr>
      <w:r w:rsidRPr="00492FC4">
        <w:rPr>
          <w:rFonts w:ascii="Book Antiqua" w:hAnsi="Book Antiqua" w:cs="Arial"/>
          <w:color w:val="000000" w:themeColor="text1"/>
          <w:lang w:val="es-US"/>
        </w:rPr>
        <w:t>El PRCCCP destacó que el Programa Federal 340B es una política pública de salud de gran alcance que permite a hospitales, centros 330 y otras entidades cubiertas adquirir medicamentos a precios reducidos, generando ahorros que se reinvierten en servicios clínicos, comunitarios y de apoyo. Estos fondos, según la entidad, han sido determinantes en la atención y tratamiento de pacientes con cáncer, permitiendo costear terapias oncológicas, servicios de navegación de pacientes, transportación a citas médicas, programas de salud mental y detección temprana de enfermedades.</w:t>
      </w:r>
    </w:p>
    <w:p w14:paraId="244AD50A" w14:textId="77777777" w:rsidR="00492FC4" w:rsidRPr="00492FC4" w:rsidRDefault="00492FC4" w:rsidP="00492FC4">
      <w:pPr>
        <w:suppressLineNumbers/>
        <w:ind w:firstLine="720"/>
        <w:jc w:val="both"/>
        <w:rPr>
          <w:rFonts w:ascii="Book Antiqua" w:hAnsi="Book Antiqua" w:cs="Arial"/>
          <w:color w:val="000000" w:themeColor="text1"/>
          <w:lang w:val="es-US"/>
        </w:rPr>
      </w:pPr>
    </w:p>
    <w:p w14:paraId="65DBA650" w14:textId="0E0D53E0" w:rsidR="00492FC4" w:rsidRPr="00492FC4" w:rsidRDefault="00492FC4" w:rsidP="00492FC4">
      <w:pPr>
        <w:suppressLineNumbers/>
        <w:ind w:firstLine="720"/>
        <w:jc w:val="both"/>
        <w:rPr>
          <w:rFonts w:ascii="Book Antiqua" w:hAnsi="Book Antiqua" w:cs="Arial"/>
          <w:color w:val="000000" w:themeColor="text1"/>
          <w:lang w:val="es-US"/>
        </w:rPr>
      </w:pPr>
      <w:r w:rsidRPr="00492FC4">
        <w:rPr>
          <w:rFonts w:ascii="Book Antiqua" w:hAnsi="Book Antiqua" w:cs="Arial"/>
          <w:color w:val="000000" w:themeColor="text1"/>
          <w:lang w:val="es-US"/>
        </w:rPr>
        <w:t>El memorial enfatiza que las amenazas actuales al Programa 340B provocadas por prácticas de algunos aseguradores, manejadores de beneficios de farmacia (PBM) y manufactureros farmacéuticos</w:t>
      </w:r>
      <w:r>
        <w:rPr>
          <w:rFonts w:ascii="Book Antiqua" w:hAnsi="Book Antiqua" w:cs="Arial"/>
          <w:color w:val="000000" w:themeColor="text1"/>
          <w:lang w:val="es-US"/>
        </w:rPr>
        <w:t>,</w:t>
      </w:r>
      <w:r w:rsidRPr="00492FC4">
        <w:rPr>
          <w:rFonts w:ascii="Book Antiqua" w:hAnsi="Book Antiqua" w:cs="Arial"/>
          <w:color w:val="000000" w:themeColor="text1"/>
          <w:lang w:val="es-US"/>
        </w:rPr>
        <w:t xml:space="preserve"> representan un riesgo tangible para la estabilidad de las instituciones que sirven a las comunidades médico-indigentes. Según explicó el Programa, dichas prácticas incluyen reducciones discriminatorias en los pagos, la imposición de cargos adicionales y restricciones indebidas al uso de farmacias contratadas, todo lo cual socava la capacidad de los centros de salud de cumplir su misión social.</w:t>
      </w:r>
    </w:p>
    <w:p w14:paraId="3688486B" w14:textId="77777777" w:rsidR="00492FC4" w:rsidRPr="00492FC4" w:rsidRDefault="00492FC4" w:rsidP="00492FC4">
      <w:pPr>
        <w:suppressLineNumbers/>
        <w:ind w:firstLine="720"/>
        <w:jc w:val="both"/>
        <w:rPr>
          <w:rFonts w:ascii="Book Antiqua" w:hAnsi="Book Antiqua" w:cs="Arial"/>
          <w:color w:val="000000" w:themeColor="text1"/>
          <w:lang w:val="es-US"/>
        </w:rPr>
      </w:pPr>
    </w:p>
    <w:p w14:paraId="254F064B" w14:textId="78094665" w:rsidR="00492FC4" w:rsidRPr="00492FC4" w:rsidRDefault="00492FC4" w:rsidP="00492FC4">
      <w:pPr>
        <w:suppressLineNumbers/>
        <w:ind w:firstLine="720"/>
        <w:jc w:val="both"/>
        <w:rPr>
          <w:rFonts w:ascii="Book Antiqua" w:hAnsi="Book Antiqua" w:cs="Arial"/>
          <w:color w:val="000000" w:themeColor="text1"/>
          <w:lang w:val="es-US"/>
        </w:rPr>
      </w:pPr>
      <w:r w:rsidRPr="00492FC4">
        <w:rPr>
          <w:rFonts w:ascii="Book Antiqua" w:hAnsi="Book Antiqua" w:cs="Arial"/>
          <w:color w:val="000000" w:themeColor="text1"/>
          <w:lang w:val="es-US"/>
        </w:rPr>
        <w:t xml:space="preserve">El PRCCCP </w:t>
      </w:r>
      <w:r>
        <w:rPr>
          <w:rFonts w:ascii="Book Antiqua" w:hAnsi="Book Antiqua" w:cs="Arial"/>
          <w:color w:val="000000" w:themeColor="text1"/>
          <w:lang w:val="es-US"/>
        </w:rPr>
        <w:t xml:space="preserve">aprobó </w:t>
      </w:r>
      <w:r w:rsidRPr="00492FC4">
        <w:rPr>
          <w:rFonts w:ascii="Book Antiqua" w:hAnsi="Book Antiqua" w:cs="Arial"/>
          <w:color w:val="000000" w:themeColor="text1"/>
          <w:lang w:val="es-US"/>
        </w:rPr>
        <w:t>el contenido del P. de la C. 732, señalando que sus artículos establecen protecciones concretas y efectivas para evitar esas prácticas, tales como la prohibición de pagos discriminatorios, la protección de la confidencialidad de costos de adquisición y la imposición de sanciones administrativas y penales a los infractores. Según el Programa, estas disposiciones conforman un marco legal robusto y balanceado, que asegura la integridad del Programa 340B en Puerto Rico y su alineación con la política pública federal.</w:t>
      </w:r>
    </w:p>
    <w:p w14:paraId="63B1216B" w14:textId="77777777" w:rsidR="00492FC4" w:rsidRPr="00492FC4" w:rsidRDefault="00492FC4" w:rsidP="00492FC4">
      <w:pPr>
        <w:suppressLineNumbers/>
        <w:ind w:firstLine="720"/>
        <w:jc w:val="both"/>
        <w:rPr>
          <w:rFonts w:ascii="Book Antiqua" w:hAnsi="Book Antiqua" w:cs="Arial"/>
          <w:color w:val="000000" w:themeColor="text1"/>
          <w:lang w:val="es-US"/>
        </w:rPr>
      </w:pPr>
    </w:p>
    <w:p w14:paraId="45D4A020" w14:textId="72A03BFD" w:rsidR="00D5392A" w:rsidRDefault="00492FC4" w:rsidP="00492FC4">
      <w:pPr>
        <w:suppressLineNumbers/>
        <w:ind w:firstLine="720"/>
        <w:jc w:val="both"/>
        <w:rPr>
          <w:rFonts w:ascii="Book Antiqua" w:hAnsi="Book Antiqua" w:cs="Arial"/>
          <w:color w:val="000000" w:themeColor="text1"/>
          <w:lang w:val="es-US"/>
        </w:rPr>
      </w:pPr>
      <w:r w:rsidRPr="00492FC4">
        <w:rPr>
          <w:rFonts w:ascii="Book Antiqua" w:hAnsi="Book Antiqua" w:cs="Arial"/>
          <w:color w:val="000000" w:themeColor="text1"/>
          <w:lang w:val="es-US"/>
        </w:rPr>
        <w:lastRenderedPageBreak/>
        <w:t>Finalmente, el PRCCCP expresó que aprobar el P. de la C. 732 equivale a proteger a los pacientes, especialmente aquellos que enfrentan diagnósticos graves como el cáncer, y reafirmó que esta ley es una herramienta indispensable para garantizar un Puerto Rico con menos cáncer y más vida. Por tales razones, la entidad reiteró su respaldo absoluto y vehemente a la aprobación del proyecto, reconociendo su valor como legislación de justicia social y de salud pública.</w:t>
      </w:r>
    </w:p>
    <w:p w14:paraId="1AEDDB84" w14:textId="77777777" w:rsidR="00312D01" w:rsidRDefault="00312D01" w:rsidP="00AC3FC7">
      <w:pPr>
        <w:suppressLineNumbers/>
        <w:jc w:val="both"/>
        <w:rPr>
          <w:rFonts w:ascii="Book Antiqua" w:hAnsi="Book Antiqua" w:cs="Arial"/>
          <w:color w:val="000000" w:themeColor="text1"/>
          <w:lang w:val="es-US"/>
        </w:rPr>
      </w:pPr>
    </w:p>
    <w:p w14:paraId="56F02822" w14:textId="629D9813" w:rsidR="00312D01" w:rsidRDefault="00312D01" w:rsidP="00312D01">
      <w:pPr>
        <w:suppressLineNumbers/>
        <w:ind w:firstLine="720"/>
        <w:jc w:val="center"/>
        <w:rPr>
          <w:rFonts w:ascii="Book Antiqua" w:hAnsi="Book Antiqua" w:cs="Arial"/>
          <w:b/>
          <w:bCs/>
          <w:color w:val="000000" w:themeColor="text1"/>
          <w:u w:val="single"/>
          <w:lang w:val="es-US"/>
        </w:rPr>
      </w:pPr>
      <w:r w:rsidRPr="00312D01">
        <w:rPr>
          <w:rFonts w:ascii="Book Antiqua" w:hAnsi="Book Antiqua" w:cs="Arial"/>
          <w:b/>
          <w:bCs/>
          <w:color w:val="000000" w:themeColor="text1"/>
          <w:u w:val="single"/>
          <w:lang w:val="es-US"/>
        </w:rPr>
        <w:t>Alianza de Centros de Salud Comunitaria de Puerto Rico</w:t>
      </w:r>
    </w:p>
    <w:p w14:paraId="75AD10A1" w14:textId="77777777" w:rsidR="00312D01" w:rsidRPr="00312D01" w:rsidRDefault="00312D01" w:rsidP="00312D01">
      <w:pPr>
        <w:suppressLineNumbers/>
        <w:ind w:firstLine="720"/>
        <w:jc w:val="center"/>
        <w:rPr>
          <w:rFonts w:ascii="Book Antiqua" w:hAnsi="Book Antiqua" w:cs="Arial"/>
          <w:b/>
          <w:bCs/>
          <w:color w:val="000000" w:themeColor="text1"/>
          <w:u w:val="single"/>
          <w:lang w:val="es-US"/>
        </w:rPr>
      </w:pPr>
    </w:p>
    <w:p w14:paraId="04EB0D33" w14:textId="77777777"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La Alianza de Centros de Salud Comunitaria de Puerto Rico, Inc., organización que agrupa doce Centros de Salud Comunitaria (CSP) establecidos bajo la Sección 330 de la Ley Federal de Servicios de Salud Pública (</w:t>
      </w:r>
      <w:proofErr w:type="spellStart"/>
      <w:r w:rsidRPr="00312D01">
        <w:rPr>
          <w:rFonts w:ascii="Book Antiqua" w:hAnsi="Book Antiqua" w:cs="Arial"/>
          <w:color w:val="000000" w:themeColor="text1"/>
          <w:lang w:val="es-US"/>
        </w:rPr>
        <w:t>Public</w:t>
      </w:r>
      <w:proofErr w:type="spellEnd"/>
      <w:r w:rsidRPr="00312D01">
        <w:rPr>
          <w:rFonts w:ascii="Book Antiqua" w:hAnsi="Book Antiqua" w:cs="Arial"/>
          <w:color w:val="000000" w:themeColor="text1"/>
          <w:lang w:val="es-US"/>
        </w:rPr>
        <w:t xml:space="preserve"> </w:t>
      </w:r>
      <w:proofErr w:type="spellStart"/>
      <w:r w:rsidRPr="00312D01">
        <w:rPr>
          <w:rFonts w:ascii="Book Antiqua" w:hAnsi="Book Antiqua" w:cs="Arial"/>
          <w:color w:val="000000" w:themeColor="text1"/>
          <w:lang w:val="es-US"/>
        </w:rPr>
        <w:t>Health</w:t>
      </w:r>
      <w:proofErr w:type="spellEnd"/>
      <w:r w:rsidRPr="00312D01">
        <w:rPr>
          <w:rFonts w:ascii="Book Antiqua" w:hAnsi="Book Antiqua" w:cs="Arial"/>
          <w:color w:val="000000" w:themeColor="text1"/>
          <w:lang w:val="es-US"/>
        </w:rPr>
        <w:t xml:space="preserve"> </w:t>
      </w:r>
      <w:proofErr w:type="spellStart"/>
      <w:r w:rsidRPr="00312D01">
        <w:rPr>
          <w:rFonts w:ascii="Book Antiqua" w:hAnsi="Book Antiqua" w:cs="Arial"/>
          <w:color w:val="000000" w:themeColor="text1"/>
          <w:lang w:val="es-US"/>
        </w:rPr>
        <w:t>Service</w:t>
      </w:r>
      <w:proofErr w:type="spellEnd"/>
      <w:r w:rsidRPr="00312D01">
        <w:rPr>
          <w:rFonts w:ascii="Book Antiqua" w:hAnsi="Book Antiqua" w:cs="Arial"/>
          <w:color w:val="000000" w:themeColor="text1"/>
          <w:lang w:val="es-US"/>
        </w:rPr>
        <w:t xml:space="preserve"> </w:t>
      </w:r>
      <w:proofErr w:type="spellStart"/>
      <w:r w:rsidRPr="00312D01">
        <w:rPr>
          <w:rFonts w:ascii="Book Antiqua" w:hAnsi="Book Antiqua" w:cs="Arial"/>
          <w:color w:val="000000" w:themeColor="text1"/>
          <w:lang w:val="es-US"/>
        </w:rPr>
        <w:t>Act</w:t>
      </w:r>
      <w:proofErr w:type="spellEnd"/>
      <w:r w:rsidRPr="00312D01">
        <w:rPr>
          <w:rFonts w:ascii="Book Antiqua" w:hAnsi="Book Antiqua" w:cs="Arial"/>
          <w:color w:val="000000" w:themeColor="text1"/>
          <w:lang w:val="es-US"/>
        </w:rPr>
        <w:t>), sometió un memorial en pleno respaldo al Proyecto de la Cámara 732, al considerar que la medida es esencial para proteger la operación y estabilidad del Programa Federal 340B en la Isla. En su ponencia, la Alianza destacó que los Centros 330 brindan servicios médicos, dentales, de salud mental, farmacia, prevención y manejo de enfermedades crónicas en los 78 municipios, sirviendo a más de 400,000 pacientes anualmente, en su mayoría personas con bajos recursos o cubiertas por el programa Medicaid o el Plan Vital.</w:t>
      </w:r>
    </w:p>
    <w:p w14:paraId="48660251"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0C73BE63" w14:textId="77777777"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La Alianza resaltó que los ahorros del Programa 340B permiten a estos centros reinvertir fondos en servicios esenciales como vacunación, transportación, salud mental, atención pediátrica y entrega de medicamentos gratuitos o a bajo costo, siendo una herramienta vital para sostener la red de salud comunitaria. La entidad advirtió, sin embargo, que esos fondos se encuentran en riesgo debido a prácticas discriminatorias de los Manejadores de Beneficios de Farmacia (PBM), quienes han impuesto reembolsos reducidos, tarifas desiguales, cláusulas abusivas y exclusiones de redes a las entidades participantes del 340B.</w:t>
      </w:r>
    </w:p>
    <w:p w14:paraId="4F5B9117"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06D9F0E2" w14:textId="77777777"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Según la ponencia, el P. de la C. 732 responde directamente a esta problemática, al prohibir los reembolsos discriminatorios y las tarifas injustificadas, e imponer sanciones administrativas y judiciales a las PBM o fabricantes que interfieran con la entrega de medicamentos. La medida, además, alinea a Puerto Rico con más de 37 estados que ya han legislado protecciones similares, citando ejemplos en Luisiana, Mississippi, Indiana, Connecticut, Colorado y Arizona, donde se adoptaron leyes específicas para restringir las prácticas abusivas de las PBM.</w:t>
      </w:r>
    </w:p>
    <w:p w14:paraId="71FAB330"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55FB9AF5" w14:textId="77777777" w:rsid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La Alianza recomendó fortalecer aún más el proyecto mediante dos disposiciones adicionales: (1) establecer la supervisión directa de las PBM bajo el</w:t>
      </w:r>
      <w:r>
        <w:rPr>
          <w:rFonts w:ascii="Book Antiqua" w:hAnsi="Book Antiqua" w:cs="Arial"/>
          <w:color w:val="000000" w:themeColor="text1"/>
          <w:lang w:val="es-US"/>
        </w:rPr>
        <w:t xml:space="preserve"> </w:t>
      </w:r>
    </w:p>
    <w:p w14:paraId="39B93545" w14:textId="685DB727" w:rsidR="00312D01" w:rsidRPr="00312D01" w:rsidRDefault="00312D01" w:rsidP="00312D01">
      <w:pPr>
        <w:suppressLineNumbers/>
        <w:jc w:val="both"/>
        <w:rPr>
          <w:rFonts w:ascii="Book Antiqua" w:hAnsi="Book Antiqua" w:cs="Arial"/>
          <w:color w:val="000000" w:themeColor="text1"/>
          <w:lang w:val="es-US"/>
        </w:rPr>
      </w:pPr>
      <w:r w:rsidRPr="00312D01">
        <w:rPr>
          <w:rFonts w:ascii="Book Antiqua" w:hAnsi="Book Antiqua" w:cs="Arial"/>
          <w:color w:val="000000" w:themeColor="text1"/>
          <w:lang w:val="es-US"/>
        </w:rPr>
        <w:lastRenderedPageBreak/>
        <w:t xml:space="preserve">Departamento de Salud y la Oficina del Comisionado de Seguros, imponiendo sanciones reforzadas a toda práctica discriminatoria; y (2) formalizar mediante ley la coordinación entre el Programa 340B y el Medicaid </w:t>
      </w:r>
      <w:proofErr w:type="spellStart"/>
      <w:r w:rsidRPr="00312D01">
        <w:rPr>
          <w:rFonts w:ascii="Book Antiqua" w:hAnsi="Book Antiqua" w:cs="Arial"/>
          <w:color w:val="000000" w:themeColor="text1"/>
          <w:lang w:val="es-US"/>
        </w:rPr>
        <w:t>Drug</w:t>
      </w:r>
      <w:proofErr w:type="spellEnd"/>
      <w:r w:rsidRPr="00312D01">
        <w:rPr>
          <w:rFonts w:ascii="Book Antiqua" w:hAnsi="Book Antiqua" w:cs="Arial"/>
          <w:color w:val="000000" w:themeColor="text1"/>
          <w:lang w:val="es-US"/>
        </w:rPr>
        <w:t xml:space="preserve"> Rebate </w:t>
      </w:r>
      <w:proofErr w:type="spellStart"/>
      <w:r w:rsidRPr="00312D01">
        <w:rPr>
          <w:rFonts w:ascii="Book Antiqua" w:hAnsi="Book Antiqua" w:cs="Arial"/>
          <w:color w:val="000000" w:themeColor="text1"/>
          <w:lang w:val="es-US"/>
        </w:rPr>
        <w:t>Program</w:t>
      </w:r>
      <w:proofErr w:type="spellEnd"/>
      <w:r w:rsidRPr="00312D01">
        <w:rPr>
          <w:rFonts w:ascii="Book Antiqua" w:hAnsi="Book Antiqua" w:cs="Arial"/>
          <w:color w:val="000000" w:themeColor="text1"/>
          <w:lang w:val="es-US"/>
        </w:rPr>
        <w:t xml:space="preserve"> (MDRP), otorgando fuerza legal al actual “modificador 20”, que identifica las reclamaciones 340B dentro del Plan Medicaid de Puerto Rico.</w:t>
      </w:r>
    </w:p>
    <w:p w14:paraId="113D6339"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7B143C4C" w14:textId="77777777"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Finalmente, la Alianza concluyó que los Centros de Salud Comunitaria constituyen el pilar del sistema primario de salud del país, y que el P. de la C. 732 representa una legislación imprescindible para detener los abusos de las PBM, garantizar el uso correcto de los descuentos 340B y reforzar la red comunitaria de atención médica. La organización recomendó la aprobación del proyecto con las enmiendas sugeridas, reafirmando que su adopción permitirá a Puerto Rico consolidar un sistema de salud más equitativo, transparente y accesible para todos los ciudadanos.</w:t>
      </w:r>
    </w:p>
    <w:p w14:paraId="525A3176"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70EBBDF8" w14:textId="2381CB3A" w:rsidR="00312D01" w:rsidRDefault="00312D01" w:rsidP="00312D01">
      <w:pPr>
        <w:suppressLineNumbers/>
        <w:ind w:firstLine="720"/>
        <w:jc w:val="center"/>
        <w:rPr>
          <w:rFonts w:ascii="Book Antiqua" w:hAnsi="Book Antiqua" w:cs="Arial"/>
          <w:b/>
          <w:bCs/>
          <w:color w:val="000000" w:themeColor="text1"/>
          <w:u w:val="single"/>
          <w:lang w:val="es-US"/>
        </w:rPr>
      </w:pPr>
      <w:r>
        <w:rPr>
          <w:rFonts w:ascii="Book Antiqua" w:hAnsi="Book Antiqua" w:cs="Arial"/>
          <w:b/>
          <w:bCs/>
          <w:color w:val="000000" w:themeColor="text1"/>
          <w:u w:val="single"/>
          <w:lang w:val="es-US"/>
        </w:rPr>
        <w:t>Hospital Damas</w:t>
      </w:r>
    </w:p>
    <w:p w14:paraId="47A0625E" w14:textId="77777777" w:rsidR="00312D01" w:rsidRPr="00312D01" w:rsidRDefault="00312D01" w:rsidP="00312D01">
      <w:pPr>
        <w:suppressLineNumbers/>
        <w:ind w:firstLine="720"/>
        <w:jc w:val="center"/>
        <w:rPr>
          <w:rFonts w:ascii="Book Antiqua" w:hAnsi="Book Antiqua" w:cs="Arial"/>
          <w:b/>
          <w:bCs/>
          <w:color w:val="000000" w:themeColor="text1"/>
          <w:u w:val="single"/>
          <w:lang w:val="es-US"/>
        </w:rPr>
      </w:pPr>
    </w:p>
    <w:p w14:paraId="5C5A232D" w14:textId="48070FAB"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El Hospital Damas, Inc., institución</w:t>
      </w:r>
      <w:r>
        <w:rPr>
          <w:rFonts w:ascii="Book Antiqua" w:hAnsi="Book Antiqua" w:cs="Arial"/>
          <w:color w:val="000000" w:themeColor="text1"/>
          <w:lang w:val="es-US"/>
        </w:rPr>
        <w:t xml:space="preserve"> </w:t>
      </w:r>
      <w:r w:rsidRPr="00312D01">
        <w:rPr>
          <w:rFonts w:ascii="Book Antiqua" w:hAnsi="Book Antiqua" w:cs="Arial"/>
          <w:color w:val="000000" w:themeColor="text1"/>
          <w:lang w:val="es-US"/>
        </w:rPr>
        <w:t>ubicada en la ciudad de Ponce y reconocida por su compromiso con la salud y el bienestar de la región sur de Puerto Rico, presentó un memorial en apoyo total al Proyecto de la Cámara 732.  Aunque la institución aún no forma parte del Programa Federal 340B, manifestó que este proyecto representa un paso esencial para garantizar un marco legal estable, justo y predecible que facilite la futura integración de hospitales y centros médicos a dicho programa.</w:t>
      </w:r>
    </w:p>
    <w:p w14:paraId="09046DC3"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09F38159" w14:textId="203B8803"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El Hospital destacó que el Programa 340B ha demostrado ser un mecanismo altamente eficaz para ofrecer medicamentos y vacunas gratuitos o a bajo costo, brindar servicios de salud física y mental accesibles, implementar programas de prevención y manejo de enfermedades crónicas, y fortalecer la red de promotores de salud comunitarios. En su memorial, la institución enfatizó que el P. de la C. 732 es indispensable para evitar que aseguradoras, fabricantes o manejadores de beneficios de farmacia (PBM) discriminen o limiten la participación de entidades cubiertas, protegiendo así la continuidad y expansión de los beneficios del programa.</w:t>
      </w:r>
    </w:p>
    <w:p w14:paraId="5DB5ECF3"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27501A45" w14:textId="77777777"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 xml:space="preserve">El Hospital Damas explicó que, aunque no participa actualmente en el Programa 340B, la medida se alinea con su estrategia institucional de sostenibilidad y equidad a corto plazo, la cual contempla su incorporación al programa como parte de un esfuerzo mayor por reducir disparidades en el acceso a medicamentos.  Además, resaltó que esta legislación garantizaría un marco regulatorio protector en el momento de su integración, evitando reembolsos </w:t>
      </w:r>
      <w:r w:rsidRPr="00312D01">
        <w:rPr>
          <w:rFonts w:ascii="Book Antiqua" w:hAnsi="Book Antiqua" w:cs="Arial"/>
          <w:color w:val="000000" w:themeColor="text1"/>
          <w:lang w:val="es-US"/>
        </w:rPr>
        <w:lastRenderedPageBreak/>
        <w:t>injustos, exclusiones arbitrarias y prácticas discriminatorias de las PBM o aseguradoras.</w:t>
      </w:r>
    </w:p>
    <w:p w14:paraId="470C836F"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461B2645" w14:textId="77777777"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En términos de política pública, la institución subrayó tres ejes fundamentales: (1) equidad y justicia social, al asegurar que todos los pacientes reciban medicamentos esenciales sin importar su capacidad económica; (2) protección contra prácticas discriminatorias, mediante sanciones claras a los infractores; y (3) sostenibilidad institucional, al permitir que hospitales como Damas planifiquen su integración en condiciones seguras y estables. Asimismo, señaló que la medida armoniza con las tendencias legislativas de varios estados de Estados Unidos, que han promulgado leyes para fortalecer el acceso al Programa 340B.</w:t>
      </w:r>
    </w:p>
    <w:p w14:paraId="1A9802F4"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7F127805" w14:textId="7B022250" w:rsidR="00312D01" w:rsidRDefault="00312D01" w:rsidP="00AC3FC7">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Finalmente, el Hospital Damas, reafirmó su apoyo firme e inequívoco a la aprobación del Proyecto de la Cámara 732, al considerar que su aprobación beneficiará directamente a las poblaciones médico-indigentes del sur de Puerto Rico, garantizando el acceso a medicamentos de alta calidad y la reinversión de recursos en programas clínicos y comunitarios orientados a la equidad en salud</w:t>
      </w:r>
      <w:r>
        <w:rPr>
          <w:rFonts w:ascii="Book Antiqua" w:hAnsi="Book Antiqua" w:cs="Arial"/>
          <w:color w:val="000000" w:themeColor="text1"/>
          <w:lang w:val="es-US"/>
        </w:rPr>
        <w:t>.</w:t>
      </w:r>
    </w:p>
    <w:p w14:paraId="6A9E9E62" w14:textId="77777777" w:rsidR="00312D01" w:rsidRDefault="00312D01" w:rsidP="00312D01">
      <w:pPr>
        <w:suppressLineNumbers/>
        <w:ind w:firstLine="720"/>
        <w:jc w:val="both"/>
        <w:rPr>
          <w:rFonts w:ascii="Book Antiqua" w:hAnsi="Book Antiqua" w:cs="Arial"/>
          <w:color w:val="000000" w:themeColor="text1"/>
          <w:lang w:val="es-US"/>
        </w:rPr>
      </w:pPr>
    </w:p>
    <w:p w14:paraId="2C3797B8" w14:textId="6A38C4D0" w:rsidR="00312D01" w:rsidRDefault="00312D01" w:rsidP="00312D01">
      <w:pPr>
        <w:suppressLineNumbers/>
        <w:ind w:firstLine="720"/>
        <w:jc w:val="center"/>
        <w:rPr>
          <w:rFonts w:ascii="Book Antiqua" w:hAnsi="Book Antiqua" w:cs="Arial"/>
          <w:b/>
          <w:bCs/>
          <w:color w:val="000000" w:themeColor="text1"/>
          <w:u w:val="single"/>
          <w:lang w:val="es-US"/>
        </w:rPr>
      </w:pPr>
      <w:r w:rsidRPr="00312D01">
        <w:rPr>
          <w:rFonts w:ascii="Book Antiqua" w:hAnsi="Book Antiqua" w:cs="Arial"/>
          <w:b/>
          <w:bCs/>
          <w:color w:val="000000" w:themeColor="text1"/>
          <w:u w:val="single"/>
          <w:lang w:val="es-US"/>
        </w:rPr>
        <w:t>Iniciativa Comunitaria, Inc.</w:t>
      </w:r>
    </w:p>
    <w:p w14:paraId="0F82660F" w14:textId="77777777" w:rsidR="00312D01" w:rsidRPr="00312D01" w:rsidRDefault="00312D01" w:rsidP="00312D01">
      <w:pPr>
        <w:suppressLineNumbers/>
        <w:ind w:firstLine="720"/>
        <w:jc w:val="center"/>
        <w:rPr>
          <w:rFonts w:ascii="Book Antiqua" w:hAnsi="Book Antiqua" w:cs="Arial"/>
          <w:b/>
          <w:bCs/>
          <w:color w:val="000000" w:themeColor="text1"/>
          <w:u w:val="single"/>
          <w:lang w:val="es-US"/>
        </w:rPr>
      </w:pPr>
    </w:p>
    <w:p w14:paraId="5AEC8143" w14:textId="487D5FF9"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La organización Iniciativa Comunitaria, Inc., dedicada a brindar servicios de salud y apoyo a poblaciones marginadas, personas sin hogar y pacientes con condiciones crónicas o de uso de sustancias, presentó un memorial en respaldo al Proyecto de la Cámara 732.  En su ponencia, la entidad enfatizó que el Programa Federal 340B ha sido una herramienta esencial para que numerosas organizaciones sin fines de lucro en Puerto Rico puedan ofrecer medicamentos, tratamientos y servicios de salud accesibles a pacientes médico-indigentes.</w:t>
      </w:r>
    </w:p>
    <w:p w14:paraId="3E27CFDE"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185E3A0A" w14:textId="77777777"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La compareciente, Sheylimar M. Andino Escudero, MPH, manejadora de casos de la organización, explicó que el Programa 340B no solo representa un alivio económico directo para los pacientes, sino que también fortalece las instituciones comunitarias al permitirles ampliar su alcance, sostener programas de salud mental y manejo de condiciones crónicas, y ofrecer medicamentos costosos a personas de escasos recursos.</w:t>
      </w:r>
    </w:p>
    <w:p w14:paraId="71E5428F"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0337593F" w14:textId="77777777"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 xml:space="preserve">El memorial detalla que la aprobación del P. de la C. 732 permitirá garantizar la continuidad del acceso a medicamentos esenciales, fortalecer las instituciones de salud que atienden a las comunidades vulnerables y promover la equidad en salud en Puerto Rico. La entidad subraya que salvaguardar el </w:t>
      </w:r>
      <w:r w:rsidRPr="00312D01">
        <w:rPr>
          <w:rFonts w:ascii="Book Antiqua" w:hAnsi="Book Antiqua" w:cs="Arial"/>
          <w:color w:val="000000" w:themeColor="text1"/>
          <w:lang w:val="es-US"/>
        </w:rPr>
        <w:lastRenderedPageBreak/>
        <w:t>Programa 340B equivale a proteger la dignidad, el bienestar y la vida de las personas más necesitadas en el país.</w:t>
      </w:r>
    </w:p>
    <w:p w14:paraId="7D676B92" w14:textId="77777777" w:rsidR="00312D01" w:rsidRPr="00312D01" w:rsidRDefault="00312D01" w:rsidP="00312D01">
      <w:pPr>
        <w:suppressLineNumbers/>
        <w:ind w:firstLine="720"/>
        <w:jc w:val="both"/>
        <w:rPr>
          <w:rFonts w:ascii="Book Antiqua" w:hAnsi="Book Antiqua" w:cs="Arial"/>
          <w:color w:val="000000" w:themeColor="text1"/>
          <w:lang w:val="es-US"/>
        </w:rPr>
      </w:pPr>
    </w:p>
    <w:p w14:paraId="0396CE42" w14:textId="77777777" w:rsidR="00312D01" w:rsidRPr="00312D01" w:rsidRDefault="00312D01" w:rsidP="00312D01">
      <w:pPr>
        <w:suppressLineNumbers/>
        <w:ind w:firstLine="720"/>
        <w:jc w:val="both"/>
        <w:rPr>
          <w:rFonts w:ascii="Book Antiqua" w:hAnsi="Book Antiqua" w:cs="Arial"/>
          <w:color w:val="000000" w:themeColor="text1"/>
          <w:lang w:val="es-US"/>
        </w:rPr>
      </w:pPr>
      <w:r w:rsidRPr="00312D01">
        <w:rPr>
          <w:rFonts w:ascii="Book Antiqua" w:hAnsi="Book Antiqua" w:cs="Arial"/>
          <w:color w:val="000000" w:themeColor="text1"/>
          <w:lang w:val="es-US"/>
        </w:rPr>
        <w:t>Finalmente, Iniciativa Comunitaria exhortó a esta Asamblea Legislativa a aprobar el Proyecto de la Cámara 732, al entender que su adopción representa un acto de justicia social y sanitaria, asegurando que las comunidades marginadas puedan continuar recibiendo la atención médica integral que merecen </w:t>
      </w:r>
    </w:p>
    <w:p w14:paraId="469C2B40" w14:textId="77777777" w:rsidR="00312D01" w:rsidRPr="009A1F1C" w:rsidRDefault="00312D01" w:rsidP="00312D01">
      <w:pPr>
        <w:suppressLineNumbers/>
        <w:rPr>
          <w:rFonts w:ascii="Book Antiqua" w:hAnsi="Book Antiqua" w:cs="Arial"/>
          <w:color w:val="000000" w:themeColor="text1"/>
          <w:highlight w:val="yellow"/>
          <w:lang w:val="es-US"/>
        </w:rPr>
      </w:pPr>
    </w:p>
    <w:p w14:paraId="557DE2A4" w14:textId="50C1AD02" w:rsidR="00706240" w:rsidRPr="00A04081" w:rsidRDefault="00625485" w:rsidP="007F0F91">
      <w:pPr>
        <w:pStyle w:val="Heading3"/>
        <w:jc w:val="center"/>
        <w:rPr>
          <w:rFonts w:ascii="Book Antiqua" w:hAnsi="Book Antiqua"/>
          <w:b/>
          <w:color w:val="auto"/>
          <w:sz w:val="24"/>
          <w:szCs w:val="24"/>
          <w:lang w:val="es-ES"/>
        </w:rPr>
      </w:pPr>
      <w:r w:rsidRPr="00A04081">
        <w:rPr>
          <w:rFonts w:ascii="Book Antiqua" w:hAnsi="Book Antiqua"/>
          <w:b/>
          <w:color w:val="auto"/>
          <w:sz w:val="24"/>
          <w:szCs w:val="24"/>
          <w:lang w:val="es-ES"/>
        </w:rPr>
        <w:t>IMPACTO FISCAL</w:t>
      </w:r>
    </w:p>
    <w:p w14:paraId="01124EA1" w14:textId="77777777" w:rsidR="00A04081" w:rsidRPr="00A04081" w:rsidRDefault="00A04081" w:rsidP="00A04081">
      <w:pPr>
        <w:ind w:firstLine="720"/>
        <w:jc w:val="both"/>
        <w:rPr>
          <w:rFonts w:ascii="Book Antiqua" w:hAnsi="Book Antiqua"/>
          <w:lang w:val="es-US"/>
        </w:rPr>
      </w:pPr>
      <w:r w:rsidRPr="00A04081">
        <w:rPr>
          <w:rFonts w:ascii="Book Antiqua" w:hAnsi="Book Antiqua"/>
          <w:lang w:val="es-US"/>
        </w:rPr>
        <w:t>El Proyecto de la Cámara 732 no conlleva impacto fiscal para el Gobierno de Puerto Rico, ya que su implantación podrá realizarse con los recursos existentes del Departamento de Salud, la Administración de Seguros de Salud (ASES) y la Oficina del Comisionado de Seguros (OCS), sin necesidad de asignaciones adicionales. La medida se limita a establecer protecciones legales y reglamentarias para el Programa Federal 340B, por lo que no genera gastos nuevos al erario y, por el contrario, podría producir ahorros indirectos al fortalecer la red de salud primaria y reducir los costos asociados a hospitalizaciones y tratamientos en poblaciones médico-indigentes.</w:t>
      </w:r>
    </w:p>
    <w:p w14:paraId="6544245B" w14:textId="051E2179" w:rsidR="0058217B" w:rsidRPr="009A1F1C" w:rsidRDefault="0058217B" w:rsidP="00C2251D">
      <w:pPr>
        <w:jc w:val="both"/>
        <w:rPr>
          <w:rFonts w:ascii="Book Antiqua" w:hAnsi="Book Antiqua"/>
          <w:highlight w:val="yellow"/>
          <w:lang w:val="es-ES"/>
        </w:rPr>
      </w:pPr>
    </w:p>
    <w:p w14:paraId="424AFAD5" w14:textId="77777777" w:rsidR="00104EFE" w:rsidRDefault="00104EFE" w:rsidP="005E4FED">
      <w:pPr>
        <w:pStyle w:val="Heading3"/>
        <w:jc w:val="center"/>
        <w:rPr>
          <w:rFonts w:ascii="Book Antiqua" w:hAnsi="Book Antiqua"/>
          <w:b/>
          <w:bCs/>
          <w:color w:val="auto"/>
          <w:sz w:val="24"/>
          <w:szCs w:val="24"/>
          <w:lang w:val="es-ES"/>
        </w:rPr>
      </w:pPr>
      <w:r w:rsidRPr="00A04081">
        <w:rPr>
          <w:rFonts w:ascii="Book Antiqua" w:hAnsi="Book Antiqua"/>
          <w:b/>
          <w:bCs/>
          <w:color w:val="auto"/>
          <w:sz w:val="24"/>
          <w:szCs w:val="24"/>
          <w:lang w:val="es-ES"/>
        </w:rPr>
        <w:t>CONCLUSIÓN</w:t>
      </w:r>
    </w:p>
    <w:p w14:paraId="785B2687" w14:textId="77777777" w:rsidR="00A04081" w:rsidRPr="00A04081" w:rsidRDefault="00A04081" w:rsidP="00A04081">
      <w:pPr>
        <w:rPr>
          <w:lang w:val="es-ES"/>
        </w:rPr>
      </w:pPr>
    </w:p>
    <w:p w14:paraId="1FD14344" w14:textId="2746FF49" w:rsidR="00A04081" w:rsidRPr="00A04081" w:rsidRDefault="00A04081" w:rsidP="00A04081">
      <w:pPr>
        <w:ind w:firstLine="720"/>
        <w:jc w:val="both"/>
        <w:rPr>
          <w:rFonts w:ascii="Book Antiqua" w:hAnsi="Book Antiqua"/>
          <w:color w:val="000000"/>
          <w:lang w:val="es-US"/>
        </w:rPr>
      </w:pPr>
      <w:r w:rsidRPr="00A04081">
        <w:rPr>
          <w:rFonts w:ascii="Book Antiqua" w:hAnsi="Book Antiqua"/>
          <w:color w:val="000000"/>
          <w:lang w:val="es-US"/>
        </w:rPr>
        <w:t>Tras analizar d</w:t>
      </w:r>
      <w:r>
        <w:rPr>
          <w:rFonts w:ascii="Book Antiqua" w:hAnsi="Book Antiqua"/>
          <w:color w:val="000000"/>
          <w:lang w:val="es-US"/>
        </w:rPr>
        <w:t>etalladamente</w:t>
      </w:r>
      <w:r w:rsidRPr="00A04081">
        <w:rPr>
          <w:rFonts w:ascii="Book Antiqua" w:hAnsi="Book Antiqua"/>
          <w:color w:val="000000"/>
          <w:lang w:val="es-US"/>
        </w:rPr>
        <w:t xml:space="preserve"> el Proyecto de la Cámara 732, esta Comisión de Salud reconoce que la medida constituye una acción legislativa de gran relevancia para la protección del Programa Federal 340B en Puerto Rico. El proyecto establece un marco normativo claro que prohíbe las prácticas discriminatorias de los manejadores de beneficios de farmacia (PBM), aseguradoras y manufactureros, asegurando así que las instituciones participantes puedan continuar ofreciendo medicamentos y servicios de salud a precios accesibles para las poblaciones médico-indigentes. La medida reafirma el compromiso del Gobierno de Puerto Rico con la equidad en el acceso a los medicamentos y la preservación de los programas de salud pública que sirven a los sectores más vulnerables.</w:t>
      </w:r>
    </w:p>
    <w:p w14:paraId="3A0E4C90" w14:textId="77777777" w:rsidR="00A04081" w:rsidRPr="00A04081" w:rsidRDefault="00A04081" w:rsidP="00A04081">
      <w:pPr>
        <w:ind w:firstLine="720"/>
        <w:jc w:val="both"/>
        <w:rPr>
          <w:rFonts w:ascii="Book Antiqua" w:hAnsi="Book Antiqua"/>
          <w:color w:val="000000"/>
          <w:lang w:val="es-US"/>
        </w:rPr>
      </w:pPr>
    </w:p>
    <w:p w14:paraId="519C0761" w14:textId="77777777" w:rsidR="00A04081" w:rsidRPr="00A04081" w:rsidRDefault="00A04081" w:rsidP="00A04081">
      <w:pPr>
        <w:ind w:firstLine="720"/>
        <w:jc w:val="both"/>
        <w:rPr>
          <w:rFonts w:ascii="Book Antiqua" w:hAnsi="Book Antiqua"/>
          <w:color w:val="000000"/>
          <w:lang w:val="es-US"/>
        </w:rPr>
      </w:pPr>
      <w:r w:rsidRPr="00A04081">
        <w:rPr>
          <w:rFonts w:ascii="Book Antiqua" w:hAnsi="Book Antiqua"/>
          <w:color w:val="000000"/>
          <w:lang w:val="es-US"/>
        </w:rPr>
        <w:t xml:space="preserve">Durante el análisis, esta Comisión recibió memoriales de entidades representativas del sistema de salud, entre ellas la Asociación de Salud Primaria de Puerto Rico (ASPPR), la Alianza de Centros de Salud Comunitaria, </w:t>
      </w:r>
      <w:proofErr w:type="spellStart"/>
      <w:r w:rsidRPr="00A04081">
        <w:rPr>
          <w:rFonts w:ascii="Book Antiqua" w:hAnsi="Book Antiqua"/>
          <w:color w:val="000000"/>
          <w:lang w:val="es-US"/>
        </w:rPr>
        <w:t>NeoMed</w:t>
      </w:r>
      <w:proofErr w:type="spellEnd"/>
      <w:r w:rsidRPr="00A04081">
        <w:rPr>
          <w:rFonts w:ascii="Book Antiqua" w:hAnsi="Book Antiqua"/>
          <w:color w:val="000000"/>
          <w:lang w:val="es-US"/>
        </w:rPr>
        <w:t xml:space="preserve"> Center, el Programa de Control Comprensivo de Cáncer de Puerto Rico, el Hospital Damas, Inc., e Iniciativa Comunitaria, Inc., todas las cuales expresaron su respaldo unánime a la medida. Estas organizaciones coincidieron en que el </w:t>
      </w:r>
      <w:r w:rsidRPr="00A04081">
        <w:rPr>
          <w:rFonts w:ascii="Book Antiqua" w:hAnsi="Book Antiqua"/>
          <w:color w:val="000000"/>
          <w:lang w:val="es-US"/>
        </w:rPr>
        <w:lastRenderedPageBreak/>
        <w:t>proyecto es esencial para garantizar la continuidad del acceso a medicamentos, fortalecer la salud primaria, proteger los servicios a las comunidades marginadas y prevenir la pérdida de fondos esenciales provenientes del Programa 340B.</w:t>
      </w:r>
    </w:p>
    <w:p w14:paraId="69D3F09F" w14:textId="77777777" w:rsidR="00A04081" w:rsidRPr="00A04081" w:rsidRDefault="00A04081" w:rsidP="00A04081">
      <w:pPr>
        <w:ind w:firstLine="720"/>
        <w:jc w:val="both"/>
        <w:rPr>
          <w:rFonts w:ascii="Book Antiqua" w:hAnsi="Book Antiqua"/>
          <w:color w:val="000000"/>
          <w:lang w:val="es-US"/>
        </w:rPr>
      </w:pPr>
    </w:p>
    <w:p w14:paraId="02C3028B" w14:textId="77777777" w:rsidR="00A04081" w:rsidRPr="00A04081" w:rsidRDefault="00A04081" w:rsidP="00A04081">
      <w:pPr>
        <w:ind w:firstLine="720"/>
        <w:jc w:val="both"/>
        <w:rPr>
          <w:rFonts w:ascii="Book Antiqua" w:hAnsi="Book Antiqua"/>
          <w:color w:val="000000"/>
          <w:lang w:val="es-US"/>
        </w:rPr>
      </w:pPr>
      <w:r w:rsidRPr="00A04081">
        <w:rPr>
          <w:rFonts w:ascii="Book Antiqua" w:hAnsi="Book Antiqua"/>
          <w:color w:val="000000"/>
          <w:lang w:val="es-US"/>
        </w:rPr>
        <w:t>En consideración a todo lo anterior, esta Comisión entiende que el P. de la C. 732 responde adecuadamente a las necesidades actuales del sistema de salud, promueve un ambiente regulatorio justo y protege a las instituciones que sirven a los pacientes más vulnerables. Por tanto, esta Comisión de Salud recomienda la aprobación del Proyecto de la Cámara 732, según presentado, al considerar que su adopción fortalecerá la política pública de salud, promoverá la equidad en el acceso a los medicamentos y asegurará la continuidad de los servicios esenciales para las comunidades médico-indigentes de Puerto Rico.</w:t>
      </w:r>
    </w:p>
    <w:p w14:paraId="44310588" w14:textId="2EC3D4F5" w:rsidR="00C2251D" w:rsidRPr="00A04081" w:rsidRDefault="00C2251D" w:rsidP="000C711C">
      <w:pPr>
        <w:ind w:firstLine="720"/>
        <w:jc w:val="both"/>
        <w:rPr>
          <w:rFonts w:ascii="Book Antiqua" w:hAnsi="Book Antiqua"/>
          <w:color w:val="000000"/>
          <w:lang w:val="es-US"/>
        </w:rPr>
      </w:pPr>
    </w:p>
    <w:p w14:paraId="2229B340" w14:textId="77777777" w:rsidR="000715D2" w:rsidRPr="009A1F1C" w:rsidRDefault="000715D2" w:rsidP="006D5C32">
      <w:pPr>
        <w:ind w:firstLine="720"/>
        <w:jc w:val="both"/>
        <w:rPr>
          <w:rFonts w:ascii="Book Antiqua" w:hAnsi="Book Antiqua"/>
          <w:b/>
          <w:bCs/>
          <w:color w:val="000000"/>
          <w:highlight w:val="yellow"/>
          <w:lang w:val="es-ES"/>
        </w:rPr>
      </w:pPr>
    </w:p>
    <w:p w14:paraId="22ADA23E" w14:textId="6C3855BA" w:rsidR="00104EFE" w:rsidRPr="00460330" w:rsidRDefault="006D343E" w:rsidP="00DA5AD6">
      <w:pPr>
        <w:ind w:firstLine="720"/>
        <w:jc w:val="both"/>
        <w:rPr>
          <w:rFonts w:ascii="Book Antiqua" w:hAnsi="Book Antiqua"/>
          <w:lang w:val="es-ES"/>
        </w:rPr>
      </w:pPr>
      <w:r w:rsidRPr="00460330">
        <w:rPr>
          <w:rFonts w:ascii="Book Antiqua" w:hAnsi="Book Antiqua"/>
          <w:b/>
          <w:bCs/>
          <w:color w:val="000000"/>
          <w:lang w:val="es-ES"/>
        </w:rPr>
        <w:t>POR</w:t>
      </w:r>
      <w:r w:rsidRPr="00460330">
        <w:rPr>
          <w:rFonts w:ascii="Book Antiqua" w:hAnsi="Book Antiqua"/>
          <w:lang w:val="es-ES"/>
        </w:rPr>
        <w:t xml:space="preserve"> </w:t>
      </w:r>
      <w:r w:rsidRPr="00460330">
        <w:rPr>
          <w:rFonts w:ascii="Book Antiqua" w:hAnsi="Book Antiqua"/>
          <w:b/>
          <w:bCs/>
          <w:lang w:val="es-ES"/>
        </w:rPr>
        <w:t>LOS FUNDAMENTOS ANTES E</w:t>
      </w:r>
      <w:r w:rsidR="00D5392A" w:rsidRPr="00460330">
        <w:rPr>
          <w:rFonts w:ascii="Book Antiqua" w:hAnsi="Book Antiqua"/>
          <w:b/>
          <w:bCs/>
          <w:lang w:val="es-ES"/>
        </w:rPr>
        <w:t>X</w:t>
      </w:r>
      <w:r w:rsidRPr="00460330">
        <w:rPr>
          <w:rFonts w:ascii="Book Antiqua" w:hAnsi="Book Antiqua"/>
          <w:b/>
          <w:bCs/>
          <w:lang w:val="es-ES"/>
        </w:rPr>
        <w:t>PUESTOS</w:t>
      </w:r>
      <w:r w:rsidRPr="00460330">
        <w:rPr>
          <w:rFonts w:ascii="Book Antiqua" w:hAnsi="Book Antiqua"/>
          <w:lang w:val="es-ES"/>
        </w:rPr>
        <w:t xml:space="preserve">, </w:t>
      </w:r>
      <w:r w:rsidR="006D5C32" w:rsidRPr="00460330">
        <w:rPr>
          <w:rFonts w:ascii="Book Antiqua" w:hAnsi="Book Antiqua"/>
          <w:lang w:val="es-ES"/>
        </w:rPr>
        <w:t xml:space="preserve">luego de llevado a cabo un análisis y evaluación sobre todos los elementos concernientes a la pieza legislativa, </w:t>
      </w:r>
      <w:r w:rsidR="00104EFE" w:rsidRPr="00460330">
        <w:rPr>
          <w:rFonts w:ascii="Book Antiqua" w:hAnsi="Book Antiqua"/>
          <w:lang w:val="es-ES"/>
        </w:rPr>
        <w:t xml:space="preserve">la Comisión de </w:t>
      </w:r>
      <w:r w:rsidR="005E4FED" w:rsidRPr="00460330">
        <w:rPr>
          <w:rFonts w:ascii="Book Antiqua" w:hAnsi="Book Antiqua"/>
          <w:lang w:val="es-ES"/>
        </w:rPr>
        <w:t>Salud</w:t>
      </w:r>
      <w:r w:rsidR="00104EFE" w:rsidRPr="00460330">
        <w:rPr>
          <w:rFonts w:ascii="Book Antiqua" w:hAnsi="Book Antiqua"/>
          <w:lang w:val="es-ES"/>
        </w:rPr>
        <w:t xml:space="preserve"> somete el presente Informe Positivo en el que recomiendan a este Augusto Cuerpo la aprobación</w:t>
      </w:r>
      <w:r w:rsidR="006D5C32" w:rsidRPr="00460330">
        <w:rPr>
          <w:rFonts w:ascii="Book Antiqua" w:hAnsi="Book Antiqua"/>
          <w:lang w:val="es-ES"/>
        </w:rPr>
        <w:t xml:space="preserve"> del P. de la C. </w:t>
      </w:r>
      <w:r w:rsidR="00460330" w:rsidRPr="00460330">
        <w:rPr>
          <w:rFonts w:ascii="Book Antiqua" w:hAnsi="Book Antiqua"/>
          <w:lang w:val="es-ES"/>
        </w:rPr>
        <w:t>732</w:t>
      </w:r>
      <w:r w:rsidR="007369B0">
        <w:rPr>
          <w:rFonts w:ascii="Book Antiqua" w:hAnsi="Book Antiqua"/>
          <w:lang w:val="es-ES"/>
        </w:rPr>
        <w:t xml:space="preserve"> sin enmiendas</w:t>
      </w:r>
      <w:r w:rsidR="00DA5AD6" w:rsidRPr="00460330">
        <w:rPr>
          <w:rFonts w:ascii="Book Antiqua" w:hAnsi="Book Antiqua"/>
          <w:lang w:val="es-ES"/>
        </w:rPr>
        <w:t>.</w:t>
      </w:r>
    </w:p>
    <w:p w14:paraId="0B2360B4" w14:textId="77777777" w:rsidR="00DA5AD6" w:rsidRPr="009A1F1C" w:rsidRDefault="00DA5AD6" w:rsidP="00DA5AD6">
      <w:pPr>
        <w:ind w:firstLine="720"/>
        <w:jc w:val="both"/>
        <w:rPr>
          <w:rFonts w:ascii="Book Antiqua" w:hAnsi="Book Antiqua"/>
          <w:highlight w:val="yellow"/>
          <w:lang w:val="es-ES"/>
        </w:rPr>
      </w:pPr>
    </w:p>
    <w:p w14:paraId="7A35D752" w14:textId="77777777" w:rsidR="00104EFE" w:rsidRPr="00460330" w:rsidRDefault="00104EFE" w:rsidP="00104EFE">
      <w:pPr>
        <w:pStyle w:val="BodyText"/>
        <w:jc w:val="left"/>
        <w:rPr>
          <w:rFonts w:ascii="Book Antiqua" w:hAnsi="Book Antiqua"/>
          <w:lang w:val="es-ES"/>
        </w:rPr>
      </w:pPr>
      <w:r w:rsidRPr="00460330">
        <w:rPr>
          <w:rFonts w:ascii="Book Antiqua" w:hAnsi="Book Antiqua"/>
          <w:lang w:val="es-ES"/>
        </w:rPr>
        <w:t>Respetuosamente sometido,</w:t>
      </w:r>
    </w:p>
    <w:p w14:paraId="7E926AD5" w14:textId="77777777" w:rsidR="00104EFE" w:rsidRPr="00460330" w:rsidRDefault="00104EFE" w:rsidP="00104EFE">
      <w:pPr>
        <w:pStyle w:val="BodyText"/>
        <w:jc w:val="left"/>
        <w:rPr>
          <w:rFonts w:ascii="Book Antiqua" w:hAnsi="Book Antiqua"/>
          <w:lang w:val="es-ES"/>
        </w:rPr>
      </w:pPr>
    </w:p>
    <w:p w14:paraId="52196BEF" w14:textId="77777777" w:rsidR="00104EFE" w:rsidRPr="00460330" w:rsidRDefault="00104EFE" w:rsidP="00104EFE">
      <w:pPr>
        <w:pStyle w:val="BodyText"/>
        <w:jc w:val="left"/>
        <w:rPr>
          <w:rFonts w:ascii="Book Antiqua" w:hAnsi="Book Antiqua"/>
          <w:lang w:val="es-ES"/>
        </w:rPr>
      </w:pPr>
    </w:p>
    <w:p w14:paraId="344E81B9" w14:textId="77777777" w:rsidR="00104EFE" w:rsidRPr="00460330" w:rsidRDefault="00104EFE" w:rsidP="00104EFE">
      <w:pPr>
        <w:pStyle w:val="BodyText"/>
        <w:jc w:val="left"/>
        <w:rPr>
          <w:rFonts w:ascii="Book Antiqua" w:hAnsi="Book Antiqua"/>
          <w:lang w:val="es-ES"/>
        </w:rPr>
      </w:pPr>
    </w:p>
    <w:p w14:paraId="42D35E23" w14:textId="23231BFC" w:rsidR="00104EFE" w:rsidRPr="00460330" w:rsidRDefault="00E602E9" w:rsidP="00104EFE">
      <w:pPr>
        <w:pStyle w:val="BodyText"/>
        <w:jc w:val="left"/>
        <w:rPr>
          <w:rFonts w:ascii="Book Antiqua" w:hAnsi="Book Antiqua"/>
          <w:b/>
          <w:bCs/>
          <w:i/>
          <w:iCs/>
          <w:lang w:val="es-ES"/>
        </w:rPr>
      </w:pPr>
      <w:proofErr w:type="spellStart"/>
      <w:r w:rsidRPr="00460330">
        <w:rPr>
          <w:rFonts w:ascii="Book Antiqua" w:hAnsi="Book Antiqua"/>
          <w:b/>
          <w:bCs/>
          <w:i/>
          <w:iCs/>
          <w:lang w:val="es-ES"/>
        </w:rPr>
        <w:t>Hon</w:t>
      </w:r>
      <w:proofErr w:type="spellEnd"/>
      <w:r w:rsidRPr="00460330">
        <w:rPr>
          <w:rFonts w:ascii="Book Antiqua" w:hAnsi="Book Antiqua"/>
          <w:b/>
          <w:bCs/>
          <w:i/>
          <w:iCs/>
          <w:lang w:val="es-ES"/>
        </w:rPr>
        <w:t xml:space="preserve">. </w:t>
      </w:r>
      <w:r w:rsidR="005E4FED" w:rsidRPr="00460330">
        <w:rPr>
          <w:rFonts w:ascii="Book Antiqua" w:hAnsi="Book Antiqua"/>
          <w:b/>
          <w:bCs/>
          <w:i/>
          <w:iCs/>
          <w:lang w:val="es-ES"/>
        </w:rPr>
        <w:t>Gabriel Rodríguez Aguiló</w:t>
      </w:r>
      <w:r w:rsidR="00104EFE" w:rsidRPr="00460330">
        <w:rPr>
          <w:rFonts w:ascii="Book Antiqua" w:hAnsi="Book Antiqua"/>
          <w:b/>
          <w:bCs/>
          <w:i/>
          <w:iCs/>
          <w:lang w:val="es-ES"/>
        </w:rPr>
        <w:tab/>
      </w:r>
      <w:r w:rsidR="00104EFE" w:rsidRPr="00460330">
        <w:rPr>
          <w:rFonts w:ascii="Book Antiqua" w:hAnsi="Book Antiqua"/>
          <w:b/>
          <w:bCs/>
          <w:i/>
          <w:iCs/>
          <w:lang w:val="es-ES"/>
        </w:rPr>
        <w:tab/>
        <w:t xml:space="preserve"> </w:t>
      </w:r>
    </w:p>
    <w:p w14:paraId="41CF4CF1" w14:textId="77777777" w:rsidR="00104EFE" w:rsidRPr="00460330" w:rsidRDefault="00104EFE" w:rsidP="00104EFE">
      <w:pPr>
        <w:pStyle w:val="BodyText"/>
        <w:jc w:val="left"/>
        <w:rPr>
          <w:rFonts w:ascii="Book Antiqua" w:hAnsi="Book Antiqua"/>
          <w:lang w:val="es-ES"/>
        </w:rPr>
      </w:pPr>
      <w:r w:rsidRPr="00460330">
        <w:rPr>
          <w:rFonts w:ascii="Book Antiqua" w:hAnsi="Book Antiqua"/>
          <w:lang w:val="es-ES"/>
        </w:rPr>
        <w:t>Presidente</w:t>
      </w:r>
      <w:r w:rsidRPr="00460330">
        <w:rPr>
          <w:rFonts w:ascii="Book Antiqua" w:hAnsi="Book Antiqua"/>
          <w:lang w:val="es-ES"/>
        </w:rPr>
        <w:tab/>
      </w:r>
      <w:r w:rsidRPr="00460330">
        <w:rPr>
          <w:rFonts w:ascii="Book Antiqua" w:hAnsi="Book Antiqua"/>
          <w:lang w:val="es-ES"/>
        </w:rPr>
        <w:tab/>
      </w:r>
      <w:r w:rsidRPr="00460330">
        <w:rPr>
          <w:rFonts w:ascii="Book Antiqua" w:hAnsi="Book Antiqua"/>
          <w:lang w:val="es-ES"/>
        </w:rPr>
        <w:tab/>
      </w:r>
      <w:r w:rsidRPr="00460330">
        <w:rPr>
          <w:rFonts w:ascii="Book Antiqua" w:hAnsi="Book Antiqua"/>
          <w:lang w:val="es-ES"/>
        </w:rPr>
        <w:tab/>
      </w:r>
      <w:r w:rsidRPr="00460330">
        <w:rPr>
          <w:rFonts w:ascii="Book Antiqua" w:hAnsi="Book Antiqua"/>
          <w:lang w:val="es-ES"/>
        </w:rPr>
        <w:tab/>
      </w:r>
      <w:r w:rsidRPr="00460330">
        <w:rPr>
          <w:rFonts w:ascii="Book Antiqua" w:hAnsi="Book Antiqua"/>
          <w:lang w:val="es-ES"/>
        </w:rPr>
        <w:tab/>
      </w:r>
      <w:r w:rsidRPr="00460330">
        <w:rPr>
          <w:rFonts w:ascii="Book Antiqua" w:hAnsi="Book Antiqua"/>
          <w:lang w:val="es-ES"/>
        </w:rPr>
        <w:tab/>
      </w:r>
      <w:r w:rsidRPr="00460330">
        <w:rPr>
          <w:rFonts w:ascii="Book Antiqua" w:hAnsi="Book Antiqua"/>
          <w:lang w:val="es-ES"/>
        </w:rPr>
        <w:tab/>
      </w:r>
      <w:r w:rsidRPr="00460330">
        <w:rPr>
          <w:rFonts w:ascii="Book Antiqua" w:hAnsi="Book Antiqua"/>
          <w:lang w:val="es-ES"/>
        </w:rPr>
        <w:tab/>
      </w:r>
      <w:r w:rsidRPr="00460330">
        <w:rPr>
          <w:rFonts w:ascii="Book Antiqua" w:hAnsi="Book Antiqua"/>
          <w:lang w:val="es-ES"/>
        </w:rPr>
        <w:tab/>
      </w:r>
    </w:p>
    <w:p w14:paraId="48C7866D" w14:textId="012C0253" w:rsidR="00104EFE" w:rsidRPr="00FB6836" w:rsidRDefault="00104EFE" w:rsidP="00104EFE">
      <w:pPr>
        <w:pStyle w:val="BodyText"/>
        <w:ind w:left="5760" w:hanging="5760"/>
        <w:jc w:val="left"/>
        <w:rPr>
          <w:rFonts w:ascii="Book Antiqua" w:hAnsi="Book Antiqua"/>
          <w:lang w:val="es-ES"/>
        </w:rPr>
      </w:pPr>
      <w:r w:rsidRPr="00460330">
        <w:rPr>
          <w:rFonts w:ascii="Book Antiqua" w:hAnsi="Book Antiqua"/>
          <w:lang w:val="es-ES"/>
        </w:rPr>
        <w:t xml:space="preserve">Comisión de </w:t>
      </w:r>
      <w:r w:rsidR="005E4FED" w:rsidRPr="00460330">
        <w:rPr>
          <w:rFonts w:ascii="Book Antiqua" w:hAnsi="Book Antiqua"/>
          <w:lang w:val="es-ES"/>
        </w:rPr>
        <w:t>Salud</w:t>
      </w:r>
    </w:p>
    <w:p w14:paraId="386EF6A3" w14:textId="77777777" w:rsidR="00511CA3" w:rsidRPr="00FB6836" w:rsidRDefault="00511CA3">
      <w:pPr>
        <w:rPr>
          <w:rFonts w:ascii="Book Antiqua" w:hAnsi="Book Antiqua"/>
          <w:lang w:val="es-ES"/>
        </w:rPr>
      </w:pPr>
    </w:p>
    <w:sectPr w:rsidR="00511CA3" w:rsidRPr="00FB6836" w:rsidSect="00104EFE">
      <w:headerReference w:type="even" r:id="rId7"/>
      <w:headerReference w:type="default" r:id="rId8"/>
      <w:foot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4FE7C" w14:textId="77777777" w:rsidR="00210923" w:rsidRDefault="00210923" w:rsidP="00104EFE">
      <w:r>
        <w:separator/>
      </w:r>
    </w:p>
  </w:endnote>
  <w:endnote w:type="continuationSeparator" w:id="0">
    <w:p w14:paraId="05A9D5AC" w14:textId="77777777" w:rsidR="00210923" w:rsidRDefault="00210923"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7C507" w14:textId="77777777" w:rsidR="00210923" w:rsidRDefault="00210923" w:rsidP="00104EFE">
      <w:r>
        <w:separator/>
      </w:r>
    </w:p>
  </w:footnote>
  <w:footnote w:type="continuationSeparator" w:id="0">
    <w:p w14:paraId="4C89FD91" w14:textId="77777777" w:rsidR="00210923" w:rsidRDefault="00210923"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DAFB" w14:textId="77777777" w:rsidR="00603ED5" w:rsidRPr="00ED30AA" w:rsidRDefault="00603ED5" w:rsidP="00603ED5">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4845A08E" w14:textId="77777777" w:rsid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0C0B1485" w14:textId="58AFD349" w:rsidR="005F0666" w:rsidRPr="00603ED5" w:rsidRDefault="00603ED5" w:rsidP="00603ED5">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9A1F1C">
      <w:rPr>
        <w:rFonts w:ascii="Book Antiqua" w:hAnsi="Book Antiqua"/>
        <w:b/>
        <w:sz w:val="20"/>
        <w:lang w:val="es-PR"/>
      </w:rPr>
      <w:t>732</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b/>
        <w:sz w:val="20"/>
        <w:lang w:val="es-PR"/>
      </w:rPr>
      <w:t>2</w:t>
    </w:r>
    <w:r w:rsidRPr="00AA356F">
      <w:rPr>
        <w:rFonts w:ascii="Book Antiqua" w:hAnsi="Book Antiqua"/>
        <w:b/>
        <w:noProof/>
        <w:sz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65B80"/>
    <w:multiLevelType w:val="hybridMultilevel"/>
    <w:tmpl w:val="C63EC1CA"/>
    <w:lvl w:ilvl="0" w:tplc="D4CA0880">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2B6D2594"/>
    <w:multiLevelType w:val="hybridMultilevel"/>
    <w:tmpl w:val="FBEE7F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5744C8"/>
    <w:multiLevelType w:val="hybridMultilevel"/>
    <w:tmpl w:val="2B3288C4"/>
    <w:lvl w:ilvl="0" w:tplc="3C20E752">
      <w:start w:val="1"/>
      <w:numFmt w:val="lowerLetter"/>
      <w:lvlText w:val="%1."/>
      <w:lvlJc w:val="left"/>
      <w:pPr>
        <w:ind w:left="1440" w:hanging="720"/>
      </w:pPr>
      <w:rPr>
        <w:rFonts w:ascii="Book Antiqua" w:eastAsiaTheme="minorHAnsi" w:hAnsi="Book Antiqua" w:cs="Arial"/>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738553546">
    <w:abstractNumId w:val="1"/>
  </w:num>
  <w:num w:numId="2" w16cid:durableId="1370034944">
    <w:abstractNumId w:val="2"/>
  </w:num>
  <w:num w:numId="3" w16cid:durableId="298802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010DA"/>
    <w:rsid w:val="00006302"/>
    <w:rsid w:val="0002765C"/>
    <w:rsid w:val="00027959"/>
    <w:rsid w:val="0003445D"/>
    <w:rsid w:val="000358D6"/>
    <w:rsid w:val="00044E95"/>
    <w:rsid w:val="00055326"/>
    <w:rsid w:val="00057574"/>
    <w:rsid w:val="00060FF8"/>
    <w:rsid w:val="00066509"/>
    <w:rsid w:val="000715D2"/>
    <w:rsid w:val="00073BCC"/>
    <w:rsid w:val="00074048"/>
    <w:rsid w:val="00076393"/>
    <w:rsid w:val="00080550"/>
    <w:rsid w:val="00083BAB"/>
    <w:rsid w:val="00085CA6"/>
    <w:rsid w:val="000922FB"/>
    <w:rsid w:val="00097CA8"/>
    <w:rsid w:val="000A2203"/>
    <w:rsid w:val="000B5EA8"/>
    <w:rsid w:val="000C711C"/>
    <w:rsid w:val="000D154E"/>
    <w:rsid w:val="000E1EB1"/>
    <w:rsid w:val="00104EFE"/>
    <w:rsid w:val="00107B07"/>
    <w:rsid w:val="00145B5D"/>
    <w:rsid w:val="00160381"/>
    <w:rsid w:val="00167B6D"/>
    <w:rsid w:val="001727B8"/>
    <w:rsid w:val="00185425"/>
    <w:rsid w:val="001A4FD1"/>
    <w:rsid w:val="001A73C1"/>
    <w:rsid w:val="001B60B0"/>
    <w:rsid w:val="001C1240"/>
    <w:rsid w:val="001D041C"/>
    <w:rsid w:val="001E05E2"/>
    <w:rsid w:val="002006F1"/>
    <w:rsid w:val="00201210"/>
    <w:rsid w:val="00210923"/>
    <w:rsid w:val="002167EF"/>
    <w:rsid w:val="00227349"/>
    <w:rsid w:val="00233E4B"/>
    <w:rsid w:val="002553A2"/>
    <w:rsid w:val="002640B6"/>
    <w:rsid w:val="00274B1E"/>
    <w:rsid w:val="002A4C11"/>
    <w:rsid w:val="002B6C88"/>
    <w:rsid w:val="002C2A3B"/>
    <w:rsid w:val="002C58AB"/>
    <w:rsid w:val="002C7E23"/>
    <w:rsid w:val="002F364B"/>
    <w:rsid w:val="002F48CF"/>
    <w:rsid w:val="00300EC8"/>
    <w:rsid w:val="00312D01"/>
    <w:rsid w:val="00315B39"/>
    <w:rsid w:val="003167FA"/>
    <w:rsid w:val="0033678E"/>
    <w:rsid w:val="00337299"/>
    <w:rsid w:val="00347A49"/>
    <w:rsid w:val="00364E07"/>
    <w:rsid w:val="0037433C"/>
    <w:rsid w:val="00381685"/>
    <w:rsid w:val="00385237"/>
    <w:rsid w:val="00386686"/>
    <w:rsid w:val="003B47E9"/>
    <w:rsid w:val="003C6026"/>
    <w:rsid w:val="003D7623"/>
    <w:rsid w:val="003E541D"/>
    <w:rsid w:val="0041089B"/>
    <w:rsid w:val="00425561"/>
    <w:rsid w:val="0044796A"/>
    <w:rsid w:val="004522B5"/>
    <w:rsid w:val="00453F5F"/>
    <w:rsid w:val="00460330"/>
    <w:rsid w:val="00487319"/>
    <w:rsid w:val="004876B9"/>
    <w:rsid w:val="00492FC4"/>
    <w:rsid w:val="0049533B"/>
    <w:rsid w:val="004A26F4"/>
    <w:rsid w:val="004A415E"/>
    <w:rsid w:val="004A7D54"/>
    <w:rsid w:val="004B19D7"/>
    <w:rsid w:val="004B3AA8"/>
    <w:rsid w:val="004C162E"/>
    <w:rsid w:val="004C640F"/>
    <w:rsid w:val="00505C9B"/>
    <w:rsid w:val="00511CA3"/>
    <w:rsid w:val="005321E4"/>
    <w:rsid w:val="005353CA"/>
    <w:rsid w:val="005444BF"/>
    <w:rsid w:val="00546727"/>
    <w:rsid w:val="0055055A"/>
    <w:rsid w:val="0055122F"/>
    <w:rsid w:val="005536F7"/>
    <w:rsid w:val="00556CB7"/>
    <w:rsid w:val="0058217B"/>
    <w:rsid w:val="00590146"/>
    <w:rsid w:val="0059325A"/>
    <w:rsid w:val="0059537A"/>
    <w:rsid w:val="005D28D8"/>
    <w:rsid w:val="005E2CB0"/>
    <w:rsid w:val="005E4FED"/>
    <w:rsid w:val="005F0666"/>
    <w:rsid w:val="005F768E"/>
    <w:rsid w:val="00601F37"/>
    <w:rsid w:val="00603ED5"/>
    <w:rsid w:val="006238DB"/>
    <w:rsid w:val="00625485"/>
    <w:rsid w:val="00626799"/>
    <w:rsid w:val="00626B69"/>
    <w:rsid w:val="00630645"/>
    <w:rsid w:val="00635B9E"/>
    <w:rsid w:val="00637231"/>
    <w:rsid w:val="00655815"/>
    <w:rsid w:val="00661B64"/>
    <w:rsid w:val="006A1550"/>
    <w:rsid w:val="006A5E4C"/>
    <w:rsid w:val="006A7691"/>
    <w:rsid w:val="006D343E"/>
    <w:rsid w:val="006D5C32"/>
    <w:rsid w:val="006F4695"/>
    <w:rsid w:val="006F606A"/>
    <w:rsid w:val="00706240"/>
    <w:rsid w:val="00727BE6"/>
    <w:rsid w:val="007369B0"/>
    <w:rsid w:val="0074614A"/>
    <w:rsid w:val="00747269"/>
    <w:rsid w:val="0075027F"/>
    <w:rsid w:val="00753D55"/>
    <w:rsid w:val="0078468F"/>
    <w:rsid w:val="0078491F"/>
    <w:rsid w:val="00787B54"/>
    <w:rsid w:val="007A5AFE"/>
    <w:rsid w:val="007D1D9C"/>
    <w:rsid w:val="007E06DF"/>
    <w:rsid w:val="007F0F91"/>
    <w:rsid w:val="008037EE"/>
    <w:rsid w:val="0081059D"/>
    <w:rsid w:val="00811E3C"/>
    <w:rsid w:val="00811E95"/>
    <w:rsid w:val="00812335"/>
    <w:rsid w:val="00812412"/>
    <w:rsid w:val="008246AC"/>
    <w:rsid w:val="00832AC1"/>
    <w:rsid w:val="00843EDA"/>
    <w:rsid w:val="00851E39"/>
    <w:rsid w:val="00856DC8"/>
    <w:rsid w:val="00864F53"/>
    <w:rsid w:val="00881495"/>
    <w:rsid w:val="008A62E9"/>
    <w:rsid w:val="008B04A5"/>
    <w:rsid w:val="008B277F"/>
    <w:rsid w:val="008B3275"/>
    <w:rsid w:val="008E0A43"/>
    <w:rsid w:val="008E0C84"/>
    <w:rsid w:val="00907D4A"/>
    <w:rsid w:val="00942884"/>
    <w:rsid w:val="00943584"/>
    <w:rsid w:val="00960807"/>
    <w:rsid w:val="00963928"/>
    <w:rsid w:val="0098239F"/>
    <w:rsid w:val="00985C22"/>
    <w:rsid w:val="00994A5B"/>
    <w:rsid w:val="009A1F1C"/>
    <w:rsid w:val="009A3270"/>
    <w:rsid w:val="009B4BB7"/>
    <w:rsid w:val="009D74C0"/>
    <w:rsid w:val="009E1009"/>
    <w:rsid w:val="009F3D97"/>
    <w:rsid w:val="00A04081"/>
    <w:rsid w:val="00A05E18"/>
    <w:rsid w:val="00A06E48"/>
    <w:rsid w:val="00A17319"/>
    <w:rsid w:val="00A20961"/>
    <w:rsid w:val="00A3293B"/>
    <w:rsid w:val="00A4037C"/>
    <w:rsid w:val="00A429CC"/>
    <w:rsid w:val="00A4579D"/>
    <w:rsid w:val="00A65E27"/>
    <w:rsid w:val="00A72789"/>
    <w:rsid w:val="00A73769"/>
    <w:rsid w:val="00A771F6"/>
    <w:rsid w:val="00AA55E2"/>
    <w:rsid w:val="00AB1ABB"/>
    <w:rsid w:val="00AC3FC7"/>
    <w:rsid w:val="00AE2361"/>
    <w:rsid w:val="00AE7A24"/>
    <w:rsid w:val="00AF56F6"/>
    <w:rsid w:val="00B01030"/>
    <w:rsid w:val="00B023E9"/>
    <w:rsid w:val="00B02F81"/>
    <w:rsid w:val="00B10A98"/>
    <w:rsid w:val="00B172C2"/>
    <w:rsid w:val="00B41917"/>
    <w:rsid w:val="00B440BC"/>
    <w:rsid w:val="00B52BDE"/>
    <w:rsid w:val="00B61528"/>
    <w:rsid w:val="00B65B50"/>
    <w:rsid w:val="00B71144"/>
    <w:rsid w:val="00B97F33"/>
    <w:rsid w:val="00BB02F6"/>
    <w:rsid w:val="00BB125B"/>
    <w:rsid w:val="00BB6A87"/>
    <w:rsid w:val="00BD5AC4"/>
    <w:rsid w:val="00BE0B8D"/>
    <w:rsid w:val="00BE5FFB"/>
    <w:rsid w:val="00C0312A"/>
    <w:rsid w:val="00C2251D"/>
    <w:rsid w:val="00C33288"/>
    <w:rsid w:val="00C4700C"/>
    <w:rsid w:val="00C51001"/>
    <w:rsid w:val="00C52B95"/>
    <w:rsid w:val="00C55246"/>
    <w:rsid w:val="00C65406"/>
    <w:rsid w:val="00C70ACB"/>
    <w:rsid w:val="00C850BC"/>
    <w:rsid w:val="00CA7F43"/>
    <w:rsid w:val="00CC2FA1"/>
    <w:rsid w:val="00CE5D87"/>
    <w:rsid w:val="00D06E07"/>
    <w:rsid w:val="00D12020"/>
    <w:rsid w:val="00D34322"/>
    <w:rsid w:val="00D36717"/>
    <w:rsid w:val="00D5392A"/>
    <w:rsid w:val="00D61DCA"/>
    <w:rsid w:val="00D71F29"/>
    <w:rsid w:val="00D90636"/>
    <w:rsid w:val="00D933A0"/>
    <w:rsid w:val="00DA5AD6"/>
    <w:rsid w:val="00DA62AB"/>
    <w:rsid w:val="00DB15AD"/>
    <w:rsid w:val="00DB2C8A"/>
    <w:rsid w:val="00DE6C6C"/>
    <w:rsid w:val="00DE7942"/>
    <w:rsid w:val="00E04DFB"/>
    <w:rsid w:val="00E135C4"/>
    <w:rsid w:val="00E32836"/>
    <w:rsid w:val="00E438BF"/>
    <w:rsid w:val="00E552AF"/>
    <w:rsid w:val="00E602E9"/>
    <w:rsid w:val="00E755C2"/>
    <w:rsid w:val="00E83541"/>
    <w:rsid w:val="00E8416F"/>
    <w:rsid w:val="00E84615"/>
    <w:rsid w:val="00EA200A"/>
    <w:rsid w:val="00EA498E"/>
    <w:rsid w:val="00EB2A38"/>
    <w:rsid w:val="00EC1724"/>
    <w:rsid w:val="00EF49A2"/>
    <w:rsid w:val="00EF7FEA"/>
    <w:rsid w:val="00F02BA8"/>
    <w:rsid w:val="00F34EE3"/>
    <w:rsid w:val="00F408D2"/>
    <w:rsid w:val="00F5417C"/>
    <w:rsid w:val="00F705E6"/>
    <w:rsid w:val="00F71D18"/>
    <w:rsid w:val="00F8220F"/>
    <w:rsid w:val="00F845A9"/>
    <w:rsid w:val="00F865AD"/>
    <w:rsid w:val="00FA1609"/>
    <w:rsid w:val="00FB6836"/>
    <w:rsid w:val="00FD3085"/>
    <w:rsid w:val="00FD4469"/>
    <w:rsid w:val="00FE4D1E"/>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DE0702EF-BFC0-41CF-B3F3-EF9F07D86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98568836">
      <w:bodyDiv w:val="1"/>
      <w:marLeft w:val="0"/>
      <w:marRight w:val="0"/>
      <w:marTop w:val="0"/>
      <w:marBottom w:val="0"/>
      <w:divBdr>
        <w:top w:val="none" w:sz="0" w:space="0" w:color="auto"/>
        <w:left w:val="none" w:sz="0" w:space="0" w:color="auto"/>
        <w:bottom w:val="none" w:sz="0" w:space="0" w:color="auto"/>
        <w:right w:val="none" w:sz="0" w:space="0" w:color="auto"/>
      </w:divBdr>
    </w:div>
    <w:div w:id="205459069">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02317737">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4389162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033269536">
      <w:bodyDiv w:val="1"/>
      <w:marLeft w:val="0"/>
      <w:marRight w:val="0"/>
      <w:marTop w:val="0"/>
      <w:marBottom w:val="0"/>
      <w:divBdr>
        <w:top w:val="none" w:sz="0" w:space="0" w:color="auto"/>
        <w:left w:val="none" w:sz="0" w:space="0" w:color="auto"/>
        <w:bottom w:val="none" w:sz="0" w:space="0" w:color="auto"/>
        <w:right w:val="none" w:sz="0" w:space="0" w:color="auto"/>
      </w:divBdr>
    </w:div>
    <w:div w:id="118602000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42997336">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14407843">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3272</Words>
  <Characters>18655</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2025-11-13T22:10:00Z</cp:lastPrinted>
  <dcterms:created xsi:type="dcterms:W3CDTF">2025-11-13T23:58:00Z</dcterms:created>
  <dcterms:modified xsi:type="dcterms:W3CDTF">2025-11-13T23:58:00Z</dcterms:modified>
</cp:coreProperties>
</file>