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E0B1E" w14:textId="77777777" w:rsidR="00CC14E0" w:rsidRPr="00170BAF" w:rsidRDefault="00CC14E0" w:rsidP="00CC14E0">
      <w:pPr>
        <w:jc w:val="center"/>
        <w:rPr>
          <w:rFonts w:ascii="Book Antiqua" w:hAnsi="Book Antiqua"/>
          <w:sz w:val="28"/>
          <w:szCs w:val="28"/>
        </w:rPr>
      </w:pPr>
      <w:r w:rsidRPr="00170BAF">
        <w:rPr>
          <w:rFonts w:ascii="Book Antiqua" w:hAnsi="Book Antiqua"/>
          <w:b/>
          <w:bCs/>
          <w:sz w:val="28"/>
          <w:szCs w:val="28"/>
        </w:rPr>
        <w:t>GOBIERNO DE PUERTO RICO</w:t>
      </w:r>
    </w:p>
    <w:p w14:paraId="4EFD459B" w14:textId="77777777" w:rsidR="00CC14E0" w:rsidRPr="00170BAF" w:rsidRDefault="00CC14E0" w:rsidP="00CC14E0">
      <w:pPr>
        <w:rPr>
          <w:rFonts w:ascii="Book Antiqua" w:hAnsi="Book Antiqua"/>
        </w:rPr>
      </w:pPr>
      <w:r w:rsidRPr="00170BAF">
        <w:rPr>
          <w:rFonts w:ascii="Book Antiqua" w:hAnsi="Book Antiqua"/>
        </w:rPr>
        <w:t> </w:t>
      </w:r>
    </w:p>
    <w:p w14:paraId="65641EA0" w14:textId="77737E68" w:rsidR="00CC14E0" w:rsidRPr="00170BAF" w:rsidRDefault="00CC14E0" w:rsidP="00335307">
      <w:pPr>
        <w:spacing w:after="0" w:line="240" w:lineRule="auto"/>
        <w:rPr>
          <w:rFonts w:ascii="Book Antiqua" w:hAnsi="Book Antiqua"/>
        </w:rPr>
      </w:pPr>
      <w:r w:rsidRPr="00170BAF">
        <w:rPr>
          <w:rFonts w:ascii="Book Antiqua" w:hAnsi="Book Antiqua"/>
        </w:rPr>
        <w:t xml:space="preserve">20 </w:t>
      </w:r>
      <w:r w:rsidRPr="00170BAF">
        <w:rPr>
          <w:rFonts w:ascii="Book Antiqua" w:hAnsi="Book Antiqua"/>
          <w:vertAlign w:val="superscript"/>
        </w:rPr>
        <w:t>ma.</w:t>
      </w:r>
      <w:r w:rsidR="00335307">
        <w:rPr>
          <w:rFonts w:ascii="Book Antiqua" w:hAnsi="Book Antiqua"/>
        </w:rPr>
        <w:t xml:space="preserve"> </w:t>
      </w:r>
      <w:r w:rsidRPr="00170BAF">
        <w:rPr>
          <w:rFonts w:ascii="Book Antiqua" w:hAnsi="Book Antiqua"/>
        </w:rPr>
        <w:t>Asamblea</w:t>
      </w:r>
      <w:r w:rsidRPr="00170BAF">
        <w:rPr>
          <w:rFonts w:ascii="Book Antiqua" w:hAnsi="Book Antiqua"/>
        </w:rPr>
        <w:tab/>
      </w:r>
      <w:r>
        <w:rPr>
          <w:rFonts w:ascii="Book Antiqua" w:hAnsi="Book Antiqua"/>
        </w:rPr>
        <w:tab/>
      </w:r>
      <w:r>
        <w:rPr>
          <w:rFonts w:ascii="Book Antiqua" w:hAnsi="Book Antiqua"/>
        </w:rPr>
        <w:tab/>
      </w:r>
      <w:r>
        <w:rPr>
          <w:rFonts w:ascii="Book Antiqua" w:hAnsi="Book Antiqua"/>
        </w:rPr>
        <w:tab/>
      </w:r>
      <w:r>
        <w:rPr>
          <w:rFonts w:ascii="Book Antiqua" w:hAnsi="Book Antiqua"/>
        </w:rPr>
        <w:tab/>
      </w:r>
      <w:r>
        <w:rPr>
          <w:rFonts w:ascii="Book Antiqua" w:hAnsi="Book Antiqua"/>
        </w:rPr>
        <w:tab/>
      </w:r>
      <w:r>
        <w:rPr>
          <w:rFonts w:ascii="Book Antiqua" w:hAnsi="Book Antiqua"/>
        </w:rPr>
        <w:tab/>
      </w:r>
      <w:r>
        <w:rPr>
          <w:rFonts w:ascii="Book Antiqua" w:hAnsi="Book Antiqua"/>
        </w:rPr>
        <w:tab/>
      </w:r>
      <w:r w:rsidR="00335307">
        <w:rPr>
          <w:rFonts w:ascii="Book Antiqua" w:hAnsi="Book Antiqua"/>
        </w:rPr>
        <w:t xml:space="preserve">    </w:t>
      </w:r>
      <w:r>
        <w:rPr>
          <w:rFonts w:ascii="Book Antiqua" w:hAnsi="Book Antiqua"/>
        </w:rPr>
        <w:t>2</w:t>
      </w:r>
      <w:r w:rsidRPr="00170BAF">
        <w:rPr>
          <w:rFonts w:ascii="Book Antiqua" w:hAnsi="Book Antiqua"/>
          <w:vertAlign w:val="superscript"/>
        </w:rPr>
        <w:t xml:space="preserve"> </w:t>
      </w:r>
      <w:r>
        <w:rPr>
          <w:rFonts w:ascii="Book Antiqua" w:hAnsi="Book Antiqua"/>
          <w:vertAlign w:val="superscript"/>
        </w:rPr>
        <w:t>d</w:t>
      </w:r>
      <w:r w:rsidRPr="00170BAF">
        <w:rPr>
          <w:rFonts w:ascii="Book Antiqua" w:hAnsi="Book Antiqua"/>
          <w:vertAlign w:val="superscript"/>
        </w:rPr>
        <w:t xml:space="preserve">a. </w:t>
      </w:r>
      <w:r w:rsidRPr="00170BAF">
        <w:rPr>
          <w:rFonts w:ascii="Book Antiqua" w:hAnsi="Book Antiqua"/>
        </w:rPr>
        <w:tab/>
        <w:t>Sesión </w:t>
      </w:r>
    </w:p>
    <w:p w14:paraId="4CF7DFBA" w14:textId="3E7B7181" w:rsidR="00CC14E0" w:rsidRPr="00170BAF" w:rsidRDefault="00335307" w:rsidP="00335307">
      <w:pPr>
        <w:spacing w:after="0" w:line="240" w:lineRule="auto"/>
        <w:rPr>
          <w:rFonts w:ascii="Book Antiqua" w:hAnsi="Book Antiqua"/>
        </w:rPr>
      </w:pPr>
      <w:r>
        <w:rPr>
          <w:rFonts w:ascii="Book Antiqua" w:hAnsi="Book Antiqua"/>
        </w:rPr>
        <w:t xml:space="preserve">          </w:t>
      </w:r>
      <w:r w:rsidR="00CC14E0" w:rsidRPr="00170BAF">
        <w:rPr>
          <w:rFonts w:ascii="Book Antiqua" w:hAnsi="Book Antiqua"/>
        </w:rPr>
        <w:t>Legislativa</w:t>
      </w:r>
      <w:r w:rsidR="00CC14E0" w:rsidRPr="00170BAF">
        <w:rPr>
          <w:rFonts w:ascii="Book Antiqua" w:hAnsi="Book Antiqua"/>
        </w:rPr>
        <w:tab/>
      </w:r>
      <w:r w:rsidR="00CC14E0" w:rsidRPr="00170BAF">
        <w:rPr>
          <w:rFonts w:ascii="Book Antiqua" w:hAnsi="Book Antiqua"/>
        </w:rPr>
        <w:tab/>
      </w:r>
      <w:r w:rsidR="00CC14E0">
        <w:rPr>
          <w:rFonts w:ascii="Book Antiqua" w:hAnsi="Book Antiqua"/>
        </w:rPr>
        <w:tab/>
      </w:r>
      <w:r w:rsidR="00CC14E0">
        <w:rPr>
          <w:rFonts w:ascii="Book Antiqua" w:hAnsi="Book Antiqua"/>
        </w:rPr>
        <w:tab/>
      </w:r>
      <w:r w:rsidR="00CC14E0">
        <w:rPr>
          <w:rFonts w:ascii="Book Antiqua" w:hAnsi="Book Antiqua"/>
        </w:rPr>
        <w:tab/>
      </w:r>
      <w:r w:rsidR="00CC14E0">
        <w:rPr>
          <w:rFonts w:ascii="Book Antiqua" w:hAnsi="Book Antiqua"/>
        </w:rPr>
        <w:tab/>
      </w:r>
      <w:r w:rsidR="00CC14E0">
        <w:rPr>
          <w:rFonts w:ascii="Book Antiqua" w:hAnsi="Book Antiqua"/>
        </w:rPr>
        <w:tab/>
      </w:r>
      <w:r w:rsidR="00CC14E0">
        <w:rPr>
          <w:rFonts w:ascii="Book Antiqua" w:hAnsi="Book Antiqua"/>
        </w:rPr>
        <w:tab/>
      </w:r>
      <w:r w:rsidR="00CC14E0">
        <w:rPr>
          <w:rFonts w:ascii="Book Antiqua" w:hAnsi="Book Antiqua"/>
        </w:rPr>
        <w:tab/>
      </w:r>
      <w:r w:rsidR="00CC14E0" w:rsidRPr="00170BAF">
        <w:rPr>
          <w:rFonts w:ascii="Book Antiqua" w:hAnsi="Book Antiqua"/>
        </w:rPr>
        <w:t>Ordinaria </w:t>
      </w:r>
    </w:p>
    <w:p w14:paraId="5C4EC938" w14:textId="77777777" w:rsidR="00CC14E0" w:rsidRPr="00170BAF" w:rsidRDefault="00CC14E0" w:rsidP="00CC14E0">
      <w:pPr>
        <w:rPr>
          <w:rFonts w:ascii="Book Antiqua" w:hAnsi="Book Antiqua"/>
        </w:rPr>
      </w:pPr>
      <w:r w:rsidRPr="00170BAF">
        <w:rPr>
          <w:rFonts w:ascii="Book Antiqua" w:hAnsi="Book Antiqua"/>
        </w:rPr>
        <w:t> </w:t>
      </w:r>
    </w:p>
    <w:p w14:paraId="558A63B3" w14:textId="77777777" w:rsidR="00CC14E0" w:rsidRPr="00170BAF" w:rsidRDefault="00CC14E0" w:rsidP="00335307">
      <w:pPr>
        <w:spacing w:after="0" w:line="240" w:lineRule="auto"/>
        <w:contextualSpacing/>
        <w:jc w:val="center"/>
        <w:rPr>
          <w:rFonts w:ascii="Book Antiqua" w:hAnsi="Book Antiqua"/>
          <w:sz w:val="36"/>
          <w:szCs w:val="36"/>
        </w:rPr>
      </w:pPr>
      <w:r w:rsidRPr="00170BAF">
        <w:rPr>
          <w:rFonts w:ascii="Book Antiqua" w:hAnsi="Book Antiqua"/>
          <w:b/>
          <w:bCs/>
          <w:sz w:val="36"/>
          <w:szCs w:val="36"/>
          <w:lang w:val="es-ES"/>
        </w:rPr>
        <w:t>CÁMARA DE REPRESENTANTES</w:t>
      </w:r>
    </w:p>
    <w:p w14:paraId="391FBB9F" w14:textId="77777777" w:rsidR="00CC14E0" w:rsidRPr="00170BAF" w:rsidRDefault="00CC14E0" w:rsidP="00335307">
      <w:pPr>
        <w:spacing w:after="0" w:line="240" w:lineRule="auto"/>
        <w:contextualSpacing/>
        <w:rPr>
          <w:rFonts w:ascii="Book Antiqua" w:hAnsi="Book Antiqua"/>
        </w:rPr>
      </w:pPr>
      <w:r w:rsidRPr="00170BAF">
        <w:rPr>
          <w:rFonts w:ascii="Book Antiqua" w:hAnsi="Book Antiqua"/>
        </w:rPr>
        <w:t> </w:t>
      </w:r>
    </w:p>
    <w:p w14:paraId="116D8454" w14:textId="4BB3D5E4" w:rsidR="00CC14E0" w:rsidRPr="00170BAF" w:rsidRDefault="00CC14E0" w:rsidP="00335307">
      <w:pPr>
        <w:spacing w:after="0" w:line="240" w:lineRule="auto"/>
        <w:contextualSpacing/>
        <w:jc w:val="center"/>
        <w:rPr>
          <w:rFonts w:ascii="Book Antiqua" w:hAnsi="Book Antiqua"/>
          <w:sz w:val="52"/>
          <w:szCs w:val="52"/>
        </w:rPr>
      </w:pPr>
      <w:r w:rsidRPr="00170BAF">
        <w:rPr>
          <w:rFonts w:ascii="Book Antiqua" w:hAnsi="Book Antiqua"/>
          <w:b/>
          <w:bCs/>
          <w:sz w:val="52"/>
          <w:szCs w:val="52"/>
        </w:rPr>
        <w:t>R. C. de</w:t>
      </w:r>
      <w:r>
        <w:rPr>
          <w:rFonts w:ascii="Book Antiqua" w:hAnsi="Book Antiqua"/>
          <w:b/>
          <w:bCs/>
          <w:sz w:val="52"/>
          <w:szCs w:val="52"/>
        </w:rPr>
        <w:t xml:space="preserve"> </w:t>
      </w:r>
      <w:r w:rsidRPr="00170BAF">
        <w:rPr>
          <w:rFonts w:ascii="Book Antiqua" w:hAnsi="Book Antiqua"/>
          <w:b/>
          <w:bCs/>
          <w:sz w:val="52"/>
          <w:szCs w:val="52"/>
        </w:rPr>
        <w:t>l</w:t>
      </w:r>
      <w:r>
        <w:rPr>
          <w:rFonts w:ascii="Book Antiqua" w:hAnsi="Book Antiqua"/>
          <w:b/>
          <w:bCs/>
          <w:sz w:val="52"/>
          <w:szCs w:val="52"/>
        </w:rPr>
        <w:t>a</w:t>
      </w:r>
      <w:r w:rsidRPr="00170BAF">
        <w:rPr>
          <w:rFonts w:ascii="Book Antiqua" w:hAnsi="Book Antiqua"/>
          <w:b/>
          <w:bCs/>
          <w:sz w:val="52"/>
          <w:szCs w:val="52"/>
        </w:rPr>
        <w:t xml:space="preserve"> </w:t>
      </w:r>
      <w:r>
        <w:rPr>
          <w:rFonts w:ascii="Book Antiqua" w:hAnsi="Book Antiqua"/>
          <w:b/>
          <w:bCs/>
          <w:sz w:val="52"/>
          <w:szCs w:val="52"/>
        </w:rPr>
        <w:t>C</w:t>
      </w:r>
      <w:r w:rsidRPr="00170BAF">
        <w:rPr>
          <w:rFonts w:ascii="Book Antiqua" w:hAnsi="Book Antiqua"/>
          <w:b/>
          <w:bCs/>
          <w:sz w:val="52"/>
          <w:szCs w:val="52"/>
        </w:rPr>
        <w:t xml:space="preserve">. </w:t>
      </w:r>
      <w:r>
        <w:rPr>
          <w:rFonts w:ascii="Book Antiqua" w:hAnsi="Book Antiqua"/>
          <w:b/>
          <w:bCs/>
          <w:sz w:val="52"/>
          <w:szCs w:val="52"/>
        </w:rPr>
        <w:t>158</w:t>
      </w:r>
    </w:p>
    <w:p w14:paraId="317A3B85" w14:textId="77777777" w:rsidR="00CC14E0" w:rsidRPr="00170BAF" w:rsidRDefault="00CC14E0" w:rsidP="00335307">
      <w:pPr>
        <w:spacing w:after="0" w:line="240" w:lineRule="auto"/>
        <w:contextualSpacing/>
        <w:rPr>
          <w:rFonts w:ascii="Book Antiqua" w:hAnsi="Book Antiqua"/>
        </w:rPr>
      </w:pPr>
      <w:r w:rsidRPr="00170BAF">
        <w:rPr>
          <w:rFonts w:ascii="Book Antiqua" w:hAnsi="Book Antiqua"/>
        </w:rPr>
        <w:t> </w:t>
      </w:r>
    </w:p>
    <w:p w14:paraId="394A2F37" w14:textId="77777777" w:rsidR="00CC14E0" w:rsidRPr="00170BAF" w:rsidRDefault="00CC14E0" w:rsidP="00335307">
      <w:pPr>
        <w:spacing w:after="0" w:line="240" w:lineRule="auto"/>
        <w:ind w:firstLine="708"/>
        <w:contextualSpacing/>
        <w:jc w:val="center"/>
        <w:rPr>
          <w:rFonts w:ascii="Book Antiqua" w:hAnsi="Book Antiqua"/>
          <w:sz w:val="28"/>
          <w:szCs w:val="28"/>
        </w:rPr>
      </w:pPr>
      <w:r w:rsidRPr="00170BAF">
        <w:rPr>
          <w:rFonts w:ascii="Book Antiqua" w:hAnsi="Book Antiqua"/>
          <w:b/>
          <w:bCs/>
          <w:sz w:val="28"/>
          <w:szCs w:val="28"/>
        </w:rPr>
        <w:t>INFORME POSITIVO</w:t>
      </w:r>
    </w:p>
    <w:p w14:paraId="6E0218E9" w14:textId="77777777" w:rsidR="00CC14E0" w:rsidRPr="00170BAF" w:rsidRDefault="00CC14E0" w:rsidP="00335307">
      <w:pPr>
        <w:spacing w:after="0" w:line="240" w:lineRule="auto"/>
        <w:contextualSpacing/>
        <w:rPr>
          <w:rFonts w:ascii="Book Antiqua" w:hAnsi="Book Antiqua"/>
        </w:rPr>
      </w:pPr>
      <w:r w:rsidRPr="00170BAF">
        <w:rPr>
          <w:rFonts w:ascii="Book Antiqua" w:hAnsi="Book Antiqua"/>
        </w:rPr>
        <w:t> </w:t>
      </w:r>
    </w:p>
    <w:p w14:paraId="61828ADE" w14:textId="602FD292" w:rsidR="00CC14E0" w:rsidRPr="00170BAF" w:rsidRDefault="002B7D0D" w:rsidP="00335307">
      <w:pPr>
        <w:spacing w:after="0" w:line="240" w:lineRule="auto"/>
        <w:contextualSpacing/>
        <w:jc w:val="center"/>
        <w:rPr>
          <w:rFonts w:ascii="Book Antiqua" w:hAnsi="Book Antiqua"/>
        </w:rPr>
      </w:pPr>
      <w:r>
        <w:rPr>
          <w:rFonts w:ascii="Book Antiqua" w:hAnsi="Book Antiqua"/>
        </w:rPr>
        <w:t>13</w:t>
      </w:r>
      <w:r w:rsidR="00CC14E0" w:rsidRPr="00170BAF">
        <w:rPr>
          <w:rFonts w:ascii="Book Antiqua" w:hAnsi="Book Antiqua"/>
        </w:rPr>
        <w:t xml:space="preserve"> de </w:t>
      </w:r>
      <w:r w:rsidR="00CC14E0">
        <w:rPr>
          <w:rFonts w:ascii="Book Antiqua" w:hAnsi="Book Antiqua"/>
        </w:rPr>
        <w:t>noviembre</w:t>
      </w:r>
      <w:r w:rsidR="00CC14E0" w:rsidRPr="00170BAF">
        <w:rPr>
          <w:rFonts w:ascii="Book Antiqua" w:hAnsi="Book Antiqua"/>
        </w:rPr>
        <w:t xml:space="preserve"> de 2025</w:t>
      </w:r>
    </w:p>
    <w:p w14:paraId="681659F6" w14:textId="77777777" w:rsidR="00CC14E0" w:rsidRDefault="00CC14E0" w:rsidP="00335307">
      <w:pPr>
        <w:spacing w:after="0" w:line="240" w:lineRule="auto"/>
        <w:contextualSpacing/>
        <w:rPr>
          <w:rFonts w:ascii="Book Antiqua" w:hAnsi="Book Antiqua"/>
        </w:rPr>
      </w:pPr>
      <w:r w:rsidRPr="00170BAF">
        <w:rPr>
          <w:rFonts w:ascii="Book Antiqua" w:hAnsi="Book Antiqua"/>
        </w:rPr>
        <w:t> </w:t>
      </w:r>
    </w:p>
    <w:p w14:paraId="2DFB4D54" w14:textId="77777777" w:rsidR="00335307" w:rsidRPr="00170BAF" w:rsidRDefault="00335307" w:rsidP="00335307">
      <w:pPr>
        <w:spacing w:after="0" w:line="240" w:lineRule="auto"/>
        <w:contextualSpacing/>
        <w:rPr>
          <w:rFonts w:ascii="Book Antiqua" w:hAnsi="Book Antiqua"/>
        </w:rPr>
      </w:pPr>
    </w:p>
    <w:p w14:paraId="3C86211D" w14:textId="77777777" w:rsidR="00CC14E0" w:rsidRPr="00170BAF" w:rsidRDefault="00CC14E0" w:rsidP="00335307">
      <w:pPr>
        <w:spacing w:after="0" w:line="240" w:lineRule="auto"/>
        <w:contextualSpacing/>
        <w:rPr>
          <w:rFonts w:ascii="Book Antiqua" w:hAnsi="Book Antiqua"/>
        </w:rPr>
      </w:pPr>
      <w:r w:rsidRPr="00170BAF">
        <w:rPr>
          <w:rFonts w:ascii="Book Antiqua" w:hAnsi="Book Antiqua"/>
          <w:b/>
          <w:bCs/>
        </w:rPr>
        <w:t>A LA CÁMARA DE REPRESENTANTES DE PUERTO RICO: </w:t>
      </w:r>
      <w:r w:rsidRPr="00170BAF">
        <w:rPr>
          <w:rFonts w:ascii="Book Antiqua" w:hAnsi="Book Antiqua"/>
        </w:rPr>
        <w:t> </w:t>
      </w:r>
    </w:p>
    <w:p w14:paraId="4A832EE2" w14:textId="77777777" w:rsidR="00335307" w:rsidRDefault="00CC14E0" w:rsidP="00335307">
      <w:pPr>
        <w:spacing w:after="0" w:line="240" w:lineRule="auto"/>
        <w:contextualSpacing/>
        <w:jc w:val="both"/>
        <w:rPr>
          <w:rFonts w:ascii="Book Antiqua" w:hAnsi="Book Antiqua"/>
        </w:rPr>
      </w:pPr>
      <w:r w:rsidRPr="00170BAF">
        <w:rPr>
          <w:rFonts w:ascii="Book Antiqua" w:hAnsi="Book Antiqua"/>
        </w:rPr>
        <w:t> </w:t>
      </w:r>
      <w:r>
        <w:rPr>
          <w:rFonts w:ascii="Book Antiqua" w:hAnsi="Book Antiqua"/>
        </w:rPr>
        <w:tab/>
      </w:r>
    </w:p>
    <w:p w14:paraId="00B11AD9" w14:textId="600BA979" w:rsidR="00CC14E0" w:rsidRDefault="00CC14E0" w:rsidP="00335307">
      <w:pPr>
        <w:spacing w:after="0" w:line="240" w:lineRule="auto"/>
        <w:ind w:firstLine="708"/>
        <w:contextualSpacing/>
        <w:jc w:val="both"/>
        <w:rPr>
          <w:rFonts w:ascii="Book Antiqua" w:hAnsi="Book Antiqua"/>
        </w:rPr>
      </w:pPr>
      <w:r w:rsidRPr="00AB2EB4">
        <w:rPr>
          <w:rFonts w:ascii="Book Antiqua" w:hAnsi="Book Antiqua"/>
        </w:rPr>
        <w:t>La Comisión de Gobierno de la Cámara de Representantes, luego del correspondiente análisis y evaluación, recomienda a este Honorable Cuerpo la aprobación de la R. C. de</w:t>
      </w:r>
      <w:r w:rsidR="003211D0">
        <w:rPr>
          <w:rFonts w:ascii="Book Antiqua" w:hAnsi="Book Antiqua"/>
        </w:rPr>
        <w:t xml:space="preserve"> la C</w:t>
      </w:r>
      <w:r w:rsidRPr="00AB2EB4">
        <w:rPr>
          <w:rFonts w:ascii="Book Antiqua" w:hAnsi="Book Antiqua"/>
        </w:rPr>
        <w:t xml:space="preserve">. </w:t>
      </w:r>
      <w:r w:rsidR="003211D0">
        <w:rPr>
          <w:rFonts w:ascii="Book Antiqua" w:hAnsi="Book Antiqua"/>
        </w:rPr>
        <w:t>158</w:t>
      </w:r>
      <w:r w:rsidRPr="00AB2EB4">
        <w:rPr>
          <w:rFonts w:ascii="Book Antiqua" w:hAnsi="Book Antiqua"/>
        </w:rPr>
        <w:t xml:space="preserve">, </w:t>
      </w:r>
      <w:r w:rsidR="003211D0">
        <w:rPr>
          <w:rFonts w:ascii="Book Antiqua" w:hAnsi="Book Antiqua"/>
        </w:rPr>
        <w:t>con las</w:t>
      </w:r>
      <w:r w:rsidRPr="00AB2EB4">
        <w:rPr>
          <w:rFonts w:ascii="Book Antiqua" w:hAnsi="Book Antiqua"/>
        </w:rPr>
        <w:t xml:space="preserve"> enmiendas</w:t>
      </w:r>
      <w:r w:rsidR="003211D0">
        <w:rPr>
          <w:rFonts w:ascii="Book Antiqua" w:hAnsi="Book Antiqua"/>
        </w:rPr>
        <w:t xml:space="preserve"> contenidas en el entirillado</w:t>
      </w:r>
      <w:r w:rsidR="000F3CC7">
        <w:rPr>
          <w:rFonts w:ascii="Book Antiqua" w:hAnsi="Book Antiqua"/>
        </w:rPr>
        <w:t xml:space="preserve"> electrónico</w:t>
      </w:r>
      <w:r w:rsidR="003211D0">
        <w:rPr>
          <w:rFonts w:ascii="Book Antiqua" w:hAnsi="Book Antiqua"/>
        </w:rPr>
        <w:t xml:space="preserve"> que acompaña este Informe.</w:t>
      </w:r>
      <w:r w:rsidR="00525784" w:rsidRPr="00525784">
        <w:t xml:space="preserve"> </w:t>
      </w:r>
    </w:p>
    <w:p w14:paraId="255FAAFC" w14:textId="77777777" w:rsidR="00CC14E0" w:rsidRPr="00170BAF" w:rsidRDefault="00CC14E0" w:rsidP="00335307">
      <w:pPr>
        <w:spacing w:after="0" w:line="240" w:lineRule="auto"/>
        <w:contextualSpacing/>
        <w:jc w:val="both"/>
        <w:rPr>
          <w:rFonts w:ascii="Book Antiqua" w:hAnsi="Book Antiqua"/>
        </w:rPr>
      </w:pPr>
      <w:r w:rsidRPr="00170BAF">
        <w:rPr>
          <w:rFonts w:ascii="Book Antiqua" w:hAnsi="Book Antiqua"/>
        </w:rPr>
        <w:t> </w:t>
      </w:r>
    </w:p>
    <w:p w14:paraId="622F4935" w14:textId="77777777" w:rsidR="00CC14E0" w:rsidRDefault="00CC14E0" w:rsidP="00335307">
      <w:pPr>
        <w:spacing w:after="0" w:line="240" w:lineRule="auto"/>
        <w:contextualSpacing/>
        <w:jc w:val="center"/>
        <w:rPr>
          <w:rFonts w:ascii="Book Antiqua" w:hAnsi="Book Antiqua"/>
        </w:rPr>
      </w:pPr>
      <w:r w:rsidRPr="00170BAF">
        <w:rPr>
          <w:rFonts w:ascii="Book Antiqua" w:hAnsi="Book Antiqua"/>
          <w:b/>
          <w:bCs/>
          <w:lang w:val="es-ES"/>
        </w:rPr>
        <w:t>ALCANCE DE LA MEDIDA</w:t>
      </w:r>
    </w:p>
    <w:p w14:paraId="2F6AE164" w14:textId="77777777" w:rsidR="00C7790A" w:rsidRDefault="00C7790A" w:rsidP="00335307">
      <w:pPr>
        <w:spacing w:after="0" w:line="240" w:lineRule="auto"/>
        <w:ind w:firstLine="708"/>
        <w:contextualSpacing/>
        <w:jc w:val="both"/>
        <w:rPr>
          <w:rFonts w:ascii="Book Antiqua" w:hAnsi="Book Antiqua"/>
        </w:rPr>
      </w:pPr>
    </w:p>
    <w:p w14:paraId="48D3F627" w14:textId="3486B8C3" w:rsidR="00310BF7" w:rsidRPr="00310BF7" w:rsidRDefault="00310BF7" w:rsidP="00335307">
      <w:pPr>
        <w:spacing w:after="0" w:line="240" w:lineRule="auto"/>
        <w:ind w:firstLine="708"/>
        <w:contextualSpacing/>
        <w:jc w:val="both"/>
        <w:rPr>
          <w:rFonts w:ascii="Book Antiqua" w:hAnsi="Book Antiqua"/>
        </w:rPr>
      </w:pPr>
      <w:r w:rsidRPr="00310BF7">
        <w:rPr>
          <w:rFonts w:ascii="Book Antiqua" w:hAnsi="Book Antiqua"/>
        </w:rPr>
        <w:t xml:space="preserve">La R. C. de la C. 158 ordena al Negociado de Energía de Puerto Rico (NEPR) a agilizar los trámites sobre proyectos y solicitudes presentados ante dicha entidad por la Autoridad de Energía Eléctrica (AEE), la Autoridad para las Alianzas </w:t>
      </w:r>
      <w:proofErr w:type="gramStart"/>
      <w:r w:rsidRPr="00310BF7">
        <w:rPr>
          <w:rFonts w:ascii="Book Antiqua" w:hAnsi="Book Antiqua"/>
        </w:rPr>
        <w:t>Público Privadas</w:t>
      </w:r>
      <w:proofErr w:type="gramEnd"/>
      <w:r w:rsidRPr="00310BF7">
        <w:rPr>
          <w:rFonts w:ascii="Book Antiqua" w:hAnsi="Book Antiqua"/>
        </w:rPr>
        <w:t xml:space="preserve"> (AAPP), y los operadores privados de las redes de transmisión, distribución y generación, incluyendo los contratos de servicio pendientes de evaluación.</w:t>
      </w:r>
    </w:p>
    <w:p w14:paraId="13BFFB0D" w14:textId="77777777" w:rsidR="00C7790A" w:rsidRDefault="00C7790A" w:rsidP="00335307">
      <w:pPr>
        <w:spacing w:after="0" w:line="240" w:lineRule="auto"/>
        <w:ind w:firstLine="708"/>
        <w:contextualSpacing/>
        <w:jc w:val="both"/>
        <w:rPr>
          <w:rFonts w:ascii="Book Antiqua" w:hAnsi="Book Antiqua"/>
        </w:rPr>
      </w:pPr>
    </w:p>
    <w:p w14:paraId="009E5515" w14:textId="325576EC" w:rsidR="00CC14E0" w:rsidRDefault="00310BF7" w:rsidP="00335307">
      <w:pPr>
        <w:spacing w:after="0" w:line="240" w:lineRule="auto"/>
        <w:ind w:firstLine="708"/>
        <w:contextualSpacing/>
        <w:jc w:val="both"/>
        <w:rPr>
          <w:rFonts w:ascii="Book Antiqua" w:hAnsi="Book Antiqua"/>
        </w:rPr>
      </w:pPr>
      <w:r w:rsidRPr="00310BF7">
        <w:rPr>
          <w:rFonts w:ascii="Book Antiqua" w:hAnsi="Book Antiqua"/>
        </w:rPr>
        <w:t>La medida también establece plazos máximos de tramitación, mecanismos de seguimiento y escalamiento automático, procesos expeditos en situaciones de emergencia energética e informes trimestrales a la Asamblea Legislativa.</w:t>
      </w:r>
    </w:p>
    <w:p w14:paraId="5532C2CC" w14:textId="77777777" w:rsidR="00CC14E0" w:rsidRPr="00170BAF" w:rsidRDefault="00CC14E0" w:rsidP="00335307">
      <w:pPr>
        <w:spacing w:after="0" w:line="240" w:lineRule="auto"/>
        <w:ind w:firstLine="708"/>
        <w:contextualSpacing/>
        <w:jc w:val="both"/>
        <w:rPr>
          <w:rFonts w:ascii="Book Antiqua" w:hAnsi="Book Antiqua"/>
        </w:rPr>
      </w:pPr>
    </w:p>
    <w:p w14:paraId="1767E07C" w14:textId="77777777" w:rsidR="00CC14E0" w:rsidRPr="00170BAF" w:rsidRDefault="00CC14E0" w:rsidP="00335307">
      <w:pPr>
        <w:spacing w:after="0" w:line="240" w:lineRule="auto"/>
        <w:contextualSpacing/>
        <w:jc w:val="center"/>
        <w:rPr>
          <w:rFonts w:ascii="Book Antiqua" w:hAnsi="Book Antiqua"/>
        </w:rPr>
      </w:pPr>
      <w:r w:rsidRPr="00170BAF">
        <w:rPr>
          <w:rFonts w:ascii="Book Antiqua" w:hAnsi="Book Antiqua"/>
          <w:b/>
          <w:bCs/>
          <w:lang w:val="es-ES"/>
        </w:rPr>
        <w:t>INTRODUCCIÓN</w:t>
      </w:r>
    </w:p>
    <w:p w14:paraId="724B56C4" w14:textId="77777777" w:rsidR="007663F6" w:rsidRDefault="007663F6" w:rsidP="00335307">
      <w:pPr>
        <w:spacing w:after="0" w:line="240" w:lineRule="auto"/>
        <w:ind w:firstLine="708"/>
        <w:contextualSpacing/>
        <w:jc w:val="both"/>
        <w:rPr>
          <w:rFonts w:ascii="Book Antiqua" w:hAnsi="Book Antiqua"/>
        </w:rPr>
      </w:pPr>
    </w:p>
    <w:p w14:paraId="28EEBCBF" w14:textId="2DFA318A" w:rsidR="003A28A6" w:rsidRPr="003A28A6" w:rsidRDefault="003A28A6" w:rsidP="00335307">
      <w:pPr>
        <w:spacing w:after="0" w:line="240" w:lineRule="auto"/>
        <w:ind w:firstLine="708"/>
        <w:contextualSpacing/>
        <w:jc w:val="both"/>
        <w:rPr>
          <w:rFonts w:ascii="Book Antiqua" w:hAnsi="Book Antiqua"/>
        </w:rPr>
      </w:pPr>
      <w:r w:rsidRPr="003A28A6">
        <w:rPr>
          <w:rFonts w:ascii="Book Antiqua" w:hAnsi="Book Antiqua"/>
        </w:rPr>
        <w:t>La Exposición de Motivos reconoce que, a pesar del rol del NEPR como regulador independiente bajo la Ley 57-2014, su ejecución no ha respondido con la urgencia ni la agilidad que la situación energética del país requiere.</w:t>
      </w:r>
    </w:p>
    <w:p w14:paraId="69CBA6BB" w14:textId="77777777" w:rsidR="003A28A6" w:rsidRPr="003A28A6" w:rsidRDefault="003A28A6" w:rsidP="00335307">
      <w:pPr>
        <w:spacing w:after="0" w:line="240" w:lineRule="auto"/>
        <w:ind w:firstLine="708"/>
        <w:contextualSpacing/>
        <w:jc w:val="both"/>
        <w:rPr>
          <w:rFonts w:ascii="Book Antiqua" w:hAnsi="Book Antiqua"/>
        </w:rPr>
      </w:pPr>
      <w:r w:rsidRPr="003A28A6">
        <w:rPr>
          <w:rFonts w:ascii="Book Antiqua" w:hAnsi="Book Antiqua"/>
        </w:rPr>
        <w:lastRenderedPageBreak/>
        <w:t>Numerosas decisiones, demoras y procesos adjudicativos pendientes han afectado directamente la ejecución de proyectos esenciales para la confiabilidad del sistema eléctrico.</w:t>
      </w:r>
    </w:p>
    <w:p w14:paraId="204D5161" w14:textId="77777777" w:rsidR="003C56FF" w:rsidRDefault="003C56FF" w:rsidP="00335307">
      <w:pPr>
        <w:spacing w:after="0" w:line="240" w:lineRule="auto"/>
        <w:ind w:firstLine="708"/>
        <w:contextualSpacing/>
        <w:jc w:val="both"/>
        <w:rPr>
          <w:rFonts w:ascii="Book Antiqua" w:hAnsi="Book Antiqua"/>
        </w:rPr>
      </w:pPr>
    </w:p>
    <w:p w14:paraId="44C833E1" w14:textId="42826AF0" w:rsidR="003A28A6" w:rsidRPr="003A28A6" w:rsidRDefault="003A28A6" w:rsidP="00335307">
      <w:pPr>
        <w:spacing w:after="0" w:line="240" w:lineRule="auto"/>
        <w:ind w:firstLine="708"/>
        <w:contextualSpacing/>
        <w:jc w:val="both"/>
        <w:rPr>
          <w:rFonts w:ascii="Book Antiqua" w:hAnsi="Book Antiqua"/>
        </w:rPr>
      </w:pPr>
      <w:r w:rsidRPr="003A28A6">
        <w:rPr>
          <w:rFonts w:ascii="Book Antiqua" w:hAnsi="Book Antiqua"/>
        </w:rPr>
        <w:t>Puerto Rico enfrenta un sistema energético frágil, en el que cada retraso en la toma de decisiones regulatorias incrementa la vulnerabilidad del servicio eléctrico. Esta realidad exige acción urgente, coherente y coordinada, y no puede seguir supeditada a trámites administrativos dilatados que posponen iniciativas críticas para la resiliencia energética del país.</w:t>
      </w:r>
    </w:p>
    <w:p w14:paraId="6402CEC6" w14:textId="77777777" w:rsidR="003C56FF" w:rsidRDefault="003C56FF" w:rsidP="00335307">
      <w:pPr>
        <w:spacing w:after="0" w:line="240" w:lineRule="auto"/>
        <w:ind w:firstLine="708"/>
        <w:contextualSpacing/>
        <w:jc w:val="both"/>
        <w:rPr>
          <w:rFonts w:ascii="Book Antiqua" w:hAnsi="Book Antiqua"/>
        </w:rPr>
      </w:pPr>
    </w:p>
    <w:p w14:paraId="4F7B1C19" w14:textId="5137C80F" w:rsidR="003A28A6" w:rsidRPr="003A28A6" w:rsidRDefault="003A28A6" w:rsidP="00335307">
      <w:pPr>
        <w:spacing w:after="0" w:line="240" w:lineRule="auto"/>
        <w:ind w:firstLine="708"/>
        <w:contextualSpacing/>
        <w:jc w:val="both"/>
        <w:rPr>
          <w:rFonts w:ascii="Book Antiqua" w:hAnsi="Book Antiqua"/>
        </w:rPr>
      </w:pPr>
      <w:r w:rsidRPr="003A28A6">
        <w:rPr>
          <w:rFonts w:ascii="Book Antiqua" w:hAnsi="Book Antiqua"/>
        </w:rPr>
        <w:t>En ese contexto, la Resolución persigue fortalecer la eficiencia regulatoria mediante plazos definidos y procesos más predecibles, con el fin de garantizar que las determinaciones del NEPR respondan con la diligencia que la situación exige.</w:t>
      </w:r>
    </w:p>
    <w:p w14:paraId="4A1D19DC" w14:textId="77777777" w:rsidR="00CC14E0" w:rsidRPr="00170BAF" w:rsidRDefault="00CC14E0" w:rsidP="00335307">
      <w:pPr>
        <w:spacing w:after="0" w:line="240" w:lineRule="auto"/>
        <w:contextualSpacing/>
        <w:rPr>
          <w:rFonts w:ascii="Book Antiqua" w:hAnsi="Book Antiqua"/>
        </w:rPr>
      </w:pPr>
      <w:r w:rsidRPr="00170BAF">
        <w:rPr>
          <w:rFonts w:ascii="Book Antiqua" w:hAnsi="Book Antiqua"/>
        </w:rPr>
        <w:t> </w:t>
      </w:r>
    </w:p>
    <w:p w14:paraId="5975FBD1" w14:textId="77777777" w:rsidR="00CC14E0" w:rsidRDefault="00CC14E0" w:rsidP="00335307">
      <w:pPr>
        <w:spacing w:after="0" w:line="240" w:lineRule="auto"/>
        <w:contextualSpacing/>
        <w:jc w:val="center"/>
        <w:rPr>
          <w:rFonts w:ascii="Book Antiqua" w:hAnsi="Book Antiqua"/>
          <w:b/>
          <w:bCs/>
          <w:lang w:val="es-ES"/>
        </w:rPr>
      </w:pPr>
      <w:r w:rsidRPr="00170BAF">
        <w:rPr>
          <w:rFonts w:ascii="Book Antiqua" w:hAnsi="Book Antiqua"/>
          <w:b/>
          <w:bCs/>
          <w:lang w:val="es-ES"/>
        </w:rPr>
        <w:t>ANÁLISIS DE LA MEDIDA</w:t>
      </w:r>
    </w:p>
    <w:p w14:paraId="166A664C" w14:textId="77777777" w:rsidR="003C56FF" w:rsidRDefault="003C56FF" w:rsidP="00335307">
      <w:pPr>
        <w:spacing w:after="0" w:line="240" w:lineRule="auto"/>
        <w:ind w:firstLine="708"/>
        <w:contextualSpacing/>
        <w:jc w:val="both"/>
        <w:rPr>
          <w:rFonts w:ascii="Book Antiqua" w:hAnsi="Book Antiqua"/>
        </w:rPr>
      </w:pPr>
    </w:p>
    <w:p w14:paraId="48AF6F78" w14:textId="5AC36E46" w:rsidR="001A3E1D" w:rsidRDefault="004D1A86" w:rsidP="00335307">
      <w:pPr>
        <w:spacing w:after="0" w:line="240" w:lineRule="auto"/>
        <w:ind w:firstLine="708"/>
        <w:contextualSpacing/>
        <w:jc w:val="both"/>
        <w:rPr>
          <w:rFonts w:ascii="Book Antiqua" w:hAnsi="Book Antiqua"/>
        </w:rPr>
      </w:pPr>
      <w:r>
        <w:rPr>
          <w:rFonts w:ascii="Book Antiqua" w:hAnsi="Book Antiqua"/>
        </w:rPr>
        <w:t>Esta Comisión entiende que e</w:t>
      </w:r>
      <w:r w:rsidR="001A3E1D" w:rsidRPr="001A3E1D">
        <w:rPr>
          <w:rFonts w:ascii="Book Antiqua" w:hAnsi="Book Antiqua"/>
        </w:rPr>
        <w:t>l sistema energético se encuentra en un momento crítico que exige decisiones ágiles y responsables. La dilación en la evaluación de proyectos esenciale</w:t>
      </w:r>
      <w:r w:rsidR="00F10A60">
        <w:rPr>
          <w:rFonts w:ascii="Book Antiqua" w:hAnsi="Book Antiqua"/>
        </w:rPr>
        <w:t xml:space="preserve">s, </w:t>
      </w:r>
      <w:r w:rsidR="001A3E1D" w:rsidRPr="001A3E1D">
        <w:rPr>
          <w:rFonts w:ascii="Book Antiqua" w:hAnsi="Book Antiqua"/>
        </w:rPr>
        <w:t>incluyendo generación temporera, conversiones a gas natural, reparaciones bajo fondos federales y ajustes contractuales</w:t>
      </w:r>
      <w:r w:rsidR="00F10A60">
        <w:rPr>
          <w:rFonts w:ascii="Book Antiqua" w:hAnsi="Book Antiqua"/>
        </w:rPr>
        <w:t xml:space="preserve">, </w:t>
      </w:r>
      <w:r w:rsidR="001A3E1D" w:rsidRPr="001A3E1D">
        <w:rPr>
          <w:rFonts w:ascii="Book Antiqua" w:hAnsi="Book Antiqua"/>
        </w:rPr>
        <w:t>impacta directamente la estabilidad eléctrica y la capacidad del Estado para responder a la demanda. En ese contexto, la Comisión reconoce que el propósito de esta Resolución es atender esa urgencia mediante un marco de plazos claros y procesos más predecibles</w:t>
      </w:r>
    </w:p>
    <w:p w14:paraId="49B05088" w14:textId="77777777" w:rsidR="003C56FF" w:rsidRDefault="003C56FF" w:rsidP="00335307">
      <w:pPr>
        <w:spacing w:after="0" w:line="240" w:lineRule="auto"/>
        <w:ind w:firstLine="708"/>
        <w:contextualSpacing/>
        <w:jc w:val="both"/>
        <w:rPr>
          <w:rFonts w:ascii="Book Antiqua" w:hAnsi="Book Antiqua"/>
        </w:rPr>
      </w:pPr>
    </w:p>
    <w:p w14:paraId="2F33A6ED" w14:textId="0AE3368C" w:rsidR="00DB5F30" w:rsidRPr="00DB5F30" w:rsidRDefault="004D1A86" w:rsidP="00335307">
      <w:pPr>
        <w:spacing w:after="0" w:line="240" w:lineRule="auto"/>
        <w:ind w:firstLine="708"/>
        <w:contextualSpacing/>
        <w:jc w:val="both"/>
        <w:rPr>
          <w:rFonts w:ascii="Book Antiqua" w:hAnsi="Book Antiqua"/>
        </w:rPr>
      </w:pPr>
      <w:r>
        <w:rPr>
          <w:rFonts w:ascii="Book Antiqua" w:hAnsi="Book Antiqua"/>
        </w:rPr>
        <w:t>Ante ello, y c</w:t>
      </w:r>
      <w:r w:rsidR="00DB5F30" w:rsidRPr="00DB5F30">
        <w:rPr>
          <w:rFonts w:ascii="Book Antiqua" w:hAnsi="Book Antiqua"/>
        </w:rPr>
        <w:t>omo parte del trámite legislativo, esta Comisión evaluó los memoriales explicativos sometidos por:</w:t>
      </w:r>
    </w:p>
    <w:p w14:paraId="2FD21FBB" w14:textId="77777777" w:rsidR="00DB5F30" w:rsidRPr="00DB5F30" w:rsidRDefault="00DB5F30" w:rsidP="003C56FF">
      <w:pPr>
        <w:numPr>
          <w:ilvl w:val="0"/>
          <w:numId w:val="1"/>
        </w:numPr>
        <w:tabs>
          <w:tab w:val="clear" w:pos="720"/>
          <w:tab w:val="num" w:pos="1068"/>
        </w:tabs>
        <w:spacing w:after="0" w:line="240" w:lineRule="auto"/>
        <w:ind w:left="1068"/>
        <w:contextualSpacing/>
        <w:jc w:val="both"/>
        <w:rPr>
          <w:rFonts w:ascii="Book Antiqua" w:hAnsi="Book Antiqua"/>
        </w:rPr>
      </w:pPr>
      <w:r w:rsidRPr="00DB5F30">
        <w:rPr>
          <w:rFonts w:ascii="Book Antiqua" w:hAnsi="Book Antiqua"/>
        </w:rPr>
        <w:t>Autoridad de Energía Eléctrica (AEE)</w:t>
      </w:r>
    </w:p>
    <w:p w14:paraId="2B180BB2" w14:textId="77777777" w:rsidR="00DB5F30" w:rsidRPr="00DB5F30" w:rsidRDefault="00DB5F30" w:rsidP="003C56FF">
      <w:pPr>
        <w:numPr>
          <w:ilvl w:val="0"/>
          <w:numId w:val="1"/>
        </w:numPr>
        <w:tabs>
          <w:tab w:val="clear" w:pos="720"/>
          <w:tab w:val="num" w:pos="1068"/>
        </w:tabs>
        <w:spacing w:after="0" w:line="240" w:lineRule="auto"/>
        <w:ind w:left="1068"/>
        <w:contextualSpacing/>
        <w:jc w:val="both"/>
        <w:rPr>
          <w:rFonts w:ascii="Book Antiqua" w:hAnsi="Book Antiqua"/>
        </w:rPr>
      </w:pPr>
      <w:r w:rsidRPr="00DB5F30">
        <w:rPr>
          <w:rFonts w:ascii="Book Antiqua" w:hAnsi="Book Antiqua"/>
        </w:rPr>
        <w:t>Oficina Central de Recuperación, Reconstrucción y Resiliencia (COR3)</w:t>
      </w:r>
    </w:p>
    <w:p w14:paraId="54857F6F" w14:textId="2B17DBBE" w:rsidR="00DB5F30" w:rsidRDefault="00DB5F30" w:rsidP="003C56FF">
      <w:pPr>
        <w:numPr>
          <w:ilvl w:val="0"/>
          <w:numId w:val="1"/>
        </w:numPr>
        <w:tabs>
          <w:tab w:val="clear" w:pos="720"/>
          <w:tab w:val="num" w:pos="1068"/>
        </w:tabs>
        <w:spacing w:after="0" w:line="240" w:lineRule="auto"/>
        <w:ind w:left="1068"/>
        <w:contextualSpacing/>
        <w:jc w:val="both"/>
        <w:rPr>
          <w:rFonts w:ascii="Book Antiqua" w:hAnsi="Book Antiqua"/>
        </w:rPr>
      </w:pPr>
      <w:r w:rsidRPr="00DB5F30">
        <w:rPr>
          <w:rFonts w:ascii="Book Antiqua" w:hAnsi="Book Antiqua"/>
        </w:rPr>
        <w:t>Genera Puerto Rico LLC</w:t>
      </w:r>
      <w:r w:rsidR="0091083C">
        <w:rPr>
          <w:rFonts w:ascii="Book Antiqua" w:hAnsi="Book Antiqua"/>
        </w:rPr>
        <w:t>.</w:t>
      </w:r>
    </w:p>
    <w:p w14:paraId="70F22D89" w14:textId="195D382F" w:rsidR="0091083C" w:rsidRPr="00DB5F30" w:rsidRDefault="0091083C" w:rsidP="003C56FF">
      <w:pPr>
        <w:numPr>
          <w:ilvl w:val="0"/>
          <w:numId w:val="1"/>
        </w:numPr>
        <w:tabs>
          <w:tab w:val="clear" w:pos="720"/>
          <w:tab w:val="num" w:pos="1068"/>
        </w:tabs>
        <w:spacing w:after="0" w:line="240" w:lineRule="auto"/>
        <w:ind w:left="1068"/>
        <w:contextualSpacing/>
        <w:jc w:val="both"/>
        <w:rPr>
          <w:rFonts w:ascii="Book Antiqua" w:hAnsi="Book Antiqua"/>
        </w:rPr>
      </w:pPr>
      <w:r w:rsidRPr="00DB5F30">
        <w:rPr>
          <w:rFonts w:ascii="Book Antiqua" w:hAnsi="Book Antiqua"/>
        </w:rPr>
        <w:t>Oficina de Presupuesto de la Asamblea Legislativa (OPAL)</w:t>
      </w:r>
    </w:p>
    <w:p w14:paraId="68CBAAAB" w14:textId="4708A0AA" w:rsidR="00A35F5E" w:rsidRDefault="00DB5F30" w:rsidP="003C56FF">
      <w:pPr>
        <w:spacing w:after="0" w:line="240" w:lineRule="auto"/>
        <w:ind w:left="348" w:firstLine="708"/>
        <w:contextualSpacing/>
        <w:jc w:val="both"/>
        <w:rPr>
          <w:rFonts w:ascii="Book Antiqua" w:hAnsi="Book Antiqua"/>
        </w:rPr>
      </w:pPr>
      <w:r w:rsidRPr="00DB5F30">
        <w:rPr>
          <w:rFonts w:ascii="Book Antiqua" w:hAnsi="Book Antiqua"/>
        </w:rPr>
        <w:t>A continuación, se resumen sus respectivas posturas:</w:t>
      </w:r>
    </w:p>
    <w:p w14:paraId="5BF56331" w14:textId="77777777" w:rsidR="003C56FF" w:rsidRDefault="003C56FF" w:rsidP="00335307">
      <w:pPr>
        <w:spacing w:after="0" w:line="240" w:lineRule="auto"/>
        <w:contextualSpacing/>
        <w:jc w:val="both"/>
        <w:rPr>
          <w:rFonts w:ascii="Book Antiqua" w:hAnsi="Book Antiqua"/>
          <w:b/>
          <w:bCs/>
        </w:rPr>
      </w:pPr>
    </w:p>
    <w:p w14:paraId="22D8D73A" w14:textId="636605B2" w:rsidR="00A31068" w:rsidRPr="00A31068" w:rsidRDefault="00A31068" w:rsidP="00335307">
      <w:pPr>
        <w:spacing w:after="0" w:line="240" w:lineRule="auto"/>
        <w:contextualSpacing/>
        <w:jc w:val="both"/>
        <w:rPr>
          <w:rFonts w:ascii="Book Antiqua" w:hAnsi="Book Antiqua"/>
          <w:b/>
          <w:bCs/>
        </w:rPr>
      </w:pPr>
      <w:r w:rsidRPr="00A31068">
        <w:rPr>
          <w:rFonts w:ascii="Book Antiqua" w:hAnsi="Book Antiqua"/>
          <w:b/>
          <w:bCs/>
        </w:rPr>
        <w:t>Autoridad de Energía Eléctrica (AEE)</w:t>
      </w:r>
    </w:p>
    <w:p w14:paraId="2C38051B" w14:textId="77777777" w:rsidR="003C56FF" w:rsidRDefault="003C56FF" w:rsidP="00335307">
      <w:pPr>
        <w:spacing w:after="0" w:line="240" w:lineRule="auto"/>
        <w:ind w:firstLine="708"/>
        <w:contextualSpacing/>
        <w:jc w:val="both"/>
        <w:rPr>
          <w:rFonts w:ascii="Book Antiqua" w:hAnsi="Book Antiqua"/>
        </w:rPr>
      </w:pPr>
    </w:p>
    <w:p w14:paraId="73C59E7D" w14:textId="6FEB2D5C" w:rsidR="00A31068" w:rsidRPr="00A31068" w:rsidRDefault="00A31068" w:rsidP="00335307">
      <w:pPr>
        <w:spacing w:after="0" w:line="240" w:lineRule="auto"/>
        <w:ind w:firstLine="708"/>
        <w:contextualSpacing/>
        <w:jc w:val="both"/>
        <w:rPr>
          <w:rFonts w:ascii="Book Antiqua" w:hAnsi="Book Antiqua"/>
        </w:rPr>
      </w:pPr>
      <w:r w:rsidRPr="00A31068">
        <w:rPr>
          <w:rFonts w:ascii="Book Antiqua" w:hAnsi="Book Antiqua"/>
        </w:rPr>
        <w:t>La AEE respaldó la Resolución, señalando que el NEPR mantiene bajo consideración, desde hace tiempo considerable, propuestas de generación a base de gas natural en cinco unidades generatrices propiedad de la corporación y actualmente administradas por Genera Puerto Rico.</w:t>
      </w:r>
    </w:p>
    <w:p w14:paraId="2BF9F401" w14:textId="77777777" w:rsidR="000F3CC7" w:rsidRDefault="000F3CC7" w:rsidP="00335307">
      <w:pPr>
        <w:spacing w:after="0" w:line="240" w:lineRule="auto"/>
        <w:ind w:firstLine="708"/>
        <w:contextualSpacing/>
        <w:jc w:val="both"/>
        <w:rPr>
          <w:rFonts w:ascii="Book Antiqua" w:hAnsi="Book Antiqua"/>
        </w:rPr>
      </w:pPr>
    </w:p>
    <w:p w14:paraId="7F5E1A1E" w14:textId="3A7169F0" w:rsidR="00A31068" w:rsidRPr="00A31068" w:rsidRDefault="00A31068" w:rsidP="00335307">
      <w:pPr>
        <w:spacing w:after="0" w:line="240" w:lineRule="auto"/>
        <w:ind w:firstLine="708"/>
        <w:contextualSpacing/>
        <w:jc w:val="both"/>
        <w:rPr>
          <w:rFonts w:ascii="Book Antiqua" w:hAnsi="Book Antiqua"/>
        </w:rPr>
      </w:pPr>
      <w:r w:rsidRPr="00A31068">
        <w:rPr>
          <w:rFonts w:ascii="Book Antiqua" w:hAnsi="Book Antiqua"/>
        </w:rPr>
        <w:t>Las demoras del NEPR han afectado la capacidad de ejecución y la confiabilidad del sistema, por lo que la AEE considera meritorio que la Asamblea Legislativa ordene una mayor agilidad en la evaluación de proyectos críticos.</w:t>
      </w:r>
    </w:p>
    <w:p w14:paraId="581CE2B7" w14:textId="77777777" w:rsidR="00A31068" w:rsidRPr="00A31068" w:rsidRDefault="00A31068" w:rsidP="00335307">
      <w:pPr>
        <w:spacing w:after="0" w:line="240" w:lineRule="auto"/>
        <w:ind w:firstLine="708"/>
        <w:contextualSpacing/>
        <w:jc w:val="both"/>
        <w:rPr>
          <w:rFonts w:ascii="Book Antiqua" w:hAnsi="Book Antiqua"/>
        </w:rPr>
      </w:pPr>
      <w:r w:rsidRPr="00A31068">
        <w:rPr>
          <w:rFonts w:ascii="Book Antiqua" w:hAnsi="Book Antiqua"/>
        </w:rPr>
        <w:lastRenderedPageBreak/>
        <w:t>Este señalamiento se alinea con la realidad operacional de la corporación y con la necesidad urgente de fortalecer la capacidad de generación disponible en la Isla.</w:t>
      </w:r>
    </w:p>
    <w:p w14:paraId="52CC4486" w14:textId="77777777" w:rsidR="000F3CC7" w:rsidRDefault="000F3CC7" w:rsidP="00335307">
      <w:pPr>
        <w:spacing w:after="0" w:line="240" w:lineRule="auto"/>
        <w:contextualSpacing/>
        <w:jc w:val="both"/>
        <w:rPr>
          <w:rFonts w:ascii="Book Antiqua" w:hAnsi="Book Antiqua"/>
          <w:b/>
          <w:bCs/>
        </w:rPr>
      </w:pPr>
    </w:p>
    <w:p w14:paraId="165C43A7" w14:textId="3CFD0C43" w:rsidR="004F365C" w:rsidRPr="004F365C" w:rsidRDefault="004F365C" w:rsidP="00335307">
      <w:pPr>
        <w:spacing w:after="0" w:line="240" w:lineRule="auto"/>
        <w:contextualSpacing/>
        <w:jc w:val="both"/>
        <w:rPr>
          <w:rFonts w:ascii="Book Antiqua" w:hAnsi="Book Antiqua"/>
          <w:b/>
          <w:bCs/>
        </w:rPr>
      </w:pPr>
      <w:r w:rsidRPr="004F365C">
        <w:rPr>
          <w:rFonts w:ascii="Book Antiqua" w:hAnsi="Book Antiqua"/>
          <w:b/>
          <w:bCs/>
        </w:rPr>
        <w:t>Oficina Central de Recuperación, Reconstrucción y Resiliencia (COR3)</w:t>
      </w:r>
    </w:p>
    <w:p w14:paraId="7885B852" w14:textId="77777777" w:rsidR="000F3CC7" w:rsidRDefault="000F3CC7" w:rsidP="00335307">
      <w:pPr>
        <w:spacing w:after="0" w:line="240" w:lineRule="auto"/>
        <w:ind w:firstLine="708"/>
        <w:contextualSpacing/>
        <w:jc w:val="both"/>
        <w:rPr>
          <w:rFonts w:ascii="Book Antiqua" w:hAnsi="Book Antiqua"/>
        </w:rPr>
      </w:pPr>
    </w:p>
    <w:p w14:paraId="6C9C1D81" w14:textId="33D0B916" w:rsidR="004F365C" w:rsidRDefault="004F365C" w:rsidP="00335307">
      <w:pPr>
        <w:spacing w:after="0" w:line="240" w:lineRule="auto"/>
        <w:ind w:firstLine="708"/>
        <w:contextualSpacing/>
        <w:jc w:val="both"/>
        <w:rPr>
          <w:rFonts w:ascii="Book Antiqua" w:hAnsi="Book Antiqua"/>
        </w:rPr>
      </w:pPr>
      <w:r w:rsidRPr="004F365C">
        <w:rPr>
          <w:rFonts w:ascii="Book Antiqua" w:hAnsi="Book Antiqua"/>
        </w:rPr>
        <w:t>El COR3</w:t>
      </w:r>
      <w:r w:rsidR="000F3CC7">
        <w:rPr>
          <w:rFonts w:ascii="Book Antiqua" w:hAnsi="Book Antiqua"/>
        </w:rPr>
        <w:t xml:space="preserve">, </w:t>
      </w:r>
      <w:r w:rsidRPr="004F365C">
        <w:rPr>
          <w:rFonts w:ascii="Book Antiqua" w:hAnsi="Book Antiqua"/>
        </w:rPr>
        <w:t>entidad encargada de la ejecución de proyectos de recuperación con fondos federales</w:t>
      </w:r>
      <w:r w:rsidR="000F3CC7">
        <w:rPr>
          <w:rFonts w:ascii="Book Antiqua" w:hAnsi="Book Antiqua"/>
        </w:rPr>
        <w:t xml:space="preserve">, </w:t>
      </w:r>
      <w:r w:rsidRPr="004F365C">
        <w:rPr>
          <w:rFonts w:ascii="Book Antiqua" w:hAnsi="Book Antiqua"/>
        </w:rPr>
        <w:t>apoya la Resolución, destacando que las demoras regulatorias del NEPR tienen un efecto directo en el cumplimiento de plazos federales, la ejecución de proyectos de infraestructura energética, y la utilización óptima de fondos asignados para la transformación del sistema eléctrico.</w:t>
      </w:r>
    </w:p>
    <w:p w14:paraId="236785D8" w14:textId="77777777" w:rsidR="000F3CC7" w:rsidRPr="004F365C" w:rsidRDefault="000F3CC7" w:rsidP="00335307">
      <w:pPr>
        <w:spacing w:after="0" w:line="240" w:lineRule="auto"/>
        <w:ind w:firstLine="708"/>
        <w:contextualSpacing/>
        <w:jc w:val="both"/>
        <w:rPr>
          <w:rFonts w:ascii="Book Antiqua" w:hAnsi="Book Antiqua"/>
        </w:rPr>
      </w:pPr>
    </w:p>
    <w:p w14:paraId="3C24D4C6" w14:textId="77777777" w:rsidR="004F365C" w:rsidRPr="004F365C" w:rsidRDefault="004F365C" w:rsidP="00335307">
      <w:pPr>
        <w:spacing w:after="0" w:line="240" w:lineRule="auto"/>
        <w:ind w:firstLine="708"/>
        <w:contextualSpacing/>
        <w:jc w:val="both"/>
        <w:rPr>
          <w:rFonts w:ascii="Book Antiqua" w:hAnsi="Book Antiqua"/>
        </w:rPr>
      </w:pPr>
      <w:r w:rsidRPr="004F365C">
        <w:rPr>
          <w:rFonts w:ascii="Book Antiqua" w:hAnsi="Book Antiqua"/>
        </w:rPr>
        <w:t>Su memorial enfatiza que la agilización en la evaluación de los proyectos permitirá avanzar reconstrucciones de impacto crítico bajo el programa FEMA y acelerar la resiliencia energética del país.</w:t>
      </w:r>
    </w:p>
    <w:p w14:paraId="2049872F" w14:textId="77777777" w:rsidR="000F3CC7" w:rsidRDefault="000F3CC7" w:rsidP="00335307">
      <w:pPr>
        <w:spacing w:after="0" w:line="240" w:lineRule="auto"/>
        <w:contextualSpacing/>
        <w:jc w:val="both"/>
        <w:rPr>
          <w:rFonts w:ascii="Book Antiqua" w:hAnsi="Book Antiqua"/>
          <w:b/>
          <w:bCs/>
        </w:rPr>
      </w:pPr>
    </w:p>
    <w:p w14:paraId="5FEE2522" w14:textId="558667D0" w:rsidR="00C6247E" w:rsidRPr="00C6247E" w:rsidRDefault="007A5B40" w:rsidP="00335307">
      <w:pPr>
        <w:spacing w:after="0" w:line="240" w:lineRule="auto"/>
        <w:contextualSpacing/>
        <w:jc w:val="both"/>
        <w:rPr>
          <w:rFonts w:ascii="Book Antiqua" w:hAnsi="Book Antiqua"/>
          <w:b/>
          <w:bCs/>
        </w:rPr>
      </w:pPr>
      <w:r w:rsidRPr="007A5B40">
        <w:rPr>
          <w:rFonts w:ascii="Book Antiqua" w:hAnsi="Book Antiqua"/>
          <w:b/>
          <w:bCs/>
        </w:rPr>
        <w:t xml:space="preserve">Genera Puerto Rico </w:t>
      </w:r>
    </w:p>
    <w:p w14:paraId="3AF09782" w14:textId="77777777" w:rsidR="000F3CC7" w:rsidRDefault="000F3CC7" w:rsidP="00335307">
      <w:pPr>
        <w:spacing w:after="0" w:line="240" w:lineRule="auto"/>
        <w:ind w:firstLine="708"/>
        <w:contextualSpacing/>
        <w:jc w:val="both"/>
        <w:rPr>
          <w:rFonts w:ascii="Book Antiqua" w:hAnsi="Book Antiqua"/>
        </w:rPr>
      </w:pPr>
    </w:p>
    <w:p w14:paraId="458E443A" w14:textId="3FD3C9C6" w:rsidR="007A5B40" w:rsidRPr="007A5B40" w:rsidRDefault="00A35F5E" w:rsidP="00335307">
      <w:pPr>
        <w:spacing w:after="0" w:line="240" w:lineRule="auto"/>
        <w:ind w:firstLine="708"/>
        <w:contextualSpacing/>
        <w:jc w:val="both"/>
        <w:rPr>
          <w:rFonts w:ascii="Book Antiqua" w:hAnsi="Book Antiqua"/>
        </w:rPr>
      </w:pPr>
      <w:r>
        <w:rPr>
          <w:rFonts w:ascii="Book Antiqua" w:hAnsi="Book Antiqua"/>
        </w:rPr>
        <w:t>E</w:t>
      </w:r>
      <w:r w:rsidR="007A5B40" w:rsidRPr="007A5B40">
        <w:rPr>
          <w:rFonts w:ascii="Book Antiqua" w:hAnsi="Book Antiqua"/>
        </w:rPr>
        <w:t>xpresó un firme apoyo a la medida, destacando que uno de los retos más apremiantes del sistema eléctrico es la falta de transparencia, previsibilidad y cumplimiento riguroso de los marcos legales por parte del NEPR.</w:t>
      </w:r>
    </w:p>
    <w:p w14:paraId="4FE243F6" w14:textId="77777777" w:rsidR="000F3CC7" w:rsidRDefault="000F3CC7" w:rsidP="00335307">
      <w:pPr>
        <w:spacing w:after="0" w:line="240" w:lineRule="auto"/>
        <w:contextualSpacing/>
        <w:jc w:val="both"/>
        <w:rPr>
          <w:rFonts w:ascii="Book Antiqua" w:hAnsi="Book Antiqua"/>
        </w:rPr>
      </w:pPr>
    </w:p>
    <w:p w14:paraId="7DDC4A25" w14:textId="3AF12341" w:rsidR="007A5B40" w:rsidRPr="007A5B40" w:rsidRDefault="007A5B40" w:rsidP="00335307">
      <w:pPr>
        <w:spacing w:after="0" w:line="240" w:lineRule="auto"/>
        <w:contextualSpacing/>
        <w:jc w:val="both"/>
        <w:rPr>
          <w:rFonts w:ascii="Book Antiqua" w:hAnsi="Book Antiqua"/>
        </w:rPr>
      </w:pPr>
      <w:r w:rsidRPr="007A5B40">
        <w:rPr>
          <w:rFonts w:ascii="Book Antiqua" w:hAnsi="Book Antiqua"/>
        </w:rPr>
        <w:t>El memorial presenta ejemplos concretos:</w:t>
      </w:r>
    </w:p>
    <w:p w14:paraId="07156EEC" w14:textId="77777777" w:rsidR="007A5B40" w:rsidRPr="007A5B40" w:rsidRDefault="007A5B40" w:rsidP="00335307">
      <w:pPr>
        <w:numPr>
          <w:ilvl w:val="0"/>
          <w:numId w:val="2"/>
        </w:numPr>
        <w:spacing w:after="0" w:line="240" w:lineRule="auto"/>
        <w:contextualSpacing/>
        <w:jc w:val="both"/>
        <w:rPr>
          <w:rFonts w:ascii="Book Antiqua" w:hAnsi="Book Antiqua"/>
        </w:rPr>
      </w:pPr>
      <w:r w:rsidRPr="007A5B40">
        <w:rPr>
          <w:rFonts w:ascii="Book Antiqua" w:hAnsi="Book Antiqua"/>
        </w:rPr>
        <w:t>La resolución confidencial del 7 de abril de 2025, mediante la cual el NEPR ordenó modificar la enmienda al contrato GOMA, imponiendo condiciones no contempladas en la ley ni en reglamentos, incluyendo una fianza de cumplimiento por $110 millones.</w:t>
      </w:r>
    </w:p>
    <w:p w14:paraId="5C4D026A" w14:textId="77777777" w:rsidR="007A5B40" w:rsidRPr="007A5B40" w:rsidRDefault="007A5B40" w:rsidP="00335307">
      <w:pPr>
        <w:numPr>
          <w:ilvl w:val="0"/>
          <w:numId w:val="2"/>
        </w:numPr>
        <w:spacing w:after="0" w:line="240" w:lineRule="auto"/>
        <w:contextualSpacing/>
        <w:jc w:val="both"/>
        <w:rPr>
          <w:rFonts w:ascii="Book Antiqua" w:hAnsi="Book Antiqua"/>
        </w:rPr>
      </w:pPr>
      <w:r w:rsidRPr="007A5B40">
        <w:rPr>
          <w:rFonts w:ascii="Book Antiqua" w:hAnsi="Book Antiqua"/>
        </w:rPr>
        <w:t>Ese contrato había sido evaluado y aprobado por la AEE y la AAPP como conveniente al interés público.</w:t>
      </w:r>
    </w:p>
    <w:p w14:paraId="11627C92" w14:textId="2332D258" w:rsidR="007A5B40" w:rsidRPr="007A5B40" w:rsidRDefault="007A5B40" w:rsidP="00335307">
      <w:pPr>
        <w:numPr>
          <w:ilvl w:val="0"/>
          <w:numId w:val="2"/>
        </w:numPr>
        <w:spacing w:after="0" w:line="240" w:lineRule="auto"/>
        <w:contextualSpacing/>
        <w:jc w:val="both"/>
        <w:rPr>
          <w:rFonts w:ascii="Book Antiqua" w:hAnsi="Book Antiqua"/>
        </w:rPr>
      </w:pPr>
      <w:r w:rsidRPr="007A5B40">
        <w:rPr>
          <w:rFonts w:ascii="Book Antiqua" w:hAnsi="Book Antiqua"/>
        </w:rPr>
        <w:t xml:space="preserve">Las decisiones del NEPR tuvieron el efecto de frustrar temporalmente la implementación de </w:t>
      </w:r>
      <w:r w:rsidR="00FF42DC">
        <w:rPr>
          <w:rFonts w:ascii="Book Antiqua" w:hAnsi="Book Antiqua"/>
        </w:rPr>
        <w:t xml:space="preserve">la </w:t>
      </w:r>
      <w:r w:rsidRPr="007A5B40">
        <w:rPr>
          <w:rFonts w:ascii="Book Antiqua" w:hAnsi="Book Antiqua"/>
        </w:rPr>
        <w:t>política pública energética establecida por la Gobernadora.</w:t>
      </w:r>
    </w:p>
    <w:p w14:paraId="20FA4228" w14:textId="77777777" w:rsidR="00FF42DC" w:rsidRDefault="00FF42DC" w:rsidP="00335307">
      <w:pPr>
        <w:spacing w:after="0" w:line="240" w:lineRule="auto"/>
        <w:ind w:firstLine="708"/>
        <w:contextualSpacing/>
        <w:jc w:val="both"/>
        <w:rPr>
          <w:rFonts w:ascii="Book Antiqua" w:hAnsi="Book Antiqua"/>
        </w:rPr>
      </w:pPr>
    </w:p>
    <w:p w14:paraId="0A519B46" w14:textId="6FBC2C3E" w:rsidR="007A5B40" w:rsidRPr="007A5B40" w:rsidRDefault="007A5B40" w:rsidP="00335307">
      <w:pPr>
        <w:spacing w:after="0" w:line="240" w:lineRule="auto"/>
        <w:ind w:firstLine="708"/>
        <w:contextualSpacing/>
        <w:jc w:val="both"/>
        <w:rPr>
          <w:rFonts w:ascii="Book Antiqua" w:hAnsi="Book Antiqua"/>
        </w:rPr>
      </w:pPr>
      <w:r w:rsidRPr="007A5B40">
        <w:rPr>
          <w:rFonts w:ascii="Book Antiqua" w:hAnsi="Book Antiqua"/>
        </w:rPr>
        <w:t>Genera aclaró que su intención no es cuestionar la autoridad regulatoria del NEPR, sino subrayar que dicha autoridad debe ejercerse con urgencia, transparencia y coherencia, y dentro de los parámetros legales vigentes.</w:t>
      </w:r>
    </w:p>
    <w:p w14:paraId="2091EB53" w14:textId="77777777" w:rsidR="00FF42DC" w:rsidRDefault="00FF42DC" w:rsidP="00335307">
      <w:pPr>
        <w:spacing w:after="0" w:line="240" w:lineRule="auto"/>
        <w:ind w:firstLine="708"/>
        <w:contextualSpacing/>
        <w:jc w:val="both"/>
        <w:rPr>
          <w:rFonts w:ascii="Book Antiqua" w:hAnsi="Book Antiqua"/>
        </w:rPr>
      </w:pPr>
    </w:p>
    <w:p w14:paraId="1BCBBE8C" w14:textId="3BC8C748" w:rsidR="0091083C" w:rsidRPr="0065182D" w:rsidRDefault="007A5B40" w:rsidP="00335307">
      <w:pPr>
        <w:spacing w:after="0" w:line="240" w:lineRule="auto"/>
        <w:ind w:firstLine="708"/>
        <w:contextualSpacing/>
        <w:jc w:val="both"/>
        <w:rPr>
          <w:rFonts w:ascii="Book Antiqua" w:hAnsi="Book Antiqua"/>
        </w:rPr>
      </w:pPr>
      <w:r w:rsidRPr="007A5B40">
        <w:rPr>
          <w:rFonts w:ascii="Book Antiqua" w:hAnsi="Book Antiqua"/>
        </w:rPr>
        <w:t>Según su análisis, la R. C. de la C. 158 constituye una acción legislativa prudente y necesaria, que incorpora plazos razonables, mecanismos de seguimiento y obligaciones de rendición de cuentas que garantizarán un proceso regulatorio más predecible y acorde con las necesidades energéticas del país.</w:t>
      </w:r>
    </w:p>
    <w:p w14:paraId="55A23172" w14:textId="77777777" w:rsidR="00FF42DC" w:rsidRDefault="00FF42DC" w:rsidP="00335307">
      <w:pPr>
        <w:spacing w:after="0" w:line="240" w:lineRule="auto"/>
        <w:contextualSpacing/>
        <w:jc w:val="both"/>
        <w:rPr>
          <w:rFonts w:ascii="Book Antiqua" w:hAnsi="Book Antiqua"/>
          <w:b/>
          <w:bCs/>
        </w:rPr>
      </w:pPr>
    </w:p>
    <w:p w14:paraId="42C6E567" w14:textId="4BFF73D5" w:rsidR="0091083C" w:rsidRDefault="00FF42DC" w:rsidP="00FF42DC">
      <w:pPr>
        <w:spacing w:after="0" w:line="240" w:lineRule="auto"/>
        <w:contextualSpacing/>
        <w:jc w:val="center"/>
        <w:rPr>
          <w:rFonts w:ascii="Book Antiqua" w:hAnsi="Book Antiqua"/>
          <w:b/>
          <w:bCs/>
        </w:rPr>
      </w:pPr>
      <w:r>
        <w:rPr>
          <w:rFonts w:ascii="Book Antiqua" w:hAnsi="Book Antiqua"/>
          <w:b/>
          <w:bCs/>
        </w:rPr>
        <w:t>IMPACTO FISCAL</w:t>
      </w:r>
    </w:p>
    <w:p w14:paraId="7A0F8600" w14:textId="77777777" w:rsidR="00FF42DC" w:rsidRPr="0091083C" w:rsidRDefault="00FF42DC" w:rsidP="00FF42DC">
      <w:pPr>
        <w:spacing w:after="0" w:line="240" w:lineRule="auto"/>
        <w:contextualSpacing/>
        <w:jc w:val="center"/>
        <w:rPr>
          <w:rFonts w:ascii="Book Antiqua" w:hAnsi="Book Antiqua"/>
          <w:b/>
          <w:bCs/>
        </w:rPr>
      </w:pPr>
    </w:p>
    <w:p w14:paraId="635B8126" w14:textId="100B3BE8" w:rsidR="0091083C" w:rsidRPr="0091083C" w:rsidRDefault="00FF42DC" w:rsidP="00EB13F3">
      <w:pPr>
        <w:spacing w:after="0" w:line="240" w:lineRule="auto"/>
        <w:ind w:firstLine="708"/>
        <w:contextualSpacing/>
        <w:jc w:val="both"/>
        <w:rPr>
          <w:rFonts w:ascii="Book Antiqua" w:hAnsi="Book Antiqua"/>
        </w:rPr>
      </w:pPr>
      <w:r>
        <w:rPr>
          <w:rFonts w:ascii="Book Antiqua" w:hAnsi="Book Antiqua"/>
        </w:rPr>
        <w:lastRenderedPageBreak/>
        <w:t xml:space="preserve">La </w:t>
      </w:r>
      <w:r w:rsidR="0091083C" w:rsidRPr="0091083C">
        <w:rPr>
          <w:rFonts w:ascii="Book Antiqua" w:hAnsi="Book Antiqua"/>
        </w:rPr>
        <w:t>OPAL indicó que el mandato legislativo al NEPR no conlleva impacto fiscal adicional.</w:t>
      </w:r>
      <w:r w:rsidR="00EB13F3">
        <w:rPr>
          <w:rFonts w:ascii="Book Antiqua" w:hAnsi="Book Antiqua"/>
        </w:rPr>
        <w:t xml:space="preserve"> </w:t>
      </w:r>
      <w:r w:rsidR="0091083C" w:rsidRPr="0091083C">
        <w:rPr>
          <w:rFonts w:ascii="Book Antiqua" w:hAnsi="Book Antiqua"/>
        </w:rPr>
        <w:t>Explicaron que los requisitos establecidos</w:t>
      </w:r>
      <w:r w:rsidR="0065182D">
        <w:rPr>
          <w:rFonts w:ascii="Book Antiqua" w:hAnsi="Book Antiqua"/>
        </w:rPr>
        <w:t xml:space="preserve">, </w:t>
      </w:r>
      <w:r w:rsidR="0091083C" w:rsidRPr="0091083C">
        <w:rPr>
          <w:rFonts w:ascii="Book Antiqua" w:hAnsi="Book Antiqua"/>
        </w:rPr>
        <w:t>incluyendo los calendarios de tramitación, mecanismos de seguimiento y reportes trimestrale</w:t>
      </w:r>
      <w:r w:rsidR="0065182D">
        <w:rPr>
          <w:rFonts w:ascii="Book Antiqua" w:hAnsi="Book Antiqua"/>
        </w:rPr>
        <w:t xml:space="preserve">s, </w:t>
      </w:r>
      <w:r w:rsidR="0091083C" w:rsidRPr="0091083C">
        <w:rPr>
          <w:rFonts w:ascii="Book Antiqua" w:hAnsi="Book Antiqua"/>
        </w:rPr>
        <w:t>pueden ser implementados con</w:t>
      </w:r>
      <w:r w:rsidR="0091083C" w:rsidRPr="0091083C">
        <w:rPr>
          <w:rFonts w:ascii="Book Antiqua" w:hAnsi="Book Antiqua"/>
          <w:b/>
          <w:bCs/>
        </w:rPr>
        <w:t xml:space="preserve"> </w:t>
      </w:r>
      <w:r w:rsidR="0091083C" w:rsidRPr="0091083C">
        <w:rPr>
          <w:rFonts w:ascii="Book Antiqua" w:hAnsi="Book Antiqua"/>
        </w:rPr>
        <w:t>los recursos existentes, ya que se integran a procesos administrativos que el NEPR ya tiene la obligación de manejar conforme a la Ley 57</w:t>
      </w:r>
      <w:r w:rsidR="00A35F5E">
        <w:rPr>
          <w:rFonts w:ascii="Book Antiqua" w:hAnsi="Book Antiqua"/>
        </w:rPr>
        <w:t>, supra</w:t>
      </w:r>
      <w:r w:rsidR="0091083C" w:rsidRPr="0091083C">
        <w:rPr>
          <w:rFonts w:ascii="Book Antiqua" w:hAnsi="Book Antiqua"/>
        </w:rPr>
        <w:t>.</w:t>
      </w:r>
    </w:p>
    <w:p w14:paraId="70022125" w14:textId="77777777" w:rsidR="0065182D" w:rsidRDefault="0065182D" w:rsidP="00335307">
      <w:pPr>
        <w:spacing w:after="0" w:line="240" w:lineRule="auto"/>
        <w:contextualSpacing/>
        <w:rPr>
          <w:rFonts w:ascii="Book Antiqua" w:hAnsi="Book Antiqua"/>
        </w:rPr>
      </w:pPr>
    </w:p>
    <w:p w14:paraId="40A8AA40" w14:textId="63633556" w:rsidR="00CC14E0" w:rsidRPr="00170BAF" w:rsidRDefault="00CC14E0" w:rsidP="00335307">
      <w:pPr>
        <w:spacing w:after="0" w:line="240" w:lineRule="auto"/>
        <w:contextualSpacing/>
        <w:jc w:val="center"/>
        <w:rPr>
          <w:rFonts w:ascii="Book Antiqua" w:hAnsi="Book Antiqua"/>
        </w:rPr>
      </w:pPr>
      <w:r w:rsidRPr="00170BAF">
        <w:rPr>
          <w:rFonts w:ascii="Book Antiqua" w:hAnsi="Book Antiqua"/>
          <w:b/>
          <w:bCs/>
        </w:rPr>
        <w:t>CONCLUSIÓN</w:t>
      </w:r>
    </w:p>
    <w:p w14:paraId="707DC61E" w14:textId="77777777" w:rsidR="00EB13F3" w:rsidRDefault="00CC14E0" w:rsidP="00335307">
      <w:pPr>
        <w:spacing w:after="0" w:line="240" w:lineRule="auto"/>
        <w:contextualSpacing/>
        <w:jc w:val="both"/>
        <w:rPr>
          <w:rFonts w:ascii="Book Antiqua" w:hAnsi="Book Antiqua"/>
        </w:rPr>
      </w:pPr>
      <w:r w:rsidRPr="00170BAF">
        <w:rPr>
          <w:rFonts w:ascii="Book Antiqua" w:hAnsi="Book Antiqua"/>
        </w:rPr>
        <w:t> </w:t>
      </w:r>
      <w:r>
        <w:rPr>
          <w:rFonts w:ascii="Book Antiqua" w:hAnsi="Book Antiqua"/>
        </w:rPr>
        <w:tab/>
      </w:r>
    </w:p>
    <w:p w14:paraId="7FBECDE8" w14:textId="1A05EDBA" w:rsidR="007E2D4B" w:rsidRPr="007E2D4B" w:rsidRDefault="007E2D4B" w:rsidP="00EB13F3">
      <w:pPr>
        <w:spacing w:after="0" w:line="240" w:lineRule="auto"/>
        <w:ind w:firstLine="708"/>
        <w:contextualSpacing/>
        <w:jc w:val="both"/>
        <w:rPr>
          <w:rFonts w:ascii="Book Antiqua" w:hAnsi="Book Antiqua"/>
        </w:rPr>
      </w:pPr>
      <w:r w:rsidRPr="007E2D4B">
        <w:rPr>
          <w:rFonts w:ascii="Book Antiqua" w:hAnsi="Book Antiqua"/>
        </w:rPr>
        <w:t>A la luz de las ponencias recibidas, esta Comisión determina que la R. C. de la C. 158 constituye una medida necesaria para promover la confiabilidad del sistema eléctrico, acelerar la ejecución de proyectos críticos y asegurar que los procesos del NEPR respondan con la agilidad que la situación energética del país exige.</w:t>
      </w:r>
    </w:p>
    <w:p w14:paraId="71317065" w14:textId="77777777" w:rsidR="00EB13F3" w:rsidRDefault="00EB13F3" w:rsidP="00335307">
      <w:pPr>
        <w:spacing w:after="0" w:line="240" w:lineRule="auto"/>
        <w:ind w:firstLine="708"/>
        <w:contextualSpacing/>
        <w:jc w:val="both"/>
        <w:rPr>
          <w:rFonts w:ascii="Book Antiqua" w:hAnsi="Book Antiqua"/>
        </w:rPr>
      </w:pPr>
    </w:p>
    <w:p w14:paraId="55EE437A" w14:textId="24266D07" w:rsidR="007E2D4B" w:rsidRPr="007E2D4B" w:rsidRDefault="007E2D4B" w:rsidP="00335307">
      <w:pPr>
        <w:spacing w:after="0" w:line="240" w:lineRule="auto"/>
        <w:ind w:firstLine="708"/>
        <w:contextualSpacing/>
        <w:jc w:val="both"/>
        <w:rPr>
          <w:rFonts w:ascii="Book Antiqua" w:hAnsi="Book Antiqua"/>
        </w:rPr>
      </w:pPr>
      <w:r w:rsidRPr="007E2D4B">
        <w:rPr>
          <w:rFonts w:ascii="Book Antiqua" w:hAnsi="Book Antiqua"/>
        </w:rPr>
        <w:t>Es ampliamente reconocido que Puerto Rico enfrenta un sistema energético que requiere acciones urgentes y coordinadas para robustecerse y responder adecuadamente a los retos actuales de generación, transmisión y distribución.</w:t>
      </w:r>
    </w:p>
    <w:p w14:paraId="0DD830D7" w14:textId="77777777" w:rsidR="00EB13F3" w:rsidRDefault="00EB13F3" w:rsidP="00EB13F3">
      <w:pPr>
        <w:spacing w:after="0" w:line="240" w:lineRule="auto"/>
        <w:contextualSpacing/>
        <w:jc w:val="both"/>
        <w:rPr>
          <w:rFonts w:ascii="Book Antiqua" w:hAnsi="Book Antiqua"/>
        </w:rPr>
      </w:pPr>
    </w:p>
    <w:p w14:paraId="309F8573" w14:textId="10B1BE24" w:rsidR="007E2D4B" w:rsidRPr="007E2D4B" w:rsidRDefault="007E2D4B" w:rsidP="00EB13F3">
      <w:pPr>
        <w:spacing w:after="0" w:line="240" w:lineRule="auto"/>
        <w:ind w:firstLine="708"/>
        <w:contextualSpacing/>
        <w:jc w:val="both"/>
        <w:rPr>
          <w:rFonts w:ascii="Book Antiqua" w:hAnsi="Book Antiqua"/>
        </w:rPr>
      </w:pPr>
      <w:r w:rsidRPr="007E2D4B">
        <w:rPr>
          <w:rFonts w:ascii="Book Antiqua" w:hAnsi="Book Antiqua"/>
        </w:rPr>
        <w:t>La R. C. C. 158 representa un paso necesario para encaminar ese esfuerzo. Tal como enmendada, esta iniciativa legislativa fortalece la transparencia, la planificación regulatoria y la rendición de cuentas, atendiendo de forma responsable las preocupaciones legítimas de las entidades reguladas y participantes del sistema energético.</w:t>
      </w:r>
    </w:p>
    <w:p w14:paraId="70224DAF" w14:textId="77777777" w:rsidR="00EB13F3" w:rsidRDefault="00EB13F3" w:rsidP="00335307">
      <w:pPr>
        <w:spacing w:after="0" w:line="240" w:lineRule="auto"/>
        <w:ind w:firstLine="708"/>
        <w:contextualSpacing/>
        <w:jc w:val="both"/>
        <w:rPr>
          <w:rFonts w:ascii="Book Antiqua" w:hAnsi="Book Antiqua"/>
        </w:rPr>
      </w:pPr>
    </w:p>
    <w:p w14:paraId="72CF565B" w14:textId="447C51C0" w:rsidR="007E2D4B" w:rsidRPr="007E2D4B" w:rsidRDefault="007E2D4B" w:rsidP="00335307">
      <w:pPr>
        <w:spacing w:after="0" w:line="240" w:lineRule="auto"/>
        <w:ind w:firstLine="708"/>
        <w:contextualSpacing/>
        <w:jc w:val="both"/>
        <w:rPr>
          <w:rFonts w:ascii="Book Antiqua" w:hAnsi="Book Antiqua"/>
        </w:rPr>
      </w:pPr>
      <w:r w:rsidRPr="007E2D4B">
        <w:rPr>
          <w:rFonts w:ascii="Book Antiqua" w:hAnsi="Book Antiqua"/>
        </w:rPr>
        <w:t xml:space="preserve">Por todo lo cual, esta Comisión rinde </w:t>
      </w:r>
      <w:r w:rsidRPr="007E2D4B">
        <w:rPr>
          <w:rFonts w:ascii="Book Antiqua" w:hAnsi="Book Antiqua"/>
          <w:b/>
          <w:bCs/>
        </w:rPr>
        <w:t>Informe Positivo</w:t>
      </w:r>
      <w:r w:rsidRPr="007E2D4B">
        <w:rPr>
          <w:rFonts w:ascii="Book Antiqua" w:hAnsi="Book Antiqua"/>
        </w:rPr>
        <w:t xml:space="preserve"> y recomienda la aprobación de la R. C. de la C. 158, con las enmiendas contenidas en el entirillado</w:t>
      </w:r>
      <w:r w:rsidR="00EB13F3">
        <w:rPr>
          <w:rFonts w:ascii="Book Antiqua" w:hAnsi="Book Antiqua"/>
        </w:rPr>
        <w:t xml:space="preserve"> electrónico</w:t>
      </w:r>
      <w:r w:rsidRPr="007E2D4B">
        <w:rPr>
          <w:rFonts w:ascii="Book Antiqua" w:hAnsi="Book Antiqua"/>
        </w:rPr>
        <w:t xml:space="preserve"> que acompaña este Informe.</w:t>
      </w:r>
    </w:p>
    <w:p w14:paraId="23A96A01" w14:textId="77777777" w:rsidR="00EB13F3" w:rsidRDefault="00EB13F3" w:rsidP="00EB13F3">
      <w:pPr>
        <w:spacing w:after="0" w:line="240" w:lineRule="auto"/>
        <w:contextualSpacing/>
        <w:jc w:val="both"/>
        <w:rPr>
          <w:rFonts w:ascii="Book Antiqua" w:hAnsi="Book Antiqua"/>
        </w:rPr>
      </w:pPr>
    </w:p>
    <w:p w14:paraId="6403F8AF" w14:textId="70590F35" w:rsidR="00CC14E0" w:rsidRPr="003211D0" w:rsidRDefault="00CC14E0" w:rsidP="00EB13F3">
      <w:pPr>
        <w:spacing w:after="0" w:line="240" w:lineRule="auto"/>
        <w:contextualSpacing/>
        <w:jc w:val="both"/>
        <w:rPr>
          <w:rFonts w:ascii="Book Antiqua" w:hAnsi="Book Antiqua"/>
        </w:rPr>
      </w:pPr>
      <w:r w:rsidRPr="003211D0">
        <w:rPr>
          <w:rFonts w:ascii="Book Antiqua" w:hAnsi="Book Antiqua"/>
          <w:lang w:val="es-ES"/>
        </w:rPr>
        <w:t>Respetuosamente sometido,</w:t>
      </w:r>
      <w:r w:rsidRPr="003211D0">
        <w:rPr>
          <w:rFonts w:ascii="Times New Roman" w:hAnsi="Times New Roman" w:cs="Times New Roman"/>
        </w:rPr>
        <w:t> </w:t>
      </w:r>
      <w:r w:rsidRPr="003211D0">
        <w:rPr>
          <w:rFonts w:ascii="Book Antiqua" w:hAnsi="Book Antiqua"/>
        </w:rPr>
        <w:t> </w:t>
      </w:r>
    </w:p>
    <w:p w14:paraId="076849C3" w14:textId="77777777" w:rsidR="00CC14E0" w:rsidRDefault="00CC14E0" w:rsidP="00335307">
      <w:pPr>
        <w:spacing w:after="0" w:line="240" w:lineRule="auto"/>
        <w:contextualSpacing/>
        <w:rPr>
          <w:rFonts w:ascii="Book Antiqua" w:hAnsi="Book Antiqua"/>
        </w:rPr>
      </w:pPr>
      <w:r w:rsidRPr="00170BAF">
        <w:rPr>
          <w:rFonts w:ascii="Book Antiqua" w:hAnsi="Book Antiqua"/>
        </w:rPr>
        <w:t> </w:t>
      </w:r>
    </w:p>
    <w:p w14:paraId="01A74985" w14:textId="77777777" w:rsidR="00EB13F3" w:rsidRDefault="00EB13F3" w:rsidP="00335307">
      <w:pPr>
        <w:spacing w:after="0" w:line="240" w:lineRule="auto"/>
        <w:contextualSpacing/>
        <w:rPr>
          <w:rFonts w:ascii="Book Antiqua" w:hAnsi="Book Antiqua"/>
        </w:rPr>
      </w:pPr>
    </w:p>
    <w:p w14:paraId="13F4F6BB" w14:textId="77777777" w:rsidR="00EB13F3" w:rsidRDefault="00EB13F3" w:rsidP="00335307">
      <w:pPr>
        <w:spacing w:after="0" w:line="240" w:lineRule="auto"/>
        <w:contextualSpacing/>
        <w:rPr>
          <w:rFonts w:ascii="Book Antiqua" w:hAnsi="Book Antiqua"/>
        </w:rPr>
      </w:pPr>
    </w:p>
    <w:p w14:paraId="13E4F229" w14:textId="77777777" w:rsidR="00EB13F3" w:rsidRPr="00170BAF" w:rsidRDefault="00EB13F3" w:rsidP="00335307">
      <w:pPr>
        <w:spacing w:after="0" w:line="240" w:lineRule="auto"/>
        <w:contextualSpacing/>
        <w:rPr>
          <w:rFonts w:ascii="Book Antiqua" w:hAnsi="Book Antiqua"/>
        </w:rPr>
      </w:pPr>
    </w:p>
    <w:p w14:paraId="46E27ECD" w14:textId="77777777" w:rsidR="00CC14E0" w:rsidRPr="00170BAF" w:rsidRDefault="00CC14E0" w:rsidP="00335307">
      <w:pPr>
        <w:spacing w:after="0" w:line="240" w:lineRule="auto"/>
        <w:contextualSpacing/>
        <w:rPr>
          <w:rFonts w:ascii="Book Antiqua" w:hAnsi="Book Antiqua"/>
        </w:rPr>
      </w:pPr>
      <w:r w:rsidRPr="00170BAF">
        <w:rPr>
          <w:rFonts w:ascii="Book Antiqua" w:hAnsi="Book Antiqua"/>
          <w:b/>
          <w:bCs/>
          <w:lang w:val="es-ES"/>
        </w:rPr>
        <w:t>Hon. Víctor L. Parés-Otero</w:t>
      </w:r>
      <w:r w:rsidRPr="00170BAF">
        <w:rPr>
          <w:rFonts w:ascii="Times New Roman" w:hAnsi="Times New Roman" w:cs="Times New Roman"/>
        </w:rPr>
        <w:t> </w:t>
      </w:r>
      <w:r w:rsidRPr="00170BAF">
        <w:rPr>
          <w:rFonts w:ascii="Book Antiqua" w:hAnsi="Book Antiqua"/>
        </w:rPr>
        <w:t> </w:t>
      </w:r>
    </w:p>
    <w:p w14:paraId="7A276AD1" w14:textId="77777777" w:rsidR="00CC14E0" w:rsidRPr="00170BAF" w:rsidRDefault="00CC14E0" w:rsidP="00335307">
      <w:pPr>
        <w:spacing w:after="0" w:line="240" w:lineRule="auto"/>
        <w:contextualSpacing/>
        <w:rPr>
          <w:rFonts w:ascii="Book Antiqua" w:hAnsi="Book Antiqua"/>
        </w:rPr>
      </w:pPr>
      <w:r w:rsidRPr="00170BAF">
        <w:rPr>
          <w:rFonts w:ascii="Book Antiqua" w:hAnsi="Book Antiqua"/>
          <w:lang w:val="es-ES"/>
        </w:rPr>
        <w:t>Presidente</w:t>
      </w:r>
      <w:r w:rsidRPr="00170BAF">
        <w:rPr>
          <w:rFonts w:ascii="Times New Roman" w:hAnsi="Times New Roman" w:cs="Times New Roman"/>
        </w:rPr>
        <w:t> </w:t>
      </w:r>
      <w:r w:rsidRPr="00170BAF">
        <w:rPr>
          <w:rFonts w:ascii="Book Antiqua" w:hAnsi="Book Antiqua"/>
        </w:rPr>
        <w:t> </w:t>
      </w:r>
    </w:p>
    <w:p w14:paraId="5539C6CA" w14:textId="77777777" w:rsidR="00CC14E0" w:rsidRPr="00170BAF" w:rsidRDefault="00CC14E0" w:rsidP="00335307">
      <w:pPr>
        <w:spacing w:after="0" w:line="240" w:lineRule="auto"/>
        <w:contextualSpacing/>
        <w:rPr>
          <w:rFonts w:ascii="Book Antiqua" w:hAnsi="Book Antiqua"/>
        </w:rPr>
      </w:pPr>
      <w:r w:rsidRPr="00170BAF">
        <w:rPr>
          <w:rFonts w:ascii="Book Antiqua" w:hAnsi="Book Antiqua"/>
          <w:lang w:val="es-ES"/>
        </w:rPr>
        <w:t>Comisión de Gobierno</w:t>
      </w:r>
      <w:r w:rsidRPr="00170BAF">
        <w:rPr>
          <w:rFonts w:ascii="Times New Roman" w:hAnsi="Times New Roman" w:cs="Times New Roman"/>
        </w:rPr>
        <w:t> </w:t>
      </w:r>
      <w:r w:rsidRPr="00170BAF">
        <w:rPr>
          <w:rFonts w:ascii="Book Antiqua" w:hAnsi="Book Antiqua"/>
        </w:rPr>
        <w:t> </w:t>
      </w:r>
    </w:p>
    <w:p w14:paraId="248C1EC2" w14:textId="77777777" w:rsidR="00CC14E0" w:rsidRDefault="00CC14E0" w:rsidP="00335307">
      <w:pPr>
        <w:spacing w:after="0" w:line="240" w:lineRule="auto"/>
        <w:contextualSpacing/>
        <w:rPr>
          <w:rFonts w:ascii="Book Antiqua" w:hAnsi="Book Antiqua"/>
        </w:rPr>
      </w:pPr>
      <w:r w:rsidRPr="00170BAF">
        <w:rPr>
          <w:rFonts w:ascii="Book Antiqua" w:hAnsi="Book Antiqua"/>
          <w:lang w:val="es-ES"/>
        </w:rPr>
        <w:t>Cámara de Representantes</w:t>
      </w:r>
      <w:r w:rsidRPr="00170BAF">
        <w:rPr>
          <w:rFonts w:ascii="Times New Roman" w:hAnsi="Times New Roman" w:cs="Times New Roman"/>
        </w:rPr>
        <w:t> </w:t>
      </w:r>
      <w:r w:rsidRPr="00170BAF">
        <w:rPr>
          <w:rFonts w:ascii="Book Antiqua" w:hAnsi="Book Antiqua"/>
        </w:rPr>
        <w:t> </w:t>
      </w:r>
    </w:p>
    <w:p w14:paraId="5ADE6710" w14:textId="77777777" w:rsidR="00B5363A" w:rsidRDefault="00B5363A" w:rsidP="00335307">
      <w:pPr>
        <w:spacing w:after="0" w:line="240" w:lineRule="auto"/>
        <w:contextualSpacing/>
        <w:rPr>
          <w:rFonts w:ascii="Book Antiqua" w:hAnsi="Book Antiqua"/>
        </w:rPr>
      </w:pPr>
    </w:p>
    <w:p w14:paraId="751886F6" w14:textId="77777777" w:rsidR="00B5363A" w:rsidRPr="00B5363A" w:rsidRDefault="00B5363A" w:rsidP="00335307">
      <w:pPr>
        <w:spacing w:after="0" w:line="240" w:lineRule="auto"/>
        <w:contextualSpacing/>
        <w:rPr>
          <w:rFonts w:ascii="Times New Roman" w:eastAsia="Times New Roman" w:hAnsi="Times New Roman" w:cs="Times New Roman"/>
          <w:kern w:val="0"/>
          <w:lang w:eastAsia="es-PR"/>
          <w14:ligatures w14:val="none"/>
        </w:rPr>
      </w:pPr>
      <w:r w:rsidRPr="00B5363A">
        <w:rPr>
          <w:rFonts w:ascii="Times New Roman" w:eastAsia="Times New Roman" w:hAnsi="Times New Roman" w:cs="Times New Roman"/>
          <w:kern w:val="0"/>
          <w:lang w:eastAsia="es-PR"/>
          <w14:ligatures w14:val="none"/>
        </w:rPr>
        <w:t>.</w:t>
      </w:r>
    </w:p>
    <w:p w14:paraId="24B83645" w14:textId="77777777" w:rsidR="00CC14E0" w:rsidRDefault="00CC14E0" w:rsidP="00335307">
      <w:pPr>
        <w:spacing w:after="0" w:line="240" w:lineRule="auto"/>
        <w:contextualSpacing/>
      </w:pPr>
    </w:p>
    <w:sectPr w:rsidR="00CC14E0" w:rsidSect="00CC14E0">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1AD28" w14:textId="77777777" w:rsidR="00DD171B" w:rsidRDefault="00DD171B" w:rsidP="00CC14E0">
      <w:pPr>
        <w:spacing w:after="0" w:line="240" w:lineRule="auto"/>
      </w:pPr>
      <w:r>
        <w:separator/>
      </w:r>
    </w:p>
  </w:endnote>
  <w:endnote w:type="continuationSeparator" w:id="0">
    <w:p w14:paraId="10ED2546" w14:textId="77777777" w:rsidR="00DD171B" w:rsidRDefault="00DD171B" w:rsidP="00CC14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altName w:val="Cambri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6914380"/>
      <w:docPartObj>
        <w:docPartGallery w:val="Page Numbers (Bottom of Page)"/>
        <w:docPartUnique/>
      </w:docPartObj>
    </w:sdtPr>
    <w:sdtEndPr/>
    <w:sdtContent>
      <w:p w14:paraId="2FF136E2" w14:textId="77777777" w:rsidR="00CC14E0" w:rsidRDefault="00CC14E0">
        <w:pPr>
          <w:pStyle w:val="Footer"/>
          <w:jc w:val="center"/>
        </w:pPr>
        <w:r>
          <w:fldChar w:fldCharType="begin"/>
        </w:r>
        <w:r>
          <w:instrText>PAGE   \* MERGEFORMAT</w:instrText>
        </w:r>
        <w:r>
          <w:fldChar w:fldCharType="separate"/>
        </w:r>
        <w:r>
          <w:rPr>
            <w:lang w:val="es-ES"/>
          </w:rPr>
          <w:t>2</w:t>
        </w:r>
        <w:r>
          <w:fldChar w:fldCharType="end"/>
        </w:r>
      </w:p>
    </w:sdtContent>
  </w:sdt>
  <w:p w14:paraId="53D346F4" w14:textId="77777777" w:rsidR="00CC14E0" w:rsidRDefault="00CC14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74ADD" w14:textId="77777777" w:rsidR="00DD171B" w:rsidRDefault="00DD171B" w:rsidP="00CC14E0">
      <w:pPr>
        <w:spacing w:after="0" w:line="240" w:lineRule="auto"/>
      </w:pPr>
      <w:r>
        <w:separator/>
      </w:r>
    </w:p>
  </w:footnote>
  <w:footnote w:type="continuationSeparator" w:id="0">
    <w:p w14:paraId="16182E99" w14:textId="77777777" w:rsidR="00DD171B" w:rsidRDefault="00DD171B" w:rsidP="00CC14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82F1A" w14:textId="77777777" w:rsidR="00CC14E0" w:rsidRDefault="00CC14E0">
    <w:pPr>
      <w:pStyle w:val="Header"/>
      <w:rPr>
        <w:rStyle w:val="normaltextrun"/>
        <w:rFonts w:ascii="Book Antiqua" w:hAnsi="Book Antiqua"/>
        <w:color w:val="000000"/>
        <w:sz w:val="20"/>
        <w:szCs w:val="20"/>
        <w:shd w:val="clear" w:color="auto" w:fill="FFFFFF"/>
      </w:rPr>
    </w:pPr>
    <w:r>
      <w:rPr>
        <w:rStyle w:val="normaltextrun"/>
        <w:rFonts w:ascii="Book Antiqua" w:hAnsi="Book Antiqua"/>
        <w:color w:val="000000"/>
        <w:sz w:val="20"/>
        <w:szCs w:val="20"/>
        <w:shd w:val="clear" w:color="auto" w:fill="FFFFFF"/>
      </w:rPr>
      <w:t xml:space="preserve">Informe Positivo </w:t>
    </w:r>
  </w:p>
  <w:p w14:paraId="3471CE0B" w14:textId="18DA3D64" w:rsidR="00CC14E0" w:rsidRPr="00170BAF" w:rsidRDefault="00CC14E0">
    <w:pPr>
      <w:pStyle w:val="Header"/>
      <w:rPr>
        <w:rFonts w:ascii="Book Antiqua" w:hAnsi="Book Antiqua"/>
        <w:sz w:val="20"/>
        <w:szCs w:val="20"/>
      </w:rPr>
    </w:pPr>
    <w:r>
      <w:rPr>
        <w:rStyle w:val="normaltextrun"/>
        <w:rFonts w:ascii="Book Antiqua" w:hAnsi="Book Antiqua"/>
        <w:color w:val="000000"/>
        <w:sz w:val="20"/>
        <w:szCs w:val="20"/>
        <w:shd w:val="clear" w:color="auto" w:fill="FFFFFF"/>
      </w:rPr>
      <w:t>R. C. de la C. 158</w:t>
    </w:r>
  </w:p>
  <w:p w14:paraId="0CFA552A" w14:textId="77777777" w:rsidR="00CC14E0" w:rsidRDefault="00CC1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CB0848"/>
    <w:multiLevelType w:val="multilevel"/>
    <w:tmpl w:val="EB246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EB23CF"/>
    <w:multiLevelType w:val="multilevel"/>
    <w:tmpl w:val="D0D05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6567988">
    <w:abstractNumId w:val="1"/>
  </w:num>
  <w:num w:numId="2" w16cid:durableId="360714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4E0"/>
    <w:rsid w:val="000F3CC7"/>
    <w:rsid w:val="001A3E1D"/>
    <w:rsid w:val="001F5651"/>
    <w:rsid w:val="002B7D0D"/>
    <w:rsid w:val="00310BF7"/>
    <w:rsid w:val="003211D0"/>
    <w:rsid w:val="0032198A"/>
    <w:rsid w:val="00335307"/>
    <w:rsid w:val="003A28A6"/>
    <w:rsid w:val="003A7EDA"/>
    <w:rsid w:val="003C56FF"/>
    <w:rsid w:val="004D1A86"/>
    <w:rsid w:val="004F365C"/>
    <w:rsid w:val="004F73F5"/>
    <w:rsid w:val="00525784"/>
    <w:rsid w:val="00531FD6"/>
    <w:rsid w:val="00594E0B"/>
    <w:rsid w:val="006167B9"/>
    <w:rsid w:val="0065182D"/>
    <w:rsid w:val="007663F6"/>
    <w:rsid w:val="007A5B40"/>
    <w:rsid w:val="007C7385"/>
    <w:rsid w:val="007E2D4B"/>
    <w:rsid w:val="0091083C"/>
    <w:rsid w:val="009F5E5F"/>
    <w:rsid w:val="00A31068"/>
    <w:rsid w:val="00A35F5E"/>
    <w:rsid w:val="00B5212B"/>
    <w:rsid w:val="00B5363A"/>
    <w:rsid w:val="00C6247E"/>
    <w:rsid w:val="00C7790A"/>
    <w:rsid w:val="00CC14E0"/>
    <w:rsid w:val="00D05CD5"/>
    <w:rsid w:val="00DB5F30"/>
    <w:rsid w:val="00DD171B"/>
    <w:rsid w:val="00EA2EA6"/>
    <w:rsid w:val="00EB13F3"/>
    <w:rsid w:val="00F10A60"/>
    <w:rsid w:val="00FF42DC"/>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78A680"/>
  <w15:chartTrackingRefBased/>
  <w15:docId w15:val="{074BF433-21D8-4ECE-9ECF-02318EE3B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14E0"/>
  </w:style>
  <w:style w:type="paragraph" w:styleId="Heading1">
    <w:name w:val="heading 1"/>
    <w:basedOn w:val="Normal"/>
    <w:next w:val="Normal"/>
    <w:link w:val="Heading1Char"/>
    <w:uiPriority w:val="9"/>
    <w:qFormat/>
    <w:rsid w:val="00CC14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14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14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14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14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14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14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14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14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14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14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14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14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14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14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14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14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14E0"/>
    <w:rPr>
      <w:rFonts w:eastAsiaTheme="majorEastAsia" w:cstheme="majorBidi"/>
      <w:color w:val="272727" w:themeColor="text1" w:themeTint="D8"/>
    </w:rPr>
  </w:style>
  <w:style w:type="paragraph" w:styleId="Title">
    <w:name w:val="Title"/>
    <w:basedOn w:val="Normal"/>
    <w:next w:val="Normal"/>
    <w:link w:val="TitleChar"/>
    <w:uiPriority w:val="10"/>
    <w:qFormat/>
    <w:rsid w:val="00CC14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14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14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14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14E0"/>
    <w:pPr>
      <w:spacing w:before="160"/>
      <w:jc w:val="center"/>
    </w:pPr>
    <w:rPr>
      <w:i/>
      <w:iCs/>
      <w:color w:val="404040" w:themeColor="text1" w:themeTint="BF"/>
    </w:rPr>
  </w:style>
  <w:style w:type="character" w:customStyle="1" w:styleId="QuoteChar">
    <w:name w:val="Quote Char"/>
    <w:basedOn w:val="DefaultParagraphFont"/>
    <w:link w:val="Quote"/>
    <w:uiPriority w:val="29"/>
    <w:rsid w:val="00CC14E0"/>
    <w:rPr>
      <w:i/>
      <w:iCs/>
      <w:color w:val="404040" w:themeColor="text1" w:themeTint="BF"/>
    </w:rPr>
  </w:style>
  <w:style w:type="paragraph" w:styleId="ListParagraph">
    <w:name w:val="List Paragraph"/>
    <w:basedOn w:val="Normal"/>
    <w:uiPriority w:val="34"/>
    <w:qFormat/>
    <w:rsid w:val="00CC14E0"/>
    <w:pPr>
      <w:ind w:left="720"/>
      <w:contextualSpacing/>
    </w:pPr>
  </w:style>
  <w:style w:type="character" w:styleId="IntenseEmphasis">
    <w:name w:val="Intense Emphasis"/>
    <w:basedOn w:val="DefaultParagraphFont"/>
    <w:uiPriority w:val="21"/>
    <w:qFormat/>
    <w:rsid w:val="00CC14E0"/>
    <w:rPr>
      <w:i/>
      <w:iCs/>
      <w:color w:val="0F4761" w:themeColor="accent1" w:themeShade="BF"/>
    </w:rPr>
  </w:style>
  <w:style w:type="paragraph" w:styleId="IntenseQuote">
    <w:name w:val="Intense Quote"/>
    <w:basedOn w:val="Normal"/>
    <w:next w:val="Normal"/>
    <w:link w:val="IntenseQuoteChar"/>
    <w:uiPriority w:val="30"/>
    <w:qFormat/>
    <w:rsid w:val="00CC14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14E0"/>
    <w:rPr>
      <w:i/>
      <w:iCs/>
      <w:color w:val="0F4761" w:themeColor="accent1" w:themeShade="BF"/>
    </w:rPr>
  </w:style>
  <w:style w:type="character" w:styleId="IntenseReference">
    <w:name w:val="Intense Reference"/>
    <w:basedOn w:val="DefaultParagraphFont"/>
    <w:uiPriority w:val="32"/>
    <w:qFormat/>
    <w:rsid w:val="00CC14E0"/>
    <w:rPr>
      <w:b/>
      <w:bCs/>
      <w:smallCaps/>
      <w:color w:val="0F4761" w:themeColor="accent1" w:themeShade="BF"/>
      <w:spacing w:val="5"/>
    </w:rPr>
  </w:style>
  <w:style w:type="paragraph" w:styleId="Header">
    <w:name w:val="header"/>
    <w:basedOn w:val="Normal"/>
    <w:link w:val="HeaderChar"/>
    <w:uiPriority w:val="99"/>
    <w:unhideWhenUsed/>
    <w:rsid w:val="00CC14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14E0"/>
  </w:style>
  <w:style w:type="paragraph" w:styleId="Footer">
    <w:name w:val="footer"/>
    <w:basedOn w:val="Normal"/>
    <w:link w:val="FooterChar"/>
    <w:uiPriority w:val="99"/>
    <w:unhideWhenUsed/>
    <w:rsid w:val="00CC14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14E0"/>
  </w:style>
  <w:style w:type="character" w:customStyle="1" w:styleId="normaltextrun">
    <w:name w:val="normaltextrun"/>
    <w:basedOn w:val="DefaultParagraphFont"/>
    <w:rsid w:val="00CC14E0"/>
  </w:style>
  <w:style w:type="paragraph" w:styleId="NormalWeb">
    <w:name w:val="Normal (Web)"/>
    <w:basedOn w:val="Normal"/>
    <w:uiPriority w:val="99"/>
    <w:semiHidden/>
    <w:unhideWhenUsed/>
    <w:rsid w:val="0065182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1109</Words>
  <Characters>6326</Characters>
  <Application>Microsoft Office Word</Application>
  <DocSecurity>4</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Zurys F. Fajardo Rojas</cp:lastModifiedBy>
  <cp:revision>2</cp:revision>
  <dcterms:created xsi:type="dcterms:W3CDTF">2025-11-13T19:00:00Z</dcterms:created>
  <dcterms:modified xsi:type="dcterms:W3CDTF">2025-11-13T19:00:00Z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f12b5048-7055-4fcf-900a-34d3952a708b</vt:lpwstr>
  </property>
</Properties>
</file>