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5563F" w14:textId="77777777" w:rsidR="00B82909" w:rsidRPr="00B82909" w:rsidRDefault="00B82909" w:rsidP="00AF31F6">
      <w:pPr>
        <w:tabs>
          <w:tab w:val="center" w:pos="4680"/>
        </w:tabs>
        <w:spacing w:after="0" w:line="240" w:lineRule="auto"/>
        <w:jc w:val="center"/>
        <w:rPr>
          <w:rFonts w:ascii="Book Antiqua" w:eastAsia="Times New Roman" w:hAnsi="Book Antiqua" w:cs="Times New Roman"/>
          <w:kern w:val="0"/>
          <w:sz w:val="28"/>
          <w:szCs w:val="28"/>
          <w:lang w:val="es-ES_tradnl"/>
          <w14:ligatures w14:val="none"/>
        </w:rPr>
      </w:pPr>
      <w:r w:rsidRPr="00B82909">
        <w:rPr>
          <w:rFonts w:ascii="Book Antiqua" w:eastAsia="Times New Roman" w:hAnsi="Book Antiqua" w:cs="Times New Roman"/>
          <w:kern w:val="0"/>
          <w:sz w:val="28"/>
          <w:szCs w:val="28"/>
          <w:lang w:val="es-ES_tradnl"/>
          <w14:ligatures w14:val="none"/>
        </w:rPr>
        <w:t>GOBIERNO DE PUERTO RICO</w:t>
      </w:r>
    </w:p>
    <w:p w14:paraId="0BFA6A15" w14:textId="08B17BD4" w:rsidR="00B82909" w:rsidRPr="00987AF0" w:rsidRDefault="00B82909" w:rsidP="00B82909">
      <w:pPr>
        <w:tabs>
          <w:tab w:val="left" w:pos="720"/>
          <w:tab w:val="left" w:pos="7560"/>
          <w:tab w:val="left" w:pos="8100"/>
        </w:tabs>
        <w:spacing w:after="0" w:line="240" w:lineRule="auto"/>
        <w:rPr>
          <w:rFonts w:ascii="Book Antiqua" w:eastAsia="Times New Roman" w:hAnsi="Book Antiqua" w:cs="Times New Roman"/>
          <w:kern w:val="0"/>
          <w14:ligatures w14:val="none"/>
        </w:rPr>
      </w:pPr>
      <w:r w:rsidRPr="00B82909">
        <w:rPr>
          <w:rFonts w:ascii="Book Antiqua" w:eastAsia="Times New Roman" w:hAnsi="Book Antiqua" w:cs="Times New Roman"/>
          <w:kern w:val="0"/>
          <w:lang w:val="es-ES_tradnl"/>
          <w14:ligatures w14:val="none"/>
        </w:rPr>
        <w:tab/>
      </w:r>
      <w:r w:rsidR="00AF31F6" w:rsidRPr="00987AF0">
        <w:rPr>
          <w:rFonts w:ascii="Book Antiqua" w:eastAsia="Times New Roman" w:hAnsi="Book Antiqua" w:cs="Times New Roman"/>
          <w:kern w:val="0"/>
          <w14:ligatures w14:val="none"/>
        </w:rPr>
        <w:t xml:space="preserve">20ma. </w:t>
      </w:r>
      <w:r w:rsidRPr="00987AF0">
        <w:rPr>
          <w:rFonts w:ascii="Book Antiqua" w:eastAsia="Times New Roman" w:hAnsi="Book Antiqua" w:cs="Times New Roman"/>
          <w:kern w:val="0"/>
          <w14:ligatures w14:val="none"/>
        </w:rPr>
        <w:t>Asamblea</w:t>
      </w:r>
      <w:r w:rsidRPr="00987AF0">
        <w:rPr>
          <w:rFonts w:ascii="Book Antiqua" w:eastAsia="Times New Roman" w:hAnsi="Book Antiqua" w:cs="Times New Roman"/>
          <w:kern w:val="0"/>
          <w14:ligatures w14:val="none"/>
        </w:rPr>
        <w:tab/>
      </w:r>
      <w:r w:rsidR="00AF31F6" w:rsidRPr="00987AF0">
        <w:rPr>
          <w:rFonts w:ascii="Book Antiqua" w:eastAsia="Times New Roman" w:hAnsi="Book Antiqua" w:cs="Times New Roman"/>
          <w:kern w:val="0"/>
          <w14:ligatures w14:val="none"/>
        </w:rPr>
        <w:t xml:space="preserve">2da. </w:t>
      </w:r>
      <w:r w:rsidRPr="00987AF0">
        <w:rPr>
          <w:rFonts w:ascii="Book Antiqua" w:eastAsia="Times New Roman" w:hAnsi="Book Antiqua" w:cs="Times New Roman"/>
          <w:kern w:val="0"/>
          <w14:ligatures w14:val="none"/>
        </w:rPr>
        <w:t>Sesión</w:t>
      </w:r>
    </w:p>
    <w:p w14:paraId="20C46E23" w14:textId="5414FB34" w:rsidR="00B82909" w:rsidRPr="00987AF0" w:rsidRDefault="00B82909" w:rsidP="00B82909">
      <w:pPr>
        <w:tabs>
          <w:tab w:val="left" w:pos="720"/>
          <w:tab w:val="left" w:pos="4215"/>
          <w:tab w:val="left" w:pos="5160"/>
          <w:tab w:val="left" w:pos="8100"/>
        </w:tabs>
        <w:spacing w:after="0" w:line="240" w:lineRule="auto"/>
        <w:rPr>
          <w:rFonts w:ascii="Book Antiqua" w:eastAsia="Times New Roman" w:hAnsi="Book Antiqua" w:cs="Times New Roman"/>
          <w:kern w:val="0"/>
          <w14:ligatures w14:val="none"/>
        </w:rPr>
      </w:pPr>
      <w:r w:rsidRPr="00987AF0">
        <w:rPr>
          <w:rFonts w:ascii="Book Antiqua" w:eastAsia="Times New Roman" w:hAnsi="Book Antiqua" w:cs="Times New Roman"/>
          <w:kern w:val="0"/>
          <w14:ligatures w14:val="none"/>
        </w:rPr>
        <w:tab/>
      </w:r>
      <w:r w:rsidR="00AF31F6" w:rsidRPr="00987AF0">
        <w:rPr>
          <w:rFonts w:ascii="Book Antiqua" w:eastAsia="Times New Roman" w:hAnsi="Book Antiqua" w:cs="Times New Roman"/>
          <w:kern w:val="0"/>
          <w14:ligatures w14:val="none"/>
        </w:rPr>
        <w:t xml:space="preserve">            </w:t>
      </w:r>
      <w:r w:rsidRPr="00987AF0">
        <w:rPr>
          <w:rFonts w:ascii="Book Antiqua" w:eastAsia="Times New Roman" w:hAnsi="Book Antiqua" w:cs="Times New Roman"/>
          <w:kern w:val="0"/>
          <w14:ligatures w14:val="none"/>
        </w:rPr>
        <w:t>Legislativa</w:t>
      </w:r>
      <w:r w:rsidRPr="00987AF0">
        <w:rPr>
          <w:rFonts w:ascii="Book Antiqua" w:eastAsia="Times New Roman" w:hAnsi="Book Antiqua" w:cs="Times New Roman"/>
          <w:kern w:val="0"/>
          <w14:ligatures w14:val="none"/>
        </w:rPr>
        <w:tab/>
      </w:r>
      <w:r w:rsidRPr="00987AF0">
        <w:rPr>
          <w:rFonts w:ascii="Book Antiqua" w:eastAsia="Times New Roman" w:hAnsi="Book Antiqua" w:cs="Times New Roman"/>
          <w:kern w:val="0"/>
          <w14:ligatures w14:val="none"/>
        </w:rPr>
        <w:tab/>
      </w:r>
      <w:r w:rsidRPr="00987AF0">
        <w:rPr>
          <w:rFonts w:ascii="Book Antiqua" w:eastAsia="Times New Roman" w:hAnsi="Book Antiqua" w:cs="Times New Roman"/>
          <w:kern w:val="0"/>
          <w14:ligatures w14:val="none"/>
        </w:rPr>
        <w:tab/>
        <w:t>Ordinaria</w:t>
      </w:r>
    </w:p>
    <w:p w14:paraId="2AC20BA2" w14:textId="77777777" w:rsidR="00B82909" w:rsidRPr="00987AF0" w:rsidRDefault="00B82909" w:rsidP="00B82909">
      <w:pPr>
        <w:spacing w:after="0" w:line="360" w:lineRule="auto"/>
        <w:jc w:val="center"/>
        <w:rPr>
          <w:rFonts w:ascii="Book Antiqua" w:eastAsia="Times New Roman" w:hAnsi="Book Antiqua" w:cs="Times New Roman"/>
          <w:b/>
          <w:kern w:val="0"/>
          <w:sz w:val="36"/>
          <w:szCs w:val="36"/>
          <w14:ligatures w14:val="none"/>
        </w:rPr>
      </w:pPr>
    </w:p>
    <w:p w14:paraId="7145144C" w14:textId="77777777" w:rsidR="00B82909" w:rsidRPr="00B82909" w:rsidRDefault="00B82909" w:rsidP="00B82909">
      <w:pPr>
        <w:spacing w:after="0" w:line="360" w:lineRule="auto"/>
        <w:jc w:val="center"/>
        <w:rPr>
          <w:rFonts w:ascii="Book Antiqua" w:eastAsia="Times New Roman" w:hAnsi="Book Antiqua" w:cs="Times New Roman"/>
          <w:b/>
          <w:kern w:val="0"/>
          <w:sz w:val="36"/>
          <w:szCs w:val="36"/>
          <w:lang w:val="es-ES_tradnl"/>
          <w14:ligatures w14:val="none"/>
        </w:rPr>
      </w:pPr>
      <w:r w:rsidRPr="00B82909">
        <w:rPr>
          <w:rFonts w:ascii="Book Antiqua" w:eastAsia="Times New Roman" w:hAnsi="Book Antiqua" w:cs="Times New Roman"/>
          <w:b/>
          <w:kern w:val="0"/>
          <w:sz w:val="36"/>
          <w:szCs w:val="36"/>
          <w:lang w:val="es-ES_tradnl"/>
          <w14:ligatures w14:val="none"/>
        </w:rPr>
        <w:t>CÁMARA DE REPRESENTANTES</w:t>
      </w:r>
    </w:p>
    <w:p w14:paraId="0228AEA2" w14:textId="00ECF333" w:rsidR="00B82909" w:rsidRPr="00B82909" w:rsidRDefault="00B82909" w:rsidP="00B82909">
      <w:pPr>
        <w:spacing w:after="0" w:line="360" w:lineRule="auto"/>
        <w:jc w:val="center"/>
        <w:rPr>
          <w:rFonts w:ascii="Book Antiqua" w:eastAsia="Times New Roman" w:hAnsi="Book Antiqua" w:cs="Times New Roman"/>
          <w:b/>
          <w:kern w:val="0"/>
          <w:sz w:val="52"/>
          <w:szCs w:val="52"/>
          <w:lang w:val="es-ES_tradnl"/>
          <w14:ligatures w14:val="none"/>
        </w:rPr>
      </w:pPr>
      <w:r w:rsidRPr="00B82909">
        <w:rPr>
          <w:rFonts w:ascii="Book Antiqua" w:eastAsia="Times New Roman" w:hAnsi="Book Antiqua" w:cs="Times New Roman"/>
          <w:b/>
          <w:kern w:val="0"/>
          <w:sz w:val="52"/>
          <w:szCs w:val="52"/>
          <w:lang w:val="es-ES_tradnl"/>
          <w14:ligatures w14:val="none"/>
        </w:rPr>
        <w:t xml:space="preserve">P. de la C. </w:t>
      </w:r>
      <w:r>
        <w:rPr>
          <w:rFonts w:ascii="Book Antiqua" w:eastAsia="Times New Roman" w:hAnsi="Book Antiqua" w:cs="Times New Roman"/>
          <w:b/>
          <w:kern w:val="0"/>
          <w:sz w:val="52"/>
          <w:szCs w:val="52"/>
          <w:lang w:val="es-ES_tradnl"/>
          <w14:ligatures w14:val="none"/>
        </w:rPr>
        <w:t>736</w:t>
      </w:r>
    </w:p>
    <w:p w14:paraId="6DC03C9D" w14:textId="77777777" w:rsidR="00B82909" w:rsidRPr="00987AF0" w:rsidRDefault="00B82909" w:rsidP="00B82909">
      <w:pPr>
        <w:spacing w:after="0" w:line="360" w:lineRule="auto"/>
        <w:jc w:val="center"/>
        <w:rPr>
          <w:rFonts w:ascii="Book Antiqua" w:eastAsia="Times New Roman" w:hAnsi="Book Antiqua" w:cs="Times New Roman"/>
          <w:b/>
          <w:kern w:val="0"/>
          <w:sz w:val="36"/>
          <w:szCs w:val="36"/>
          <w:lang w:val="es-ES_tradnl"/>
          <w14:ligatures w14:val="none"/>
        </w:rPr>
      </w:pPr>
      <w:r w:rsidRPr="00987AF0">
        <w:rPr>
          <w:rFonts w:ascii="Book Antiqua" w:eastAsia="Times New Roman" w:hAnsi="Book Antiqua" w:cs="Times New Roman"/>
          <w:b/>
          <w:kern w:val="0"/>
          <w:sz w:val="36"/>
          <w:szCs w:val="36"/>
          <w:lang w:val="es-ES_tradnl"/>
          <w14:ligatures w14:val="none"/>
        </w:rPr>
        <w:t>INFORME POSITIVO</w:t>
      </w:r>
    </w:p>
    <w:p w14:paraId="02E242FC" w14:textId="28B2073F" w:rsidR="00B82909" w:rsidRPr="00B82909" w:rsidRDefault="00AB76A8" w:rsidP="00B82909">
      <w:pPr>
        <w:tabs>
          <w:tab w:val="left" w:pos="3615"/>
          <w:tab w:val="center" w:pos="4680"/>
        </w:tabs>
        <w:spacing w:after="0" w:line="360" w:lineRule="auto"/>
        <w:jc w:val="center"/>
        <w:rPr>
          <w:rFonts w:ascii="Book Antiqua" w:eastAsia="Times New Roman" w:hAnsi="Book Antiqua" w:cs="Times New Roman"/>
          <w:b/>
          <w:kern w:val="0"/>
          <w:lang w:val="es-ES_tradnl"/>
          <w14:ligatures w14:val="none"/>
        </w:rPr>
      </w:pPr>
      <w:r>
        <w:rPr>
          <w:rFonts w:ascii="Book Antiqua" w:eastAsia="Times New Roman" w:hAnsi="Book Antiqua" w:cs="Times New Roman"/>
          <w:kern w:val="0"/>
          <w:lang w:val="es-ES_tradnl"/>
          <w14:ligatures w14:val="none"/>
        </w:rPr>
        <w:t>24</w:t>
      </w:r>
      <w:r w:rsidR="00B82909">
        <w:rPr>
          <w:rFonts w:ascii="Book Antiqua" w:eastAsia="Times New Roman" w:hAnsi="Book Antiqua" w:cs="Times New Roman"/>
          <w:kern w:val="0"/>
          <w:lang w:val="es-ES_tradnl"/>
          <w14:ligatures w14:val="none"/>
        </w:rPr>
        <w:t xml:space="preserve"> septiembre 2025</w:t>
      </w:r>
    </w:p>
    <w:p w14:paraId="3D306FF9" w14:textId="77777777" w:rsidR="00B82909" w:rsidRPr="00B82909" w:rsidRDefault="00B82909" w:rsidP="00B82909">
      <w:pPr>
        <w:spacing w:after="0" w:line="240" w:lineRule="auto"/>
        <w:jc w:val="both"/>
        <w:rPr>
          <w:rFonts w:ascii="Book Antiqua" w:eastAsia="Times New Roman" w:hAnsi="Book Antiqua" w:cs="Times New Roman"/>
          <w:b/>
          <w:kern w:val="0"/>
          <w:lang w:val="es-ES_tradnl"/>
          <w14:ligatures w14:val="none"/>
        </w:rPr>
      </w:pPr>
    </w:p>
    <w:p w14:paraId="064486AB" w14:textId="77777777" w:rsidR="00B82909" w:rsidRPr="00B82909" w:rsidRDefault="00B82909" w:rsidP="00B82909">
      <w:pPr>
        <w:spacing w:after="120" w:line="276" w:lineRule="auto"/>
        <w:jc w:val="both"/>
        <w:rPr>
          <w:rFonts w:ascii="Book Antiqua" w:eastAsia="Times New Roman" w:hAnsi="Book Antiqua" w:cs="Times New Roman"/>
          <w:b/>
          <w:kern w:val="0"/>
          <w:lang w:val="es-ES_tradnl"/>
          <w14:ligatures w14:val="none"/>
        </w:rPr>
      </w:pPr>
      <w:r w:rsidRPr="00B82909">
        <w:rPr>
          <w:rFonts w:ascii="Book Antiqua" w:eastAsia="Times New Roman" w:hAnsi="Book Antiqua" w:cs="Times New Roman"/>
          <w:b/>
          <w:kern w:val="0"/>
          <w:lang w:val="es-ES_tradnl"/>
          <w14:ligatures w14:val="none"/>
        </w:rPr>
        <w:t>A LA CÁMARA DE REPRESENTANTES DE PUERTO RICO</w:t>
      </w:r>
    </w:p>
    <w:p w14:paraId="0DEF051F" w14:textId="6E01B258" w:rsidR="00B82909" w:rsidRPr="00B82909" w:rsidRDefault="005F1070" w:rsidP="00AF31F6">
      <w:pPr>
        <w:spacing w:after="0" w:line="276" w:lineRule="auto"/>
        <w:jc w:val="both"/>
        <w:rPr>
          <w:rFonts w:ascii="Book Antiqua" w:eastAsia="Times New Roman" w:hAnsi="Book Antiqua" w:cs="Times New Roman"/>
          <w:kern w:val="0"/>
          <w14:ligatures w14:val="none"/>
        </w:rPr>
      </w:pPr>
      <w:r w:rsidRPr="005F1070">
        <w:rPr>
          <w:rFonts w:ascii="Book Antiqua" w:eastAsia="Times New Roman" w:hAnsi="Book Antiqua" w:cs="Times New Roman"/>
          <w:kern w:val="0"/>
          <w14:ligatures w14:val="none"/>
        </w:rPr>
        <w:t xml:space="preserve">La Comisión de Hacienda de la Cámara de Representantes, previo estudio, análisis y consideración del Proyecto de la Cámara 736, y en cumplimiento con las disposiciones del Reglamento de la Cámara de Representantes, tiene a bien recomendar a este Alto Cuerpo la aprobación de esta medida, con las enmiendas contenidas en el </w:t>
      </w:r>
      <w:proofErr w:type="spellStart"/>
      <w:r w:rsidRPr="005F1070">
        <w:rPr>
          <w:rFonts w:ascii="Book Antiqua" w:eastAsia="Times New Roman" w:hAnsi="Book Antiqua" w:cs="Times New Roman"/>
          <w:kern w:val="0"/>
          <w14:ligatures w14:val="none"/>
        </w:rPr>
        <w:t>entirillado</w:t>
      </w:r>
      <w:proofErr w:type="spellEnd"/>
      <w:r w:rsidRPr="005F1070">
        <w:rPr>
          <w:rFonts w:ascii="Book Antiqua" w:eastAsia="Times New Roman" w:hAnsi="Book Antiqua" w:cs="Times New Roman"/>
          <w:kern w:val="0"/>
          <w14:ligatures w14:val="none"/>
        </w:rPr>
        <w:t xml:space="preserve"> electrónico que se adjunta.</w:t>
      </w:r>
    </w:p>
    <w:p w14:paraId="25A4362D" w14:textId="77777777" w:rsidR="00B82909" w:rsidRPr="00B82909" w:rsidRDefault="00B82909" w:rsidP="00B82909">
      <w:pPr>
        <w:spacing w:after="120" w:line="276" w:lineRule="auto"/>
        <w:rPr>
          <w:rFonts w:ascii="Book Antiqua" w:eastAsia="Times New Roman" w:hAnsi="Book Antiqua" w:cs="Times New Roman"/>
          <w:b/>
          <w:kern w:val="0"/>
          <w:szCs w:val="32"/>
          <w:lang w:val="es-ES_tradnl"/>
          <w14:ligatures w14:val="none"/>
        </w:rPr>
      </w:pPr>
    </w:p>
    <w:p w14:paraId="27BF33DE" w14:textId="77777777" w:rsidR="00B82909" w:rsidRPr="00B82909" w:rsidRDefault="00B82909" w:rsidP="00B82909">
      <w:pPr>
        <w:spacing w:after="120" w:line="276" w:lineRule="auto"/>
        <w:jc w:val="center"/>
        <w:rPr>
          <w:rFonts w:ascii="Book Antiqua" w:eastAsia="Times New Roman" w:hAnsi="Book Antiqua" w:cs="Times New Roman"/>
          <w:b/>
          <w:kern w:val="0"/>
          <w:lang w:val="es-ES_tradnl"/>
          <w14:ligatures w14:val="none"/>
        </w:rPr>
      </w:pPr>
      <w:r w:rsidRPr="00B82909">
        <w:rPr>
          <w:rFonts w:ascii="Book Antiqua" w:eastAsia="Times New Roman" w:hAnsi="Book Antiqua" w:cs="Times New Roman"/>
          <w:b/>
          <w:kern w:val="0"/>
          <w:lang w:val="es-ES_tradnl"/>
          <w14:ligatures w14:val="none"/>
        </w:rPr>
        <w:t>ALCANCE DE LA MEDIDA</w:t>
      </w:r>
    </w:p>
    <w:p w14:paraId="6D35851E" w14:textId="77777777" w:rsidR="00B82909" w:rsidRPr="00B82909" w:rsidRDefault="00B82909" w:rsidP="00B82909">
      <w:pPr>
        <w:spacing w:after="120" w:line="276" w:lineRule="auto"/>
        <w:jc w:val="center"/>
        <w:rPr>
          <w:rFonts w:ascii="Book Antiqua" w:eastAsia="Times New Roman" w:hAnsi="Book Antiqua" w:cs="Times New Roman"/>
          <w:b/>
          <w:kern w:val="0"/>
          <w:lang w:val="es-ES_tradnl"/>
          <w14:ligatures w14:val="none"/>
        </w:rPr>
      </w:pPr>
    </w:p>
    <w:p w14:paraId="5C33B289" w14:textId="6296294A" w:rsidR="005F1070" w:rsidRPr="005F1070" w:rsidRDefault="00AA7C18" w:rsidP="00AF31F6">
      <w:pPr>
        <w:spacing w:after="120" w:line="276" w:lineRule="auto"/>
        <w:jc w:val="both"/>
        <w:rPr>
          <w:rFonts w:ascii="Book Antiqua" w:eastAsia="Times New Roman" w:hAnsi="Book Antiqua" w:cs="Times New Roman"/>
          <w:kern w:val="0"/>
          <w:szCs w:val="20"/>
          <w14:ligatures w14:val="none"/>
        </w:rPr>
      </w:pPr>
      <w:r>
        <w:rPr>
          <w:rFonts w:ascii="Book Antiqua" w:eastAsia="Times New Roman" w:hAnsi="Book Antiqua" w:cs="Times New Roman"/>
          <w:kern w:val="0"/>
          <w:szCs w:val="20"/>
          <w14:ligatures w14:val="none"/>
        </w:rPr>
        <w:t xml:space="preserve">El </w:t>
      </w:r>
      <w:r w:rsidR="005F1070" w:rsidRPr="005F1070">
        <w:rPr>
          <w:rFonts w:ascii="Book Antiqua" w:eastAsia="Times New Roman" w:hAnsi="Book Antiqua" w:cs="Times New Roman"/>
          <w:kern w:val="0"/>
          <w:szCs w:val="20"/>
          <w14:ligatures w14:val="none"/>
        </w:rPr>
        <w:t>Proyecto de la Cámara 736 propone enmendar la Ley 42-2023, conocida como “Ley de Capacitación y Planificación para la Seguridad Financiera y el Desarrollo Económico de la Fuerza Laboral en Puerto Rico”, con el fin de fortalecer su implementación mediante ajustes estructurales y administrativos. Esta medida busca fomentar el ahorro voluntario para el retiro entre los trabajadores del sector privado, especialmente aquellos que no cuentan con acceso a planes tradicionales de pensión.</w:t>
      </w:r>
    </w:p>
    <w:p w14:paraId="465508E9" w14:textId="77777777" w:rsidR="005F1070" w:rsidRPr="005F1070" w:rsidRDefault="005F1070" w:rsidP="005F1070">
      <w:pPr>
        <w:spacing w:after="120" w:line="276" w:lineRule="auto"/>
        <w:jc w:val="both"/>
        <w:rPr>
          <w:rFonts w:ascii="Book Antiqua" w:eastAsia="Times New Roman" w:hAnsi="Book Antiqua" w:cs="Times New Roman"/>
          <w:kern w:val="0"/>
          <w:szCs w:val="20"/>
          <w14:ligatures w14:val="none"/>
        </w:rPr>
      </w:pPr>
      <w:r w:rsidRPr="005F1070">
        <w:rPr>
          <w:rFonts w:ascii="Book Antiqua" w:eastAsia="Times New Roman" w:hAnsi="Book Antiqua" w:cs="Times New Roman"/>
          <w:kern w:val="0"/>
          <w:szCs w:val="20"/>
          <w14:ligatures w14:val="none"/>
        </w:rPr>
        <w:t>Entre los cambios propuestos se encuentran:</w:t>
      </w:r>
    </w:p>
    <w:p w14:paraId="4743B600" w14:textId="77777777" w:rsidR="005F1070" w:rsidRPr="005F1070" w:rsidRDefault="005F1070" w:rsidP="005F1070">
      <w:pPr>
        <w:numPr>
          <w:ilvl w:val="0"/>
          <w:numId w:val="4"/>
        </w:numPr>
        <w:spacing w:after="120" w:line="276" w:lineRule="auto"/>
        <w:jc w:val="both"/>
        <w:rPr>
          <w:rFonts w:ascii="Book Antiqua" w:eastAsia="Times New Roman" w:hAnsi="Book Antiqua" w:cs="Times New Roman"/>
          <w:kern w:val="0"/>
          <w:szCs w:val="20"/>
          <w14:ligatures w14:val="none"/>
        </w:rPr>
      </w:pPr>
      <w:r w:rsidRPr="005F1070">
        <w:rPr>
          <w:rFonts w:ascii="Book Antiqua" w:eastAsia="Times New Roman" w:hAnsi="Book Antiqua" w:cs="Times New Roman"/>
          <w:kern w:val="0"/>
          <w:szCs w:val="20"/>
          <w14:ligatures w14:val="none"/>
        </w:rPr>
        <w:t>Designar al Departamento de Hacienda como la agencia responsable del desarrollo e implementación del programa voluntario de ahorro para el retiro.</w:t>
      </w:r>
    </w:p>
    <w:p w14:paraId="0BA9F24C" w14:textId="77777777" w:rsidR="005F1070" w:rsidRPr="005F1070" w:rsidRDefault="005F1070" w:rsidP="005F1070">
      <w:pPr>
        <w:numPr>
          <w:ilvl w:val="0"/>
          <w:numId w:val="4"/>
        </w:numPr>
        <w:spacing w:after="120" w:line="276" w:lineRule="auto"/>
        <w:jc w:val="both"/>
        <w:rPr>
          <w:rFonts w:ascii="Book Antiqua" w:eastAsia="Times New Roman" w:hAnsi="Book Antiqua" w:cs="Times New Roman"/>
          <w:kern w:val="0"/>
          <w:szCs w:val="20"/>
          <w14:ligatures w14:val="none"/>
        </w:rPr>
      </w:pPr>
      <w:r w:rsidRPr="005F1070">
        <w:rPr>
          <w:rFonts w:ascii="Book Antiqua" w:eastAsia="Times New Roman" w:hAnsi="Book Antiqua" w:cs="Times New Roman"/>
          <w:kern w:val="0"/>
          <w:szCs w:val="20"/>
          <w14:ligatures w14:val="none"/>
        </w:rPr>
        <w:t xml:space="preserve">Autorizar al </w:t>
      </w:r>
      <w:proofErr w:type="gramStart"/>
      <w:r w:rsidRPr="005F1070">
        <w:rPr>
          <w:rFonts w:ascii="Book Antiqua" w:eastAsia="Times New Roman" w:hAnsi="Book Antiqua" w:cs="Times New Roman"/>
          <w:kern w:val="0"/>
          <w:szCs w:val="20"/>
          <w14:ligatures w14:val="none"/>
        </w:rPr>
        <w:t>Secretario</w:t>
      </w:r>
      <w:proofErr w:type="gramEnd"/>
      <w:r w:rsidRPr="005F1070">
        <w:rPr>
          <w:rFonts w:ascii="Book Antiqua" w:eastAsia="Times New Roman" w:hAnsi="Book Antiqua" w:cs="Times New Roman"/>
          <w:kern w:val="0"/>
          <w:szCs w:val="20"/>
          <w14:ligatures w14:val="none"/>
        </w:rPr>
        <w:t xml:space="preserve"> de Hacienda a promulgar los reglamentos necesarios.</w:t>
      </w:r>
    </w:p>
    <w:p w14:paraId="12C88731" w14:textId="75696AE5" w:rsidR="00B82909" w:rsidRPr="00B82909" w:rsidRDefault="005F1070" w:rsidP="005F1070">
      <w:pPr>
        <w:numPr>
          <w:ilvl w:val="0"/>
          <w:numId w:val="4"/>
        </w:numPr>
        <w:spacing w:after="120" w:line="276" w:lineRule="auto"/>
        <w:jc w:val="both"/>
        <w:rPr>
          <w:rFonts w:ascii="Book Antiqua" w:eastAsia="Times New Roman" w:hAnsi="Book Antiqua" w:cs="Times New Roman"/>
          <w:kern w:val="0"/>
          <w:szCs w:val="20"/>
          <w14:ligatures w14:val="none"/>
        </w:rPr>
      </w:pPr>
      <w:r w:rsidRPr="005F1070">
        <w:rPr>
          <w:rFonts w:ascii="Book Antiqua" w:eastAsia="Times New Roman" w:hAnsi="Book Antiqua" w:cs="Times New Roman"/>
          <w:kern w:val="0"/>
          <w:szCs w:val="20"/>
          <w14:ligatures w14:val="none"/>
        </w:rPr>
        <w:t>Modificar la composición del Grupo Especial de Trabajo para incluir entidades con peritaje en retiro, como AARP Puerto Rico.</w:t>
      </w:r>
    </w:p>
    <w:p w14:paraId="31F71921" w14:textId="77777777" w:rsidR="00B82909" w:rsidRPr="00B82909" w:rsidRDefault="00B82909" w:rsidP="00B82909">
      <w:pPr>
        <w:spacing w:after="120" w:line="276" w:lineRule="auto"/>
        <w:jc w:val="both"/>
        <w:rPr>
          <w:rFonts w:ascii="Book Antiqua" w:eastAsia="Times New Roman" w:hAnsi="Book Antiqua" w:cs="Times New Roman"/>
          <w:kern w:val="0"/>
          <w:lang w:val="es-ES_tradnl"/>
          <w14:ligatures w14:val="none"/>
        </w:rPr>
      </w:pPr>
    </w:p>
    <w:p w14:paraId="6F8BC58D" w14:textId="77777777" w:rsidR="00B82909" w:rsidRPr="00B82909" w:rsidRDefault="00B82909" w:rsidP="00B82909">
      <w:pPr>
        <w:spacing w:after="120" w:line="276" w:lineRule="auto"/>
        <w:jc w:val="both"/>
        <w:rPr>
          <w:rFonts w:ascii="Book Antiqua" w:eastAsia="Times New Roman" w:hAnsi="Book Antiqua" w:cs="Times New Roman"/>
          <w:kern w:val="0"/>
          <w:szCs w:val="20"/>
          <w:lang w:val="es-ES_tradnl"/>
          <w14:ligatures w14:val="none"/>
        </w:rPr>
      </w:pPr>
    </w:p>
    <w:p w14:paraId="6026A5C3" w14:textId="77777777" w:rsidR="00B82909" w:rsidRPr="00B82909" w:rsidRDefault="00B82909" w:rsidP="00B82909">
      <w:pPr>
        <w:spacing w:before="100" w:beforeAutospacing="1" w:after="120" w:line="276" w:lineRule="auto"/>
        <w:jc w:val="center"/>
        <w:rPr>
          <w:rFonts w:ascii="Book Antiqua" w:eastAsia="Times New Roman" w:hAnsi="Book Antiqua" w:cs="Times New Roman"/>
          <w:b/>
          <w:kern w:val="0"/>
          <w:lang w:val="es-ES_tradnl"/>
          <w14:ligatures w14:val="none"/>
        </w:rPr>
      </w:pPr>
      <w:r w:rsidRPr="00B82909">
        <w:rPr>
          <w:rFonts w:ascii="Book Antiqua" w:eastAsia="Times New Roman" w:hAnsi="Book Antiqua" w:cs="Times New Roman"/>
          <w:b/>
          <w:kern w:val="0"/>
          <w:lang w:val="es-ES_tradnl"/>
          <w14:ligatures w14:val="none"/>
        </w:rPr>
        <w:t>ANÁLISIS DE LA MEDIDA</w:t>
      </w:r>
    </w:p>
    <w:p w14:paraId="7674445F" w14:textId="77777777" w:rsidR="005F1070" w:rsidRPr="005F1070" w:rsidRDefault="005F1070" w:rsidP="00C76C82">
      <w:pPr>
        <w:spacing w:before="100" w:beforeAutospacing="1" w:after="120" w:line="276" w:lineRule="auto"/>
        <w:jc w:val="both"/>
        <w:rPr>
          <w:rFonts w:ascii="Book Antiqua" w:eastAsia="Times New Roman" w:hAnsi="Book Antiqua" w:cs="Times New Roman"/>
          <w:kern w:val="0"/>
          <w14:ligatures w14:val="none"/>
        </w:rPr>
      </w:pPr>
      <w:r w:rsidRPr="005F1070">
        <w:rPr>
          <w:rFonts w:ascii="Book Antiqua" w:eastAsia="Times New Roman" w:hAnsi="Book Antiqua" w:cs="Times New Roman"/>
          <w:kern w:val="0"/>
          <w14:ligatures w14:val="none"/>
        </w:rPr>
        <w:t>La seguridad financiera en la vejez es uno de los retos sociales más apremiantes en Puerto Rico. Más del 60% de los beneficiarios del Seguro Social en la Isla dependen exclusivamente de esa pensión como fuente de ingreso, lo que evidencia la necesidad de crear mecanismos accesibles de ahorro para el retiro.</w:t>
      </w:r>
    </w:p>
    <w:p w14:paraId="656FE1E0" w14:textId="77777777" w:rsidR="005F1070" w:rsidRDefault="005F1070" w:rsidP="005F1070">
      <w:pPr>
        <w:spacing w:before="100" w:beforeAutospacing="1" w:after="120" w:line="276" w:lineRule="auto"/>
        <w:jc w:val="both"/>
        <w:rPr>
          <w:rFonts w:ascii="Book Antiqua" w:eastAsia="Times New Roman" w:hAnsi="Book Antiqua" w:cs="Times New Roman"/>
          <w:kern w:val="0"/>
          <w14:ligatures w14:val="none"/>
        </w:rPr>
      </w:pPr>
      <w:r w:rsidRPr="005F1070">
        <w:rPr>
          <w:rFonts w:ascii="Book Antiqua" w:eastAsia="Times New Roman" w:hAnsi="Book Antiqua" w:cs="Times New Roman"/>
          <w:kern w:val="0"/>
          <w14:ligatures w14:val="none"/>
        </w:rPr>
        <w:t>La medida reconoce que el Estado tiene el deber de facilitar herramientas que promuevan la autosuficiencia económica de sus ciudadanos. Al igual que se ha hecho en otras jurisdicciones, se propone un modelo voluntario de ahorro con participación automática y opción de exclusión, que permita a los trabajadores acumular fondos para su retiro sin depender exclusivamente del sistema público.</w:t>
      </w:r>
    </w:p>
    <w:p w14:paraId="6366DC5D" w14:textId="77777777" w:rsidR="00FB24F5" w:rsidRPr="00AF31F6" w:rsidRDefault="00FB24F5" w:rsidP="00FB24F5">
      <w:pPr>
        <w:spacing w:before="100" w:beforeAutospacing="1" w:after="120" w:line="276" w:lineRule="auto"/>
        <w:jc w:val="center"/>
        <w:rPr>
          <w:rFonts w:ascii="Book Antiqua" w:eastAsia="Times New Roman" w:hAnsi="Book Antiqua" w:cs="Times New Roman"/>
          <w:b/>
          <w:bCs/>
          <w:kern w:val="0"/>
          <w14:ligatures w14:val="none"/>
        </w:rPr>
      </w:pPr>
      <w:r w:rsidRPr="00FB24F5">
        <w:rPr>
          <w:rFonts w:ascii="Book Antiqua" w:eastAsia="Times New Roman" w:hAnsi="Book Antiqua" w:cs="Times New Roman"/>
          <w:b/>
          <w:bCs/>
          <w:kern w:val="0"/>
          <w14:ligatures w14:val="none"/>
        </w:rPr>
        <w:t>ANÁLISIS DE PONENCIAS</w:t>
      </w:r>
    </w:p>
    <w:p w14:paraId="0863E637" w14:textId="377D23B0" w:rsidR="00AF31F6" w:rsidRPr="00AF31F6" w:rsidRDefault="00AF31F6" w:rsidP="00AF31F6">
      <w:pPr>
        <w:spacing w:before="100" w:beforeAutospacing="1" w:after="120" w:line="276" w:lineRule="auto"/>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Esta Comisión solicitó memoriales explicativos sobre este Proyecto al Departamento de Hacienda, la </w:t>
      </w:r>
      <w:r w:rsidRPr="00FB24F5">
        <w:rPr>
          <w:rFonts w:ascii="Book Antiqua" w:eastAsia="Times New Roman" w:hAnsi="Book Antiqua" w:cs="Times New Roman"/>
          <w:kern w:val="0"/>
          <w14:ligatures w14:val="none"/>
        </w:rPr>
        <w:t>Autoridad de Asesoría Financiera y Agencia Fiscal (AAFAF)</w:t>
      </w:r>
      <w:r>
        <w:rPr>
          <w:rFonts w:ascii="Book Antiqua" w:eastAsia="Times New Roman" w:hAnsi="Book Antiqua" w:cs="Times New Roman"/>
          <w:kern w:val="0"/>
          <w14:ligatures w14:val="none"/>
        </w:rPr>
        <w:t xml:space="preserve">, la Oficina de Gerencia y Presupuesto, la Oficina del Comisionado de Instituciones Financieras y la American </w:t>
      </w:r>
      <w:proofErr w:type="spellStart"/>
      <w:r>
        <w:rPr>
          <w:rFonts w:ascii="Book Antiqua" w:eastAsia="Times New Roman" w:hAnsi="Book Antiqua" w:cs="Times New Roman"/>
          <w:kern w:val="0"/>
          <w14:ligatures w14:val="none"/>
        </w:rPr>
        <w:t>Association</w:t>
      </w:r>
      <w:proofErr w:type="spellEnd"/>
      <w:r>
        <w:rPr>
          <w:rFonts w:ascii="Book Antiqua" w:eastAsia="Times New Roman" w:hAnsi="Book Antiqua" w:cs="Times New Roman"/>
          <w:kern w:val="0"/>
          <w14:ligatures w14:val="none"/>
        </w:rPr>
        <w:t xml:space="preserve"> </w:t>
      </w:r>
      <w:proofErr w:type="spellStart"/>
      <w:r>
        <w:rPr>
          <w:rFonts w:ascii="Book Antiqua" w:eastAsia="Times New Roman" w:hAnsi="Book Antiqua" w:cs="Times New Roman"/>
          <w:kern w:val="0"/>
          <w14:ligatures w14:val="none"/>
        </w:rPr>
        <w:t>of</w:t>
      </w:r>
      <w:proofErr w:type="spellEnd"/>
      <w:r>
        <w:rPr>
          <w:rFonts w:ascii="Book Antiqua" w:eastAsia="Times New Roman" w:hAnsi="Book Antiqua" w:cs="Times New Roman"/>
          <w:kern w:val="0"/>
          <w14:ligatures w14:val="none"/>
        </w:rPr>
        <w:t xml:space="preserve"> </w:t>
      </w:r>
      <w:proofErr w:type="spellStart"/>
      <w:r>
        <w:rPr>
          <w:rFonts w:ascii="Book Antiqua" w:eastAsia="Times New Roman" w:hAnsi="Book Antiqua" w:cs="Times New Roman"/>
          <w:kern w:val="0"/>
          <w14:ligatures w14:val="none"/>
        </w:rPr>
        <w:t>Retired</w:t>
      </w:r>
      <w:proofErr w:type="spellEnd"/>
      <w:r>
        <w:rPr>
          <w:rFonts w:ascii="Book Antiqua" w:eastAsia="Times New Roman" w:hAnsi="Book Antiqua" w:cs="Times New Roman"/>
          <w:kern w:val="0"/>
          <w14:ligatures w14:val="none"/>
        </w:rPr>
        <w:t xml:space="preserve"> </w:t>
      </w:r>
      <w:proofErr w:type="spellStart"/>
      <w:r>
        <w:rPr>
          <w:rFonts w:ascii="Book Antiqua" w:eastAsia="Times New Roman" w:hAnsi="Book Antiqua" w:cs="Times New Roman"/>
          <w:kern w:val="0"/>
          <w14:ligatures w14:val="none"/>
        </w:rPr>
        <w:t>Persons</w:t>
      </w:r>
      <w:proofErr w:type="spellEnd"/>
      <w:r>
        <w:rPr>
          <w:rFonts w:ascii="Book Antiqua" w:eastAsia="Times New Roman" w:hAnsi="Book Antiqua" w:cs="Times New Roman"/>
          <w:kern w:val="0"/>
          <w14:ligatures w14:val="none"/>
        </w:rPr>
        <w:t xml:space="preserve"> (AARP).  Al momento de la redacción de este informe la Comisión recibió los memoriales explicativos de la AAFAF y de la AARP.</w:t>
      </w:r>
    </w:p>
    <w:p w14:paraId="3F11D4D3" w14:textId="4779809C" w:rsidR="00FB24F5" w:rsidRPr="00AF31F6" w:rsidRDefault="00AF31F6" w:rsidP="00AF31F6">
      <w:pPr>
        <w:spacing w:before="100" w:beforeAutospacing="1" w:after="120" w:line="276" w:lineRule="auto"/>
        <w:jc w:val="center"/>
        <w:rPr>
          <w:rFonts w:ascii="Book Antiqua" w:eastAsia="Times New Roman" w:hAnsi="Book Antiqua" w:cs="Times New Roman"/>
          <w:b/>
          <w:bCs/>
          <w:kern w:val="0"/>
          <w14:ligatures w14:val="none"/>
        </w:rPr>
      </w:pPr>
      <w:r w:rsidRPr="00AF31F6">
        <w:rPr>
          <w:rFonts w:ascii="Book Antiqua" w:eastAsia="Times New Roman" w:hAnsi="Book Antiqua" w:cs="Times New Roman"/>
          <w:b/>
          <w:bCs/>
          <w:kern w:val="0"/>
          <w14:ligatures w14:val="none"/>
        </w:rPr>
        <w:t>Autoridad de Asesoría Financiera y Agencia Fiscal (AAFAF)</w:t>
      </w:r>
    </w:p>
    <w:p w14:paraId="7C20C2BC" w14:textId="28C8EBFB" w:rsidR="00FB24F5" w:rsidRPr="00FB24F5" w:rsidRDefault="00FB24F5" w:rsidP="00AF31F6">
      <w:pPr>
        <w:spacing w:before="100" w:beforeAutospacing="1" w:after="120" w:line="276" w:lineRule="auto"/>
        <w:jc w:val="both"/>
        <w:rPr>
          <w:rFonts w:ascii="Book Antiqua" w:eastAsia="Times New Roman" w:hAnsi="Book Antiqua" w:cs="Times New Roman"/>
          <w:kern w:val="0"/>
          <w14:ligatures w14:val="none"/>
        </w:rPr>
      </w:pPr>
      <w:r w:rsidRPr="00FB24F5">
        <w:rPr>
          <w:rFonts w:ascii="Book Antiqua" w:eastAsia="Times New Roman" w:hAnsi="Book Antiqua" w:cs="Times New Roman"/>
          <w:kern w:val="0"/>
          <w14:ligatures w14:val="none"/>
        </w:rPr>
        <w:t>La Autoridad de Asesoría Financiera y Agencia Fiscal (AAFAF) respalda la medida y reconoce que el Departamento de Hacienda, por su rol contributivo y experiencia análoga al Tesoro federal, es idóneo para liderar el programa. No obstante, enfatiza que cualquier implementación debe estar alineada con el Plan Fiscal certificado por la Junta de Supervisión Fiscal y con la Ley PROMESA.</w:t>
      </w:r>
    </w:p>
    <w:p w14:paraId="7AE81678" w14:textId="404DE03A" w:rsidR="00FB24F5" w:rsidRPr="00FB24F5" w:rsidRDefault="00AA7C18" w:rsidP="00AA7C18">
      <w:pPr>
        <w:tabs>
          <w:tab w:val="left" w:pos="3480"/>
          <w:tab w:val="center" w:pos="4680"/>
        </w:tabs>
        <w:spacing w:before="100" w:beforeAutospacing="1" w:after="120" w:line="276" w:lineRule="auto"/>
        <w:rPr>
          <w:rFonts w:ascii="Book Antiqua" w:eastAsia="Times New Roman" w:hAnsi="Book Antiqua" w:cs="Times New Roman"/>
          <w:kern w:val="0"/>
          <w14:ligatures w14:val="none"/>
        </w:rPr>
      </w:pPr>
      <w:r>
        <w:rPr>
          <w:rFonts w:ascii="Book Antiqua" w:eastAsia="Times New Roman" w:hAnsi="Book Antiqua" w:cs="Times New Roman"/>
          <w:b/>
          <w:bCs/>
          <w:kern w:val="0"/>
          <w14:ligatures w14:val="none"/>
        </w:rPr>
        <w:tab/>
      </w:r>
      <w:r>
        <w:rPr>
          <w:rFonts w:ascii="Book Antiqua" w:eastAsia="Times New Roman" w:hAnsi="Book Antiqua" w:cs="Times New Roman"/>
          <w:b/>
          <w:bCs/>
          <w:kern w:val="0"/>
          <w14:ligatures w14:val="none"/>
        </w:rPr>
        <w:tab/>
      </w:r>
      <w:r w:rsidR="00FB24F5" w:rsidRPr="00FB24F5">
        <w:rPr>
          <w:rFonts w:ascii="Book Antiqua" w:eastAsia="Times New Roman" w:hAnsi="Book Antiqua" w:cs="Times New Roman"/>
          <w:b/>
          <w:bCs/>
          <w:kern w:val="0"/>
          <w14:ligatures w14:val="none"/>
        </w:rPr>
        <w:t>AARP Puerto Rico</w:t>
      </w:r>
    </w:p>
    <w:p w14:paraId="54F71C4E" w14:textId="6FAC30FD" w:rsidR="00FB24F5" w:rsidRPr="00AF31F6" w:rsidRDefault="00FB24F5" w:rsidP="005F1070">
      <w:pPr>
        <w:spacing w:before="100" w:beforeAutospacing="1" w:after="120" w:line="276" w:lineRule="auto"/>
        <w:jc w:val="both"/>
        <w:rPr>
          <w:rFonts w:ascii="Book Antiqua" w:eastAsia="Times New Roman" w:hAnsi="Book Antiqua" w:cs="Times New Roman"/>
          <w:kern w:val="0"/>
          <w14:ligatures w14:val="none"/>
        </w:rPr>
      </w:pPr>
      <w:r w:rsidRPr="00FB24F5">
        <w:rPr>
          <w:rFonts w:ascii="Book Antiqua" w:eastAsia="Times New Roman" w:hAnsi="Book Antiqua" w:cs="Times New Roman"/>
          <w:kern w:val="0"/>
          <w14:ligatures w14:val="none"/>
        </w:rPr>
        <w:t>AARP apoya el PC 736 como herramienta para combatir la pobreza entre adultos mayores. Sin embargo, recomienda una enmienda sustancial: que la Administración de los Sistemas de Retiro (ASR) sea la entidad encargada de liderar la iniciativa, en lugar del Departamento de Hacienda. AARP argumenta que la ASR posee el peritaje técnico y la infraestructura necesaria para garantizar la efectividad del programa.</w:t>
      </w:r>
    </w:p>
    <w:p w14:paraId="427CCBA7" w14:textId="77777777" w:rsidR="00B82909" w:rsidRPr="00B82909" w:rsidRDefault="00B82909" w:rsidP="00B82909">
      <w:pPr>
        <w:spacing w:before="100" w:beforeAutospacing="1" w:after="120" w:line="276" w:lineRule="auto"/>
        <w:jc w:val="center"/>
        <w:rPr>
          <w:rFonts w:ascii="Book Antiqua" w:eastAsia="Times New Roman" w:hAnsi="Book Antiqua" w:cs="Times New Roman"/>
          <w:b/>
          <w:kern w:val="0"/>
          <w:lang w:val="es-ES_tradnl"/>
          <w14:ligatures w14:val="none"/>
        </w:rPr>
      </w:pPr>
      <w:r w:rsidRPr="00B82909">
        <w:rPr>
          <w:rFonts w:ascii="Book Antiqua" w:eastAsia="Times New Roman" w:hAnsi="Book Antiqua" w:cs="Times New Roman"/>
          <w:b/>
          <w:kern w:val="0"/>
          <w:lang w:val="es-ES_tradnl"/>
          <w14:ligatures w14:val="none"/>
        </w:rPr>
        <w:lastRenderedPageBreak/>
        <w:t>IMPACTO FISCAL</w:t>
      </w:r>
    </w:p>
    <w:p w14:paraId="5826991D" w14:textId="77777777" w:rsidR="00FB24F5" w:rsidRPr="00FB24F5" w:rsidRDefault="00FB24F5" w:rsidP="00AF31F6">
      <w:pPr>
        <w:spacing w:before="100" w:beforeAutospacing="1" w:after="120" w:line="276" w:lineRule="auto"/>
        <w:jc w:val="both"/>
        <w:rPr>
          <w:rFonts w:ascii="Book Antiqua" w:eastAsia="Times New Roman" w:hAnsi="Book Antiqua" w:cs="Times New Roman"/>
          <w:kern w:val="0"/>
          <w14:ligatures w14:val="none"/>
        </w:rPr>
      </w:pPr>
      <w:r w:rsidRPr="00B82909">
        <w:rPr>
          <w:rFonts w:ascii="Book Antiqua" w:eastAsia="Times New Roman" w:hAnsi="Book Antiqua" w:cs="Times New Roman"/>
          <w:kern w:val="0"/>
          <w14:ligatures w14:val="none"/>
        </w:rPr>
        <w:t xml:space="preserve">De acuerdo con el análisis de OPAL, el Proyecto de la Cámara 736 </w:t>
      </w:r>
      <w:r w:rsidRPr="00B82909">
        <w:rPr>
          <w:rFonts w:ascii="Book Antiqua" w:eastAsia="Times New Roman" w:hAnsi="Book Antiqua" w:cs="Times New Roman"/>
          <w:b/>
          <w:bCs/>
          <w:kern w:val="0"/>
          <w14:ligatures w14:val="none"/>
        </w:rPr>
        <w:t>no tiene impacto fiscal</w:t>
      </w:r>
      <w:r w:rsidRPr="00B82909">
        <w:rPr>
          <w:rFonts w:ascii="Book Antiqua" w:eastAsia="Times New Roman" w:hAnsi="Book Antiqua" w:cs="Times New Roman"/>
          <w:kern w:val="0"/>
          <w14:ligatures w14:val="none"/>
        </w:rPr>
        <w:t>. Las enmiendas propuestas son de carácter técnico y no implican erogaciones adicionales ni alteraciones en los ingresos del Estado. La transferencia de responsabilidades entre agencias puede ser ejecutada dentro de los recursos existentes, sin afectar el presupuesto público</w:t>
      </w:r>
    </w:p>
    <w:p w14:paraId="62BAC75C" w14:textId="7ADF0097" w:rsidR="00B82909" w:rsidRPr="00B82909" w:rsidRDefault="00B82909" w:rsidP="00B82909">
      <w:pPr>
        <w:spacing w:before="100" w:beforeAutospacing="1" w:after="120" w:line="276" w:lineRule="auto"/>
        <w:jc w:val="center"/>
        <w:rPr>
          <w:rFonts w:ascii="Book Antiqua" w:eastAsia="Times New Roman" w:hAnsi="Book Antiqua" w:cs="Times New Roman"/>
          <w:b/>
          <w:kern w:val="0"/>
          <w:lang w:val="es-ES_tradnl"/>
          <w14:ligatures w14:val="none"/>
        </w:rPr>
      </w:pPr>
      <w:r w:rsidRPr="00B82909">
        <w:rPr>
          <w:rFonts w:ascii="Book Antiqua" w:eastAsia="Times New Roman" w:hAnsi="Book Antiqua" w:cs="Times New Roman"/>
          <w:b/>
          <w:kern w:val="0"/>
          <w:lang w:val="es-ES_tradnl"/>
          <w14:ligatures w14:val="none"/>
        </w:rPr>
        <w:t>CONCLUSIÓN</w:t>
      </w:r>
    </w:p>
    <w:p w14:paraId="233CB7E1" w14:textId="77777777" w:rsidR="00FB24F5" w:rsidRPr="00FB24F5" w:rsidRDefault="00FB24F5" w:rsidP="00AF31F6">
      <w:pPr>
        <w:spacing w:before="100" w:beforeAutospacing="1" w:after="120" w:line="276" w:lineRule="auto"/>
        <w:jc w:val="both"/>
        <w:rPr>
          <w:rFonts w:ascii="Book Antiqua" w:eastAsia="Times New Roman" w:hAnsi="Book Antiqua" w:cs="Times New Roman"/>
          <w:kern w:val="0"/>
          <w14:ligatures w14:val="none"/>
        </w:rPr>
      </w:pPr>
      <w:r w:rsidRPr="00FB24F5">
        <w:rPr>
          <w:rFonts w:ascii="Book Antiqua" w:eastAsia="Times New Roman" w:hAnsi="Book Antiqua" w:cs="Times New Roman"/>
          <w:kern w:val="0"/>
          <w14:ligatures w14:val="none"/>
        </w:rPr>
        <w:t>Luego de completar el análisis y evaluación sobre todos los elementos concernientes a esta pieza legislativa, incluyendo el insumo de AAFAF, AARP Puerto Rico y OPAL, esta Comisión de Hacienda reconoce y apoya la política pública de este Gobierno de facilitar el acceso a mecanismos de ahorro para el retiro más efectivos y accesibles para todos nuestros ciudadanos.</w:t>
      </w:r>
    </w:p>
    <w:p w14:paraId="540EBDBB" w14:textId="77777777" w:rsidR="00FB24F5" w:rsidRPr="00B82909" w:rsidRDefault="00B82909" w:rsidP="00AF31F6">
      <w:pPr>
        <w:spacing w:before="100" w:beforeAutospacing="1" w:after="120" w:line="276" w:lineRule="auto"/>
        <w:jc w:val="both"/>
        <w:rPr>
          <w:rFonts w:ascii="Book Antiqua" w:eastAsia="Times New Roman" w:hAnsi="Book Antiqua" w:cs="Times New Roman"/>
          <w:kern w:val="0"/>
          <w14:ligatures w14:val="none"/>
        </w:rPr>
      </w:pPr>
      <w:r w:rsidRPr="00B82909">
        <w:rPr>
          <w:rFonts w:ascii="Book Antiqua" w:eastAsia="Times New Roman" w:hAnsi="Book Antiqua" w:cs="Times New Roman"/>
          <w:b/>
          <w:kern w:val="0"/>
          <w14:ligatures w14:val="none"/>
        </w:rPr>
        <w:t>POR TODO LO ANTES EXPUESTO</w:t>
      </w:r>
      <w:r w:rsidRPr="00B82909">
        <w:rPr>
          <w:rFonts w:ascii="Book Antiqua" w:eastAsia="Times New Roman" w:hAnsi="Book Antiqua" w:cs="Times New Roman"/>
          <w:kern w:val="0"/>
          <w14:ligatures w14:val="none"/>
        </w:rPr>
        <w:t xml:space="preserve">, </w:t>
      </w:r>
      <w:r w:rsidR="00FB24F5" w:rsidRPr="00B82909">
        <w:rPr>
          <w:rFonts w:ascii="Book Antiqua" w:eastAsia="Times New Roman" w:hAnsi="Book Antiqua" w:cs="Times New Roman"/>
          <w:kern w:val="0"/>
          <w14:ligatures w14:val="none"/>
        </w:rPr>
        <w:t xml:space="preserve">la Comisión de Hacienda de la Cámara de Representantes de Puerto Rico, luego del estudio y consideración correspondiente, tiene a bien recomendar a este Alto Cuerpo la aprobación del P. de la C. 736, con las enmiendas contenidas en el </w:t>
      </w:r>
      <w:proofErr w:type="spellStart"/>
      <w:r w:rsidR="00FB24F5" w:rsidRPr="00B82909">
        <w:rPr>
          <w:rFonts w:ascii="Book Antiqua" w:eastAsia="Times New Roman" w:hAnsi="Book Antiqua" w:cs="Times New Roman"/>
          <w:kern w:val="0"/>
          <w14:ligatures w14:val="none"/>
        </w:rPr>
        <w:t>entirillado</w:t>
      </w:r>
      <w:proofErr w:type="spellEnd"/>
      <w:r w:rsidR="00FB24F5" w:rsidRPr="00B82909">
        <w:rPr>
          <w:rFonts w:ascii="Book Antiqua" w:eastAsia="Times New Roman" w:hAnsi="Book Antiqua" w:cs="Times New Roman"/>
          <w:kern w:val="0"/>
          <w14:ligatures w14:val="none"/>
        </w:rPr>
        <w:t xml:space="preserve"> electrónico que se adjunta.</w:t>
      </w:r>
    </w:p>
    <w:p w14:paraId="6AE85C2F" w14:textId="54918ADF" w:rsidR="00B82909" w:rsidRPr="00B82909" w:rsidRDefault="00B82909" w:rsidP="00B82909">
      <w:pPr>
        <w:spacing w:before="100" w:beforeAutospacing="1" w:after="120" w:line="276" w:lineRule="auto"/>
        <w:ind w:firstLine="720"/>
        <w:jc w:val="both"/>
        <w:rPr>
          <w:rFonts w:ascii="Book Antiqua" w:eastAsia="Times New Roman" w:hAnsi="Book Antiqua" w:cs="Times New Roman"/>
          <w:kern w:val="0"/>
          <w14:ligatures w14:val="none"/>
        </w:rPr>
      </w:pPr>
    </w:p>
    <w:p w14:paraId="6F25582E" w14:textId="77777777" w:rsidR="00B82909" w:rsidRPr="00B82909" w:rsidRDefault="00B82909" w:rsidP="00B82909">
      <w:pPr>
        <w:spacing w:before="100" w:beforeAutospacing="1" w:after="120" w:line="276" w:lineRule="auto"/>
        <w:ind w:firstLine="720"/>
        <w:jc w:val="both"/>
        <w:rPr>
          <w:rFonts w:ascii="Book Antiqua" w:eastAsia="Times New Roman" w:hAnsi="Book Antiqua" w:cs="Times New Roman"/>
          <w:kern w:val="0"/>
          <w:lang w:val="es-ES_tradnl"/>
          <w14:ligatures w14:val="none"/>
        </w:rPr>
      </w:pPr>
    </w:p>
    <w:p w14:paraId="06B4C624" w14:textId="77777777" w:rsidR="00B82909" w:rsidRPr="00C76C82" w:rsidRDefault="00B82909" w:rsidP="00B82909">
      <w:pPr>
        <w:spacing w:before="120" w:after="240" w:line="240" w:lineRule="auto"/>
        <w:jc w:val="both"/>
        <w:rPr>
          <w:rFonts w:ascii="Book Antiqua" w:eastAsia="Times New Roman" w:hAnsi="Book Antiqua" w:cs="Times New Roman"/>
          <w:b/>
          <w:kern w:val="0"/>
          <w:lang w:val="it-IT"/>
          <w14:ligatures w14:val="none"/>
        </w:rPr>
      </w:pPr>
      <w:r w:rsidRPr="00C76C82">
        <w:rPr>
          <w:rFonts w:ascii="Book Antiqua" w:eastAsia="Times New Roman" w:hAnsi="Book Antiqua" w:cs="Times New Roman"/>
          <w:b/>
          <w:kern w:val="0"/>
          <w:lang w:val="it-IT"/>
          <w14:ligatures w14:val="none"/>
        </w:rPr>
        <w:t>Respetuosamente sometido,</w:t>
      </w:r>
    </w:p>
    <w:p w14:paraId="6021F611" w14:textId="77777777" w:rsidR="00B82909" w:rsidRPr="00C76C82" w:rsidRDefault="00B82909" w:rsidP="00B82909">
      <w:pPr>
        <w:spacing w:after="0" w:line="240" w:lineRule="auto"/>
        <w:ind w:firstLine="720"/>
        <w:jc w:val="both"/>
        <w:rPr>
          <w:rFonts w:ascii="Book Antiqua" w:eastAsia="Times New Roman" w:hAnsi="Book Antiqua" w:cs="Times New Roman"/>
          <w:kern w:val="0"/>
          <w:lang w:val="it-IT"/>
          <w14:ligatures w14:val="none"/>
        </w:rPr>
      </w:pPr>
    </w:p>
    <w:p w14:paraId="11E9E3B6" w14:textId="77777777" w:rsidR="00B82909" w:rsidRPr="00C76C82" w:rsidRDefault="00B82909" w:rsidP="00B82909">
      <w:pPr>
        <w:spacing w:after="0" w:line="240" w:lineRule="auto"/>
        <w:jc w:val="both"/>
        <w:rPr>
          <w:rFonts w:ascii="Book Antiqua" w:eastAsia="Times New Roman" w:hAnsi="Book Antiqua" w:cs="Times New Roman"/>
          <w:kern w:val="0"/>
          <w:lang w:val="it-IT"/>
          <w14:ligatures w14:val="none"/>
        </w:rPr>
      </w:pPr>
      <w:r w:rsidRPr="00C76C82">
        <w:rPr>
          <w:rFonts w:ascii="Book Antiqua" w:eastAsia="Times New Roman" w:hAnsi="Book Antiqua" w:cs="Times New Roman"/>
          <w:kern w:val="0"/>
          <w:lang w:val="it-IT"/>
          <w14:ligatures w14:val="none"/>
        </w:rPr>
        <w:t>Hon. Eddie Charbonier Chinea</w:t>
      </w:r>
      <w:r w:rsidRPr="00C76C82">
        <w:rPr>
          <w:rFonts w:ascii="Book Antiqua" w:eastAsia="Times New Roman" w:hAnsi="Book Antiqua" w:cs="Times New Roman"/>
          <w:kern w:val="0"/>
          <w:lang w:val="it-IT"/>
          <w14:ligatures w14:val="none"/>
        </w:rPr>
        <w:tab/>
      </w:r>
    </w:p>
    <w:p w14:paraId="54D1886B" w14:textId="77777777" w:rsidR="00B82909" w:rsidRPr="00B82909" w:rsidRDefault="00B82909" w:rsidP="00B82909">
      <w:pPr>
        <w:spacing w:after="0" w:line="240" w:lineRule="auto"/>
        <w:jc w:val="both"/>
        <w:rPr>
          <w:rFonts w:ascii="Book Antiqua" w:eastAsia="Times New Roman" w:hAnsi="Book Antiqua" w:cs="Times New Roman"/>
          <w:kern w:val="0"/>
          <w:lang w:val="es-ES_tradnl"/>
          <w14:ligatures w14:val="none"/>
        </w:rPr>
      </w:pPr>
      <w:r w:rsidRPr="00B82909">
        <w:rPr>
          <w:rFonts w:ascii="Book Antiqua" w:eastAsia="Times New Roman" w:hAnsi="Book Antiqua" w:cs="Times New Roman"/>
          <w:kern w:val="0"/>
          <w:lang w:val="es-ES_tradnl"/>
          <w14:ligatures w14:val="none"/>
        </w:rPr>
        <w:t>Presidente</w:t>
      </w:r>
      <w:r w:rsidRPr="00B82909">
        <w:rPr>
          <w:rFonts w:ascii="Book Antiqua" w:eastAsia="Times New Roman" w:hAnsi="Book Antiqua" w:cs="Times New Roman"/>
          <w:kern w:val="0"/>
          <w:lang w:val="es-ES_tradnl"/>
          <w14:ligatures w14:val="none"/>
        </w:rPr>
        <w:tab/>
      </w:r>
      <w:r w:rsidRPr="00B82909">
        <w:rPr>
          <w:rFonts w:ascii="Book Antiqua" w:eastAsia="Times New Roman" w:hAnsi="Book Antiqua" w:cs="Times New Roman"/>
          <w:kern w:val="0"/>
          <w:lang w:val="es-ES_tradnl"/>
          <w14:ligatures w14:val="none"/>
        </w:rPr>
        <w:tab/>
      </w:r>
      <w:r w:rsidRPr="00B82909">
        <w:rPr>
          <w:rFonts w:ascii="Book Antiqua" w:eastAsia="Times New Roman" w:hAnsi="Book Antiqua" w:cs="Times New Roman"/>
          <w:kern w:val="0"/>
          <w:lang w:val="es-ES_tradnl"/>
          <w14:ligatures w14:val="none"/>
        </w:rPr>
        <w:tab/>
      </w:r>
      <w:r w:rsidRPr="00B82909">
        <w:rPr>
          <w:rFonts w:ascii="Book Antiqua" w:eastAsia="Times New Roman" w:hAnsi="Book Antiqua" w:cs="Times New Roman"/>
          <w:kern w:val="0"/>
          <w:lang w:val="es-ES_tradnl"/>
          <w14:ligatures w14:val="none"/>
        </w:rPr>
        <w:tab/>
      </w:r>
      <w:r w:rsidRPr="00B82909">
        <w:rPr>
          <w:rFonts w:ascii="Book Antiqua" w:eastAsia="Times New Roman" w:hAnsi="Book Antiqua" w:cs="Times New Roman"/>
          <w:kern w:val="0"/>
          <w:lang w:val="es-ES_tradnl"/>
          <w14:ligatures w14:val="none"/>
        </w:rPr>
        <w:tab/>
      </w:r>
      <w:r w:rsidRPr="00B82909">
        <w:rPr>
          <w:rFonts w:ascii="Book Antiqua" w:eastAsia="Times New Roman" w:hAnsi="Book Antiqua" w:cs="Times New Roman"/>
          <w:kern w:val="0"/>
          <w:lang w:val="es-ES_tradnl"/>
          <w14:ligatures w14:val="none"/>
        </w:rPr>
        <w:tab/>
      </w:r>
      <w:r w:rsidRPr="00B82909">
        <w:rPr>
          <w:rFonts w:ascii="Book Antiqua" w:eastAsia="Times New Roman" w:hAnsi="Book Antiqua" w:cs="Times New Roman"/>
          <w:kern w:val="0"/>
          <w:lang w:val="es-ES_tradnl"/>
          <w14:ligatures w14:val="none"/>
        </w:rPr>
        <w:tab/>
      </w:r>
      <w:r w:rsidRPr="00B82909">
        <w:rPr>
          <w:rFonts w:ascii="Book Antiqua" w:eastAsia="Times New Roman" w:hAnsi="Book Antiqua" w:cs="Times New Roman"/>
          <w:kern w:val="0"/>
          <w:lang w:val="es-ES_tradnl"/>
          <w14:ligatures w14:val="none"/>
        </w:rPr>
        <w:tab/>
      </w:r>
      <w:r w:rsidRPr="00B82909">
        <w:rPr>
          <w:rFonts w:ascii="Book Antiqua" w:eastAsia="Times New Roman" w:hAnsi="Book Antiqua" w:cs="Times New Roman"/>
          <w:kern w:val="0"/>
          <w:lang w:val="es-ES_tradnl"/>
          <w14:ligatures w14:val="none"/>
        </w:rPr>
        <w:tab/>
      </w:r>
      <w:r w:rsidRPr="00B82909">
        <w:rPr>
          <w:rFonts w:ascii="Book Antiqua" w:eastAsia="Times New Roman" w:hAnsi="Book Antiqua" w:cs="Times New Roman"/>
          <w:kern w:val="0"/>
          <w:lang w:val="es-ES_tradnl"/>
          <w14:ligatures w14:val="none"/>
        </w:rPr>
        <w:tab/>
      </w:r>
      <w:r w:rsidRPr="00B82909">
        <w:rPr>
          <w:rFonts w:ascii="Book Antiqua" w:eastAsia="Times New Roman" w:hAnsi="Book Antiqua" w:cs="Times New Roman"/>
          <w:kern w:val="0"/>
          <w:lang w:val="es-ES_tradnl"/>
          <w14:ligatures w14:val="none"/>
        </w:rPr>
        <w:tab/>
      </w:r>
    </w:p>
    <w:p w14:paraId="62AD92FE" w14:textId="6C4DB7B4" w:rsidR="00701A84" w:rsidRPr="00AA7C18" w:rsidRDefault="00B82909" w:rsidP="00AA7C18">
      <w:pPr>
        <w:spacing w:after="0" w:line="240" w:lineRule="auto"/>
        <w:jc w:val="both"/>
        <w:rPr>
          <w:rFonts w:ascii="Book Antiqua" w:eastAsia="Times New Roman" w:hAnsi="Book Antiqua" w:cs="Times New Roman"/>
          <w:kern w:val="0"/>
          <w:lang w:val="es-ES_tradnl"/>
          <w14:ligatures w14:val="none"/>
        </w:rPr>
      </w:pPr>
      <w:r w:rsidRPr="00B82909">
        <w:rPr>
          <w:rFonts w:ascii="Book Antiqua" w:eastAsia="Times New Roman" w:hAnsi="Book Antiqua" w:cs="Times New Roman"/>
          <w:kern w:val="0"/>
          <w:lang w:val="es-ES_tradnl"/>
          <w14:ligatures w14:val="none"/>
        </w:rPr>
        <w:t>Comisión de Hacienda</w:t>
      </w:r>
    </w:p>
    <w:sectPr w:rsidR="00701A84" w:rsidRPr="00AA7C18" w:rsidSect="00AF31F6">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F76C4" w14:textId="77777777" w:rsidR="00B82909" w:rsidRDefault="00B82909" w:rsidP="00B82909">
      <w:pPr>
        <w:spacing w:after="0" w:line="240" w:lineRule="auto"/>
      </w:pPr>
      <w:r>
        <w:separator/>
      </w:r>
    </w:p>
  </w:endnote>
  <w:endnote w:type="continuationSeparator" w:id="0">
    <w:p w14:paraId="5A267F7A" w14:textId="77777777" w:rsidR="00B82909" w:rsidRDefault="00B82909" w:rsidP="00B82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1B0D1" w14:textId="77777777" w:rsidR="00B82909" w:rsidRDefault="00B82909" w:rsidP="00B82909">
      <w:pPr>
        <w:spacing w:after="0" w:line="240" w:lineRule="auto"/>
      </w:pPr>
      <w:r>
        <w:separator/>
      </w:r>
    </w:p>
  </w:footnote>
  <w:footnote w:type="continuationSeparator" w:id="0">
    <w:p w14:paraId="6EB70DFF" w14:textId="77777777" w:rsidR="00B82909" w:rsidRDefault="00B82909" w:rsidP="00B829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2426987"/>
      <w:docPartObj>
        <w:docPartGallery w:val="Page Numbers (Top of Page)"/>
        <w:docPartUnique/>
      </w:docPartObj>
    </w:sdtPr>
    <w:sdtEndPr>
      <w:rPr>
        <w:noProof/>
      </w:rPr>
    </w:sdtEndPr>
    <w:sdtContent>
      <w:p w14:paraId="630CC6F4" w14:textId="43DB209E" w:rsidR="00AF31F6" w:rsidRDefault="00AF31F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BE6FDB7" w14:textId="77777777" w:rsidR="00AF31F6" w:rsidRDefault="00AF31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C2FA5"/>
    <w:multiLevelType w:val="multilevel"/>
    <w:tmpl w:val="F23A3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191A7D"/>
    <w:multiLevelType w:val="multilevel"/>
    <w:tmpl w:val="BADE7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AE22DF"/>
    <w:multiLevelType w:val="multilevel"/>
    <w:tmpl w:val="EBFE3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4E2CD7"/>
    <w:multiLevelType w:val="multilevel"/>
    <w:tmpl w:val="EA486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1151244">
    <w:abstractNumId w:val="2"/>
  </w:num>
  <w:num w:numId="2" w16cid:durableId="1848787047">
    <w:abstractNumId w:val="0"/>
  </w:num>
  <w:num w:numId="3" w16cid:durableId="2145610635">
    <w:abstractNumId w:val="3"/>
  </w:num>
  <w:num w:numId="4" w16cid:durableId="15057089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909"/>
    <w:rsid w:val="0001494E"/>
    <w:rsid w:val="00030D6A"/>
    <w:rsid w:val="00124A4D"/>
    <w:rsid w:val="001A0C38"/>
    <w:rsid w:val="00245637"/>
    <w:rsid w:val="00294D17"/>
    <w:rsid w:val="00306D1F"/>
    <w:rsid w:val="0031283C"/>
    <w:rsid w:val="0041202C"/>
    <w:rsid w:val="004966B2"/>
    <w:rsid w:val="00497708"/>
    <w:rsid w:val="004F0FF1"/>
    <w:rsid w:val="005A7DD9"/>
    <w:rsid w:val="005F1070"/>
    <w:rsid w:val="00701A84"/>
    <w:rsid w:val="0071641C"/>
    <w:rsid w:val="00751DC4"/>
    <w:rsid w:val="00980CE5"/>
    <w:rsid w:val="00987AF0"/>
    <w:rsid w:val="00AA7C18"/>
    <w:rsid w:val="00AB76A8"/>
    <w:rsid w:val="00AF31F6"/>
    <w:rsid w:val="00B82909"/>
    <w:rsid w:val="00C76C82"/>
    <w:rsid w:val="00D043F3"/>
    <w:rsid w:val="00E74272"/>
    <w:rsid w:val="00F5699D"/>
    <w:rsid w:val="00FB24F5"/>
    <w:rsid w:val="00FC78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3C21F"/>
  <w15:chartTrackingRefBased/>
  <w15:docId w15:val="{72A4BD56-E5FA-405E-9176-CF50B6F8C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next w:val="Normal"/>
    <w:link w:val="Heading1Char"/>
    <w:uiPriority w:val="9"/>
    <w:qFormat/>
    <w:rsid w:val="00B829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29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29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29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29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29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29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29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29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909"/>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B82909"/>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B82909"/>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B82909"/>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B82909"/>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B82909"/>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B82909"/>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B82909"/>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B82909"/>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B829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2909"/>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B829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2909"/>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B82909"/>
    <w:pPr>
      <w:spacing w:before="160"/>
      <w:jc w:val="center"/>
    </w:pPr>
    <w:rPr>
      <w:i/>
      <w:iCs/>
      <w:color w:val="404040" w:themeColor="text1" w:themeTint="BF"/>
    </w:rPr>
  </w:style>
  <w:style w:type="character" w:customStyle="1" w:styleId="QuoteChar">
    <w:name w:val="Quote Char"/>
    <w:basedOn w:val="DefaultParagraphFont"/>
    <w:link w:val="Quote"/>
    <w:uiPriority w:val="29"/>
    <w:rsid w:val="00B82909"/>
    <w:rPr>
      <w:i/>
      <w:iCs/>
      <w:color w:val="404040" w:themeColor="text1" w:themeTint="BF"/>
      <w:lang w:val="es-PR"/>
    </w:rPr>
  </w:style>
  <w:style w:type="paragraph" w:styleId="ListParagraph">
    <w:name w:val="List Paragraph"/>
    <w:basedOn w:val="Normal"/>
    <w:uiPriority w:val="34"/>
    <w:qFormat/>
    <w:rsid w:val="00B82909"/>
    <w:pPr>
      <w:ind w:left="720"/>
      <w:contextualSpacing/>
    </w:pPr>
  </w:style>
  <w:style w:type="character" w:styleId="IntenseEmphasis">
    <w:name w:val="Intense Emphasis"/>
    <w:basedOn w:val="DefaultParagraphFont"/>
    <w:uiPriority w:val="21"/>
    <w:qFormat/>
    <w:rsid w:val="00B82909"/>
    <w:rPr>
      <w:i/>
      <w:iCs/>
      <w:color w:val="0F4761" w:themeColor="accent1" w:themeShade="BF"/>
    </w:rPr>
  </w:style>
  <w:style w:type="paragraph" w:styleId="IntenseQuote">
    <w:name w:val="Intense Quote"/>
    <w:basedOn w:val="Normal"/>
    <w:next w:val="Normal"/>
    <w:link w:val="IntenseQuoteChar"/>
    <w:uiPriority w:val="30"/>
    <w:qFormat/>
    <w:rsid w:val="00B829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2909"/>
    <w:rPr>
      <w:i/>
      <w:iCs/>
      <w:color w:val="0F4761" w:themeColor="accent1" w:themeShade="BF"/>
      <w:lang w:val="es-PR"/>
    </w:rPr>
  </w:style>
  <w:style w:type="character" w:styleId="IntenseReference">
    <w:name w:val="Intense Reference"/>
    <w:basedOn w:val="DefaultParagraphFont"/>
    <w:uiPriority w:val="32"/>
    <w:qFormat/>
    <w:rsid w:val="00B82909"/>
    <w:rPr>
      <w:b/>
      <w:bCs/>
      <w:smallCaps/>
      <w:color w:val="0F4761" w:themeColor="accent1" w:themeShade="BF"/>
      <w:spacing w:val="5"/>
    </w:rPr>
  </w:style>
  <w:style w:type="paragraph" w:styleId="FootnoteText">
    <w:name w:val="footnote text"/>
    <w:basedOn w:val="Normal"/>
    <w:link w:val="FootnoteTextChar"/>
    <w:uiPriority w:val="99"/>
    <w:unhideWhenUsed/>
    <w:rsid w:val="00B82909"/>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B82909"/>
    <w:rPr>
      <w:rFonts w:ascii="Times New Roman" w:eastAsia="Times New Roman" w:hAnsi="Times New Roman" w:cs="Times New Roman"/>
      <w:kern w:val="0"/>
      <w:sz w:val="20"/>
      <w:szCs w:val="20"/>
      <w:lang w:val="es-PR"/>
      <w14:ligatures w14:val="none"/>
    </w:rPr>
  </w:style>
  <w:style w:type="character" w:styleId="FootnoteReference">
    <w:name w:val="footnote reference"/>
    <w:basedOn w:val="DefaultParagraphFont"/>
    <w:uiPriority w:val="99"/>
    <w:unhideWhenUsed/>
    <w:rsid w:val="00B82909"/>
    <w:rPr>
      <w:vertAlign w:val="superscript"/>
    </w:rPr>
  </w:style>
  <w:style w:type="character" w:customStyle="1" w:styleId="Hyperlink1">
    <w:name w:val="Hyperlink1"/>
    <w:basedOn w:val="DefaultParagraphFont"/>
    <w:uiPriority w:val="99"/>
    <w:unhideWhenUsed/>
    <w:rsid w:val="00B82909"/>
    <w:rPr>
      <w:color w:val="0000FF"/>
      <w:u w:val="single"/>
    </w:rPr>
  </w:style>
  <w:style w:type="character" w:styleId="Hyperlink">
    <w:name w:val="Hyperlink"/>
    <w:basedOn w:val="DefaultParagraphFont"/>
    <w:uiPriority w:val="99"/>
    <w:semiHidden/>
    <w:unhideWhenUsed/>
    <w:rsid w:val="00B82909"/>
    <w:rPr>
      <w:color w:val="467886" w:themeColor="hyperlink"/>
      <w:u w:val="single"/>
    </w:rPr>
  </w:style>
  <w:style w:type="paragraph" w:styleId="Header">
    <w:name w:val="header"/>
    <w:basedOn w:val="Normal"/>
    <w:link w:val="HeaderChar"/>
    <w:uiPriority w:val="99"/>
    <w:unhideWhenUsed/>
    <w:rsid w:val="00AF31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31F6"/>
    <w:rPr>
      <w:lang w:val="es-PR"/>
    </w:rPr>
  </w:style>
  <w:style w:type="paragraph" w:styleId="Footer">
    <w:name w:val="footer"/>
    <w:basedOn w:val="Normal"/>
    <w:link w:val="FooterChar"/>
    <w:uiPriority w:val="99"/>
    <w:unhideWhenUsed/>
    <w:rsid w:val="00AF31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31F6"/>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9" ma:contentTypeDescription="Create a new document." ma:contentTypeScope="" ma:versionID="05c964504388ca170424abb59cc09ade">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4f90341347b24ff21db92ad26ade5dc8"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Props1.xml><?xml version="1.0" encoding="utf-8"?>
<ds:datastoreItem xmlns:ds="http://schemas.openxmlformats.org/officeDocument/2006/customXml" ds:itemID="{B7D4ECC7-4100-494A-832A-5743BB1F79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3D3399-32D7-4F42-A25A-883E30A5C63C}">
  <ds:schemaRefs>
    <ds:schemaRef ds:uri="http://schemas.microsoft.com/sharepoint/v3/contenttype/forms"/>
  </ds:schemaRefs>
</ds:datastoreItem>
</file>

<file path=customXml/itemProps3.xml><?xml version="1.0" encoding="utf-8"?>
<ds:datastoreItem xmlns:ds="http://schemas.openxmlformats.org/officeDocument/2006/customXml" ds:itemID="{9D05BC60-23D4-4265-937B-19C514E406D7}">
  <ds:schemaRefs>
    <ds:schemaRef ds:uri="http://schemas.openxmlformats.org/package/2006/metadata/core-properties"/>
    <ds:schemaRef ds:uri="http://www.w3.org/XML/1998/namespace"/>
    <ds:schemaRef ds:uri="http://purl.org/dc/elements/1.1/"/>
    <ds:schemaRef ds:uri="http://schemas.microsoft.com/office/infopath/2007/PartnerControls"/>
    <ds:schemaRef ds:uri="http://purl.org/dc/dcmitype/"/>
    <ds:schemaRef ds:uri="http://purl.org/dc/terms/"/>
    <ds:schemaRef ds:uri="http://schemas.microsoft.com/office/2006/documentManagement/types"/>
    <ds:schemaRef ds:uri="http://schemas.microsoft.com/office/2006/metadata/properties"/>
    <ds:schemaRef ds:uri="f98376c4-2382-4917-8550-2b1a451c8c43"/>
    <ds:schemaRef ds:uri="92f57704-3039-4ebf-ac81-f8b12810bd0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698</Words>
  <Characters>3980</Characters>
  <Application>Microsoft Office Word</Application>
  <DocSecurity>4</DocSecurity>
  <Lines>33</Lines>
  <Paragraphs>9</Paragraphs>
  <ScaleCrop>false</ScaleCrop>
  <Company/>
  <LinksUpToDate>false</LinksUpToDate>
  <CharactersWithSpaces>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J. Pérez Méndez</dc:creator>
  <cp:keywords/>
  <dc:description/>
  <cp:lastModifiedBy>Kristal Rivera Sanchez</cp:lastModifiedBy>
  <cp:revision>2</cp:revision>
  <cp:lastPrinted>2025-09-18T16:26:00Z</cp:lastPrinted>
  <dcterms:created xsi:type="dcterms:W3CDTF">2025-09-24T16:47:00Z</dcterms:created>
  <dcterms:modified xsi:type="dcterms:W3CDTF">2025-09-24T16:47:00Z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