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66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B66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66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66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EB66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>20m</w:t>
      </w:r>
      <w:r w:rsidR="002670C1" w:rsidRPr="00EB66D5">
        <w:rPr>
          <w:rFonts w:ascii="Book Antiqua" w:hAnsi="Book Antiqua"/>
          <w:szCs w:val="24"/>
          <w:lang w:val="es-ES_tradnl"/>
        </w:rPr>
        <w:t>a. Asamblea</w:t>
      </w:r>
      <w:r w:rsidR="002670C1" w:rsidRPr="00EB66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66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</w:t>
      </w:r>
      <w:r w:rsidR="003D1498" w:rsidRPr="00EB66D5">
        <w:rPr>
          <w:rFonts w:ascii="Book Antiqua" w:hAnsi="Book Antiqua"/>
          <w:szCs w:val="24"/>
          <w:lang w:val="es-ES_tradnl"/>
        </w:rPr>
        <w:t>2d</w:t>
      </w:r>
      <w:r w:rsidR="002670C1" w:rsidRPr="00EB66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66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ab/>
        <w:t>Legislativa</w:t>
      </w:r>
      <w:r w:rsidRPr="00EB66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     </w:t>
      </w:r>
      <w:r w:rsidRPr="00EB66D5">
        <w:rPr>
          <w:rFonts w:ascii="Book Antiqua" w:hAnsi="Book Antiqua"/>
          <w:szCs w:val="24"/>
          <w:lang w:val="es-ES_tradnl"/>
        </w:rPr>
        <w:t xml:space="preserve">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</w:t>
      </w:r>
      <w:r w:rsidRPr="00EB66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66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66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B66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52B4774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B66D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D42AEC">
        <w:rPr>
          <w:rFonts w:ascii="Book Antiqua" w:hAnsi="Book Antiqua" w:cs="Tahoma"/>
          <w:b/>
          <w:sz w:val="52"/>
          <w:szCs w:val="52"/>
          <w:lang w:val="es-ES_tradnl"/>
        </w:rPr>
        <w:t>371</w:t>
      </w:r>
    </w:p>
    <w:p w14:paraId="2AB71EBC" w14:textId="77777777" w:rsidR="001A14B6" w:rsidRPr="00EB66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B66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66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944427C" w:rsidR="002670C1" w:rsidRPr="00EB66D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27509">
        <w:rPr>
          <w:rFonts w:ascii="Book Antiqua" w:hAnsi="Book Antiqua" w:cs="Tahoma"/>
          <w:lang w:val="es-ES_tradnl"/>
        </w:rPr>
        <w:t>22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812C0F" w:rsidRPr="00EB66D5">
        <w:rPr>
          <w:rFonts w:ascii="Book Antiqua" w:hAnsi="Book Antiqua" w:cs="Tahoma"/>
          <w:lang w:val="es-ES_tradnl"/>
        </w:rPr>
        <w:t>julio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33864" w:rsidRPr="00EB66D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66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66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66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66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66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E35DE3C" w:rsidR="00682883" w:rsidRPr="00EB66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ab/>
      </w:r>
      <w:r w:rsidR="008A4022" w:rsidRPr="00EB66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B66D5">
        <w:rPr>
          <w:rFonts w:ascii="Book Antiqua" w:hAnsi="Book Antiqua" w:cs="Tahoma"/>
          <w:lang w:val="es-ES_tradnl"/>
        </w:rPr>
        <w:t>sideración de la R. de la C.</w:t>
      </w:r>
      <w:r w:rsidR="00EB66D5" w:rsidRPr="00EB66D5">
        <w:rPr>
          <w:rFonts w:ascii="Book Antiqua" w:hAnsi="Book Antiqua" w:cs="Tahoma"/>
          <w:lang w:val="es-ES_tradnl"/>
        </w:rPr>
        <w:t xml:space="preserve"> </w:t>
      </w:r>
      <w:r w:rsidR="00D42AEC">
        <w:rPr>
          <w:rFonts w:ascii="Book Antiqua" w:hAnsi="Book Antiqua" w:cs="Tahoma"/>
          <w:lang w:val="es-ES_tradnl"/>
        </w:rPr>
        <w:t>371</w:t>
      </w:r>
      <w:r w:rsidR="00FA5F29" w:rsidRPr="00EB66D5">
        <w:rPr>
          <w:rFonts w:ascii="Book Antiqua" w:hAnsi="Book Antiqua" w:cs="Tahoma"/>
          <w:lang w:val="es-ES_tradnl"/>
        </w:rPr>
        <w:t xml:space="preserve">, </w:t>
      </w:r>
      <w:r w:rsidR="00682883" w:rsidRPr="00EB66D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EB66D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EB66D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EB66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482FCD7" w:rsidR="008D4A0A" w:rsidRPr="00EB66D5" w:rsidRDefault="00BC1CB2" w:rsidP="00EB66D5">
      <w:pPr>
        <w:ind w:left="567" w:hanging="567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86FF9" w:rsidRPr="00EB66D5">
        <w:rPr>
          <w:rFonts w:ascii="Book Antiqua" w:hAnsi="Book Antiqua" w:cs="Tahoma"/>
          <w:lang w:val="es-ES_tradnl"/>
        </w:rPr>
        <w:t>“</w:t>
      </w:r>
      <w:r w:rsidR="00E86FF9" w:rsidRPr="00EB66D5">
        <w:rPr>
          <w:rFonts w:ascii="Book Antiqua" w:hAnsi="Book Antiqua"/>
          <w:lang w:val="es-ES_tradnl"/>
        </w:rPr>
        <w:t>Para</w:t>
      </w:r>
      <w:r w:rsidR="00E86FF9" w:rsidRPr="00EB66D5">
        <w:rPr>
          <w:lang w:val="es-ES_tradnl"/>
        </w:rPr>
        <w:t xml:space="preserve"> </w:t>
      </w:r>
      <w:r w:rsidR="008A194F" w:rsidRPr="005541A0">
        <w:rPr>
          <w:rFonts w:ascii="Book Antiqua" w:hAnsi="Book Antiqua"/>
          <w:lang w:val="es-PR"/>
        </w:rPr>
        <w:t xml:space="preserve">ordenar a la Comisión de </w:t>
      </w:r>
      <w:r w:rsidR="008A194F">
        <w:rPr>
          <w:rFonts w:ascii="Book Antiqua" w:hAnsi="Book Antiqua"/>
          <w:lang w:val="es-PR"/>
        </w:rPr>
        <w:t>Transportación e Infraestructura</w:t>
      </w:r>
      <w:r w:rsidR="008A194F" w:rsidRPr="005541A0">
        <w:rPr>
          <w:rFonts w:ascii="Book Antiqua" w:hAnsi="Book Antiqua"/>
          <w:lang w:val="es-PR"/>
        </w:rPr>
        <w:t xml:space="preserve"> de la Cámara de Representantes de Puerto Rico realizar una investigación sobre todo asunto relacionado con la implantación de la política pública</w:t>
      </w:r>
      <w:r w:rsidR="008A194F">
        <w:rPr>
          <w:rFonts w:ascii="Book Antiqua" w:hAnsi="Book Antiqua"/>
          <w:lang w:val="es-PR"/>
        </w:rPr>
        <w:t xml:space="preserve"> establecida por la </w:t>
      </w:r>
      <w:r w:rsidR="008A194F" w:rsidRPr="005541A0">
        <w:rPr>
          <w:rFonts w:ascii="Book Antiqua" w:hAnsi="Book Antiqua"/>
          <w:lang w:val="es-PR"/>
        </w:rPr>
        <w:t>Ley Núm. 201</w:t>
      </w:r>
      <w:r w:rsidR="008A194F">
        <w:rPr>
          <w:rFonts w:ascii="Book Antiqua" w:hAnsi="Book Antiqua"/>
          <w:lang w:val="es-PR"/>
        </w:rPr>
        <w:t>-</w:t>
      </w:r>
      <w:r w:rsidR="008A194F" w:rsidRPr="005541A0">
        <w:rPr>
          <w:rFonts w:ascii="Book Antiqua" w:hAnsi="Book Antiqua"/>
          <w:lang w:val="es-PR"/>
        </w:rPr>
        <w:t>2010, según enmendada</w:t>
      </w:r>
      <w:r w:rsidR="008A194F">
        <w:rPr>
          <w:rFonts w:ascii="Book Antiqua" w:hAnsi="Book Antiqua"/>
          <w:lang w:val="es-PR"/>
        </w:rPr>
        <w:t xml:space="preserve">, mejor conocida como la </w:t>
      </w:r>
      <w:r w:rsidR="008A194F" w:rsidRPr="005541A0">
        <w:rPr>
          <w:rFonts w:ascii="Book Antiqua" w:hAnsi="Book Antiqua"/>
          <w:lang w:val="es-PR"/>
        </w:rPr>
        <w:t>“Ley para Declarar la Política Pública sobre la Adopción del Concepto de Calles Completas</w:t>
      </w:r>
      <w:r w:rsidR="008A194F">
        <w:rPr>
          <w:rFonts w:ascii="Book Antiqua" w:hAnsi="Book Antiqua"/>
          <w:lang w:val="es-PR"/>
        </w:rPr>
        <w:t xml:space="preserve"> </w:t>
      </w:r>
      <w:r w:rsidR="008A194F" w:rsidRPr="005541A0">
        <w:rPr>
          <w:rFonts w:ascii="Book Antiqua" w:hAnsi="Book Antiqua"/>
          <w:lang w:val="es-PR"/>
        </w:rPr>
        <w:t>o ‘Complete Streets’”;</w:t>
      </w:r>
      <w:r w:rsidR="008A194F">
        <w:rPr>
          <w:rFonts w:ascii="Book Antiqua" w:hAnsi="Book Antiqua"/>
          <w:lang w:val="es-PR"/>
        </w:rPr>
        <w:t xml:space="preserve"> el cumplimiento de las entidades de gobierno a nivel estatal y municipal responsables en ley para su implantación; los logros alcanzados; los retos que han enfrentado; propuestas para adelantar la implantación de la ley hacia el futuro; </w:t>
      </w:r>
      <w:r w:rsidR="008A194F" w:rsidRPr="005541A0">
        <w:rPr>
          <w:rFonts w:ascii="Book Antiqua" w:hAnsi="Book Antiqua"/>
          <w:lang w:val="es-PR"/>
        </w:rPr>
        <w:t>y para otros fines relacionados</w:t>
      </w:r>
      <w:r w:rsidR="00EB66D5" w:rsidRPr="00EB66D5">
        <w:rPr>
          <w:rFonts w:ascii="Book Antiqua" w:hAnsi="Book Antiqua" w:cs="Tahoma"/>
          <w:lang w:val="es-ES_tradnl"/>
        </w:rPr>
        <w:t>.</w:t>
      </w:r>
      <w:r w:rsidR="00FA5F29" w:rsidRPr="00EB66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B66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B66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B66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B66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52E331" w14:textId="26830A73" w:rsidR="00EB66D5" w:rsidRPr="00EB66D5" w:rsidRDefault="00DE02EB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</w:t>
      </w:r>
      <w:r w:rsidR="00194744" w:rsidRPr="00EB66D5">
        <w:rPr>
          <w:rFonts w:ascii="Book Antiqua" w:hAnsi="Book Antiqua"/>
          <w:lang w:val="es-ES_tradnl"/>
        </w:rPr>
        <w:t xml:space="preserve"> Resolución de la Cámara Núm.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D42AEC">
        <w:rPr>
          <w:rFonts w:ascii="Book Antiqua" w:hAnsi="Book Antiqua"/>
          <w:lang w:val="es-ES_tradnl"/>
        </w:rPr>
        <w:t>371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DF3E6F" w:rsidRPr="00EB66D5">
        <w:rPr>
          <w:rFonts w:ascii="Book Antiqua" w:hAnsi="Book Antiqua"/>
          <w:lang w:val="es-ES_tradnl"/>
        </w:rPr>
        <w:t xml:space="preserve">tiene el propósito de </w:t>
      </w:r>
      <w:r w:rsidR="008A194F" w:rsidRPr="005541A0">
        <w:rPr>
          <w:rFonts w:ascii="Book Antiqua" w:hAnsi="Book Antiqua"/>
          <w:lang w:val="es-PR"/>
        </w:rPr>
        <w:t>realizar una investigación sobre todo asunto relacionado con la implantación de la política pública</w:t>
      </w:r>
      <w:r w:rsidR="008A194F">
        <w:rPr>
          <w:rFonts w:ascii="Book Antiqua" w:hAnsi="Book Antiqua"/>
          <w:lang w:val="es-PR"/>
        </w:rPr>
        <w:t xml:space="preserve"> establecida por la </w:t>
      </w:r>
      <w:r w:rsidR="008A194F" w:rsidRPr="005541A0">
        <w:rPr>
          <w:rFonts w:ascii="Book Antiqua" w:hAnsi="Book Antiqua"/>
          <w:lang w:val="es-PR"/>
        </w:rPr>
        <w:t>Ley Núm. 201</w:t>
      </w:r>
      <w:r w:rsidR="008A194F">
        <w:rPr>
          <w:rFonts w:ascii="Book Antiqua" w:hAnsi="Book Antiqua"/>
          <w:lang w:val="es-PR"/>
        </w:rPr>
        <w:t>-</w:t>
      </w:r>
      <w:r w:rsidR="008A194F" w:rsidRPr="005541A0">
        <w:rPr>
          <w:rFonts w:ascii="Book Antiqua" w:hAnsi="Book Antiqua"/>
          <w:lang w:val="es-PR"/>
        </w:rPr>
        <w:t>2010, según enmendada</w:t>
      </w:r>
      <w:r w:rsidR="008A194F">
        <w:rPr>
          <w:rFonts w:ascii="Book Antiqua" w:hAnsi="Book Antiqua"/>
          <w:lang w:val="es-PR"/>
        </w:rPr>
        <w:t xml:space="preserve">, mejor conocida como la </w:t>
      </w:r>
      <w:r w:rsidR="008A194F" w:rsidRPr="005541A0">
        <w:rPr>
          <w:rFonts w:ascii="Book Antiqua" w:hAnsi="Book Antiqua"/>
          <w:lang w:val="es-PR"/>
        </w:rPr>
        <w:t>“Ley para Declarar la Política Pública sobre la Adopción del Concepto de Calles Completas</w:t>
      </w:r>
      <w:r w:rsidR="008A194F">
        <w:rPr>
          <w:rFonts w:ascii="Book Antiqua" w:hAnsi="Book Antiqua"/>
          <w:lang w:val="es-PR"/>
        </w:rPr>
        <w:t xml:space="preserve"> </w:t>
      </w:r>
      <w:r w:rsidR="008A194F" w:rsidRPr="005541A0">
        <w:rPr>
          <w:rFonts w:ascii="Book Antiqua" w:hAnsi="Book Antiqua"/>
          <w:lang w:val="es-PR"/>
        </w:rPr>
        <w:t>o ‘Complete Streets’”;</w:t>
      </w:r>
      <w:r w:rsidR="008A194F">
        <w:rPr>
          <w:rFonts w:ascii="Book Antiqua" w:hAnsi="Book Antiqua"/>
          <w:lang w:val="es-PR"/>
        </w:rPr>
        <w:t xml:space="preserve"> el cumplimiento de las entidades de gobierno a nivel estatal y municipal responsables en ley para su implantación; los logros alcanzados; los retos que </w:t>
      </w:r>
      <w:r w:rsidR="008A194F">
        <w:rPr>
          <w:rFonts w:ascii="Book Antiqua" w:hAnsi="Book Antiqua"/>
          <w:lang w:val="es-PR"/>
        </w:rPr>
        <w:lastRenderedPageBreak/>
        <w:t xml:space="preserve">han enfrentado; propuestas para adelantar la implantación de la ley hacia el futuro; </w:t>
      </w:r>
      <w:r w:rsidR="008A194F" w:rsidRPr="005541A0">
        <w:rPr>
          <w:rFonts w:ascii="Book Antiqua" w:hAnsi="Book Antiqua"/>
          <w:lang w:val="es-PR"/>
        </w:rPr>
        <w:t>y para otros fines relacionados</w:t>
      </w:r>
      <w:r w:rsidR="00EB66D5" w:rsidRPr="00EB66D5">
        <w:rPr>
          <w:rFonts w:ascii="Book Antiqua" w:hAnsi="Book Antiqua"/>
          <w:lang w:val="es-ES_tradnl"/>
        </w:rPr>
        <w:t>.</w:t>
      </w:r>
    </w:p>
    <w:p w14:paraId="5FF44728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23E29D8D" w14:textId="59C3A357" w:rsidR="00EB66D5" w:rsidRDefault="00EB66D5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En la Exposición de Motivos se </w:t>
      </w:r>
      <w:r w:rsidR="004B4AF9">
        <w:rPr>
          <w:rFonts w:ascii="Book Antiqua" w:hAnsi="Book Antiqua"/>
          <w:lang w:val="es-ES_tradnl"/>
        </w:rPr>
        <w:t xml:space="preserve">indica </w:t>
      </w:r>
      <w:r w:rsidR="00F618BC">
        <w:rPr>
          <w:rFonts w:ascii="Book Antiqua" w:hAnsi="Book Antiqua"/>
          <w:lang w:val="es-ES_tradnl"/>
        </w:rPr>
        <w:t>que,</w:t>
      </w:r>
      <w:r w:rsidR="004B4AF9">
        <w:rPr>
          <w:rFonts w:ascii="Book Antiqua" w:hAnsi="Book Antiqua"/>
          <w:lang w:val="es-ES_tradnl"/>
        </w:rPr>
        <w:t xml:space="preserve"> </w:t>
      </w:r>
      <w:r w:rsidR="00F618BC">
        <w:rPr>
          <w:rFonts w:ascii="Book Antiqua" w:hAnsi="Book Antiqua"/>
          <w:lang w:val="es-ES_tradnl"/>
        </w:rPr>
        <w:t xml:space="preserve">a </w:t>
      </w:r>
      <w:r w:rsidR="00F618BC" w:rsidRPr="005661B2">
        <w:rPr>
          <w:rFonts w:ascii="Book Antiqua" w:hAnsi="Book Antiqua"/>
          <w:lang w:val="es-PR"/>
        </w:rPr>
        <w:t xml:space="preserve">finales de este año, se estarán cumpliendo 15 años de haberse aprobado la Ley 201-2010, la cual declaró la política pública sobre la adopción del concepto de </w:t>
      </w:r>
      <w:r w:rsidR="00F618BC">
        <w:rPr>
          <w:rFonts w:ascii="Book Antiqua" w:hAnsi="Book Antiqua"/>
          <w:lang w:val="es-PR"/>
        </w:rPr>
        <w:t>“</w:t>
      </w:r>
      <w:r w:rsidR="00F618BC" w:rsidRPr="005661B2">
        <w:rPr>
          <w:rFonts w:ascii="Book Antiqua" w:hAnsi="Book Antiqua"/>
          <w:lang w:val="es-PR"/>
        </w:rPr>
        <w:t>calles completas</w:t>
      </w:r>
      <w:r w:rsidR="00F618BC">
        <w:rPr>
          <w:rFonts w:ascii="Book Antiqua" w:hAnsi="Book Antiqua"/>
          <w:lang w:val="es-PR"/>
        </w:rPr>
        <w:t>”</w:t>
      </w:r>
      <w:r w:rsidR="00F618BC" w:rsidRPr="005661B2">
        <w:rPr>
          <w:rFonts w:ascii="Book Antiqua" w:hAnsi="Book Antiqua"/>
          <w:lang w:val="es-PR"/>
        </w:rPr>
        <w:t xml:space="preserve"> en Puerto Rico. La misma se dirigió a la adopción de este concepto para la planificación, diseño, construcción, reconstrucción, remodelación y mantenimiento de las vías pública</w:t>
      </w:r>
      <w:r w:rsidR="00F618BC">
        <w:rPr>
          <w:rFonts w:ascii="Book Antiqua" w:hAnsi="Book Antiqua"/>
          <w:lang w:val="es-PR"/>
        </w:rPr>
        <w:t>s; y</w:t>
      </w:r>
      <w:r w:rsidR="00F618BC" w:rsidRPr="005661B2">
        <w:rPr>
          <w:rFonts w:ascii="Book Antiqua" w:hAnsi="Book Antiqua"/>
          <w:lang w:val="es-PR"/>
        </w:rPr>
        <w:t xml:space="preserve"> busca facilitar el acceso y movilidad a todos los usuarios de las vías públicas, incluyendo peatones, ciclistas, usuarios del transporte público y conductores</w:t>
      </w:r>
      <w:r w:rsidRPr="00EB66D5">
        <w:rPr>
          <w:rFonts w:ascii="Book Antiqua" w:hAnsi="Book Antiqua"/>
          <w:lang w:val="es-ES_tradnl"/>
        </w:rPr>
        <w:t>.</w:t>
      </w:r>
    </w:p>
    <w:p w14:paraId="2C4EBD91" w14:textId="5F7D2412" w:rsidR="00A51ABA" w:rsidRDefault="00CE3203" w:rsidP="00EB66D5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78FF4828" w14:textId="367355F9" w:rsidR="00CE3203" w:rsidRDefault="00CE3203" w:rsidP="00EB66D5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ab/>
        <w:t xml:space="preserve">Por otro lado, se indica que </w:t>
      </w:r>
      <w:r w:rsidR="00046F67">
        <w:rPr>
          <w:rFonts w:ascii="Book Antiqua" w:hAnsi="Book Antiqua"/>
          <w:lang w:val="es-PR"/>
        </w:rPr>
        <w:t xml:space="preserve">2018, la Autoridad de Carreteras sometió las Guías de Diseño de Calles Completas para todo tipo de calle, o carretera, sea urbana, suburbana o rural. A través de los </w:t>
      </w:r>
      <w:r w:rsidR="003C4B70">
        <w:rPr>
          <w:rFonts w:ascii="Book Antiqua" w:hAnsi="Book Antiqua"/>
          <w:lang w:val="es-PR"/>
        </w:rPr>
        <w:t>años</w:t>
      </w:r>
      <w:r w:rsidR="00046F67">
        <w:rPr>
          <w:rFonts w:ascii="Book Antiqua" w:hAnsi="Book Antiqua"/>
          <w:lang w:val="es-PR"/>
        </w:rPr>
        <w:t xml:space="preserve"> se ha promovido las Ordenanzas Municipales y entendemos que no llegan a 20 los municipios con estas ordenanzas y muchos menos que las estén implementando</w:t>
      </w:r>
      <w:r w:rsidR="008854E8">
        <w:rPr>
          <w:rFonts w:ascii="Book Antiqua" w:hAnsi="Book Antiqua"/>
          <w:lang w:val="es-PR"/>
        </w:rPr>
        <w:t>.</w:t>
      </w:r>
      <w:r w:rsidR="002A3C0A">
        <w:rPr>
          <w:rFonts w:ascii="Book Antiqua" w:hAnsi="Book Antiqua"/>
          <w:lang w:val="es-PR"/>
        </w:rPr>
        <w:t xml:space="preserve"> Asimismo, destacan problemas como l</w:t>
      </w:r>
      <w:r w:rsidR="002A3C0A" w:rsidRPr="009374B1">
        <w:rPr>
          <w:rFonts w:ascii="Book Antiqua" w:hAnsi="Book Antiqua"/>
          <w:lang w:val="es-PR"/>
        </w:rPr>
        <w:t>a falta de planificación de estacionamientos</w:t>
      </w:r>
      <w:r w:rsidR="002A3C0A">
        <w:rPr>
          <w:rFonts w:ascii="Book Antiqua" w:hAnsi="Book Antiqua"/>
          <w:lang w:val="es-PR"/>
        </w:rPr>
        <w:t>, lo que provoca</w:t>
      </w:r>
      <w:r w:rsidR="002A3C0A" w:rsidRPr="009374B1">
        <w:rPr>
          <w:rFonts w:ascii="Book Antiqua" w:hAnsi="Book Antiqua"/>
          <w:lang w:val="es-PR"/>
        </w:rPr>
        <w:t xml:space="preserve"> que las personas estacionen sus autos en las aceras</w:t>
      </w:r>
      <w:r w:rsidR="002A3C0A">
        <w:rPr>
          <w:rFonts w:ascii="Book Antiqua" w:hAnsi="Book Antiqua"/>
          <w:lang w:val="es-PR"/>
        </w:rPr>
        <w:t>,</w:t>
      </w:r>
      <w:r w:rsidR="002A3C0A" w:rsidRPr="009374B1">
        <w:rPr>
          <w:rFonts w:ascii="Book Antiqua" w:hAnsi="Book Antiqua"/>
          <w:lang w:val="es-PR"/>
        </w:rPr>
        <w:t xml:space="preserve"> y </w:t>
      </w:r>
      <w:r w:rsidR="002A3C0A">
        <w:rPr>
          <w:rFonts w:ascii="Book Antiqua" w:hAnsi="Book Antiqua"/>
          <w:lang w:val="es-PR"/>
        </w:rPr>
        <w:t xml:space="preserve">el que </w:t>
      </w:r>
      <w:r w:rsidR="002A3C0A" w:rsidRPr="009374B1">
        <w:rPr>
          <w:rFonts w:ascii="Book Antiqua" w:hAnsi="Book Antiqua"/>
          <w:lang w:val="es-PR"/>
        </w:rPr>
        <w:t>las utilidades construyan barreras bloqueando el acceso en nuestras calles</w:t>
      </w:r>
      <w:r w:rsidR="002A3C0A">
        <w:rPr>
          <w:rFonts w:ascii="Book Antiqua" w:hAnsi="Book Antiqua"/>
          <w:lang w:val="es-PR"/>
        </w:rPr>
        <w:t>.</w:t>
      </w:r>
    </w:p>
    <w:p w14:paraId="2624833B" w14:textId="393F79D4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05E78832" w14:textId="157966B5" w:rsidR="00DF3E6F" w:rsidRPr="00EB66D5" w:rsidRDefault="00EB66D5" w:rsidP="008362B9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 medida responde al interés legítimo de velar por el cumplimiento de las disposiciones legales aplicables,</w:t>
      </w:r>
      <w:r w:rsidR="00555B12">
        <w:rPr>
          <w:rFonts w:ascii="Book Antiqua" w:hAnsi="Book Antiqua"/>
          <w:lang w:val="es-ES_tradnl"/>
        </w:rPr>
        <w:t xml:space="preserve"> y</w:t>
      </w:r>
      <w:r w:rsidRPr="00EB66D5">
        <w:rPr>
          <w:rFonts w:ascii="Book Antiqua" w:hAnsi="Book Antiqua"/>
          <w:lang w:val="es-ES_tradnl"/>
        </w:rPr>
        <w:t xml:space="preserve"> la protección de </w:t>
      </w:r>
      <w:r w:rsidR="00555B12">
        <w:rPr>
          <w:rFonts w:ascii="Book Antiqua" w:hAnsi="Book Antiqua"/>
          <w:lang w:val="es-ES_tradnl"/>
        </w:rPr>
        <w:t>los ciudadanos para garantizar su calidad de vida</w:t>
      </w:r>
      <w:r w:rsidRPr="00EB66D5">
        <w:rPr>
          <w:rFonts w:ascii="Book Antiqua" w:hAnsi="Book Antiqua"/>
          <w:lang w:val="es-ES_tradnl"/>
        </w:rPr>
        <w:t>.</w:t>
      </w:r>
    </w:p>
    <w:p w14:paraId="7645A4CC" w14:textId="77777777" w:rsidR="006150BB" w:rsidRPr="00EB66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66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5D742D1B" w:rsidR="001A02E8" w:rsidRPr="00EB66D5" w:rsidRDefault="001A02E8" w:rsidP="00555B1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EB66D5" w:rsidRPr="00EB66D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D42AEC">
        <w:rPr>
          <w:rFonts w:ascii="Book Antiqua" w:hAnsi="Book Antiqua"/>
          <w:sz w:val="24"/>
          <w:szCs w:val="24"/>
          <w:lang w:val="es-ES_tradnl"/>
        </w:rPr>
        <w:t>371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, con las enmiendas </w:t>
      </w:r>
      <w:r w:rsidR="00555B12">
        <w:rPr>
          <w:rFonts w:ascii="Book Antiqua" w:hAnsi="Book Antiqua"/>
          <w:sz w:val="24"/>
          <w:szCs w:val="24"/>
          <w:lang w:val="es-ES_tradnl"/>
        </w:rPr>
        <w:t>incluidas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 en el </w:t>
      </w:r>
      <w:proofErr w:type="spellStart"/>
      <w:r w:rsidRPr="00EB66D5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EB66D5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1D44C8E2" w:rsidR="006150BB" w:rsidRPr="00EB66D5" w:rsidRDefault="006150BB" w:rsidP="00EB66D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EB66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6A09A075" w:rsidR="003F3D8D" w:rsidRPr="00F1466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EB66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B66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B66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B66D5">
        <w:rPr>
          <w:rFonts w:ascii="Book Antiqua" w:hAnsi="Book Antiqua" w:cs="Tahoma"/>
          <w:lang w:val="es-ES_tradnl"/>
        </w:rPr>
        <w:br/>
      </w:r>
      <w:proofErr w:type="gramStart"/>
      <w:r w:rsidRPr="00EB66D5">
        <w:rPr>
          <w:rFonts w:ascii="Book Antiqua" w:hAnsi="Book Antiqua" w:cs="Tahoma"/>
          <w:lang w:val="es-ES_tradnl"/>
        </w:rPr>
        <w:t>Presidente</w:t>
      </w:r>
      <w:proofErr w:type="gramEnd"/>
      <w:r w:rsidRPr="00EB66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B66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980443">
    <w:abstractNumId w:val="6"/>
  </w:num>
  <w:num w:numId="2" w16cid:durableId="1855999475">
    <w:abstractNumId w:val="12"/>
  </w:num>
  <w:num w:numId="3" w16cid:durableId="1384256607">
    <w:abstractNumId w:val="3"/>
  </w:num>
  <w:num w:numId="4" w16cid:durableId="993291474">
    <w:abstractNumId w:val="1"/>
  </w:num>
  <w:num w:numId="5" w16cid:durableId="2014914003">
    <w:abstractNumId w:val="7"/>
  </w:num>
  <w:num w:numId="6" w16cid:durableId="1770810230">
    <w:abstractNumId w:val="4"/>
  </w:num>
  <w:num w:numId="7" w16cid:durableId="1165511502">
    <w:abstractNumId w:val="5"/>
  </w:num>
  <w:num w:numId="8" w16cid:durableId="1757555150">
    <w:abstractNumId w:val="8"/>
  </w:num>
  <w:num w:numId="9" w16cid:durableId="1584417663">
    <w:abstractNumId w:val="9"/>
  </w:num>
  <w:num w:numId="10" w16cid:durableId="1694919114">
    <w:abstractNumId w:val="0"/>
  </w:num>
  <w:num w:numId="11" w16cid:durableId="1485394271">
    <w:abstractNumId w:val="2"/>
  </w:num>
  <w:num w:numId="12" w16cid:durableId="144320806">
    <w:abstractNumId w:val="11"/>
  </w:num>
  <w:num w:numId="13" w16cid:durableId="1279681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6F67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3C0A"/>
    <w:rsid w:val="002A5F77"/>
    <w:rsid w:val="002C39FD"/>
    <w:rsid w:val="002E3557"/>
    <w:rsid w:val="00307416"/>
    <w:rsid w:val="003139DC"/>
    <w:rsid w:val="003222AE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4B70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B4AF9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471D2"/>
    <w:rsid w:val="00555B12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362B9"/>
    <w:rsid w:val="00846B7C"/>
    <w:rsid w:val="00851127"/>
    <w:rsid w:val="008854E8"/>
    <w:rsid w:val="008A194F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35857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1ABA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3203"/>
    <w:rsid w:val="00D42962"/>
    <w:rsid w:val="00D42AEC"/>
    <w:rsid w:val="00D73B0E"/>
    <w:rsid w:val="00D77659"/>
    <w:rsid w:val="00DA12F5"/>
    <w:rsid w:val="00DA3200"/>
    <w:rsid w:val="00DA5CFA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27509"/>
    <w:rsid w:val="00E33303"/>
    <w:rsid w:val="00E7273B"/>
    <w:rsid w:val="00E8699D"/>
    <w:rsid w:val="00E86FF9"/>
    <w:rsid w:val="00EB0209"/>
    <w:rsid w:val="00EB3FFE"/>
    <w:rsid w:val="00EB66D5"/>
    <w:rsid w:val="00ED37CF"/>
    <w:rsid w:val="00EF143E"/>
    <w:rsid w:val="00EF4A8F"/>
    <w:rsid w:val="00F059A3"/>
    <w:rsid w:val="00F06902"/>
    <w:rsid w:val="00F1466B"/>
    <w:rsid w:val="00F21532"/>
    <w:rsid w:val="00F226DF"/>
    <w:rsid w:val="00F27289"/>
    <w:rsid w:val="00F36705"/>
    <w:rsid w:val="00F533D4"/>
    <w:rsid w:val="00F618BC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138344E-183B-4E33-BA3A-F9984B9C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3097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2025-07-22T14:29:00Z</dcterms:created>
  <dcterms:modified xsi:type="dcterms:W3CDTF">2025-07-22T14:29:00Z</dcterms:modified>
</cp:coreProperties>
</file>