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21298" w14:textId="77777777" w:rsidR="00AB3735" w:rsidRDefault="00AB3735" w:rsidP="00AB3735">
      <w:pPr>
        <w:jc w:val="center"/>
        <w:rPr>
          <w:rFonts w:ascii="Book Antiqua" w:eastAsia="Book Antiqua" w:hAnsi="Book Antiqua" w:cs="Book Antiqua"/>
          <w:b/>
          <w:bCs/>
          <w:szCs w:val="24"/>
          <w:lang w:val="es-PR"/>
        </w:rPr>
      </w:pPr>
      <w:bookmarkStart w:id="0" w:name="_Hlk138253982"/>
      <w:r>
        <w:rPr>
          <w:rFonts w:ascii="Book Antiqua" w:eastAsia="Book Antiqua" w:hAnsi="Book Antiqua" w:cs="Book Antiqua"/>
          <w:b/>
          <w:bCs/>
          <w:szCs w:val="24"/>
          <w:lang w:val="es-PR"/>
        </w:rPr>
        <w:t>(TEXTO DE APROBACIÓN FINAL POR LA CÁMARA)</w:t>
      </w:r>
      <w:r>
        <w:fldChar w:fldCharType="begin"/>
      </w:r>
      <w:r>
        <w:rPr>
          <w:rFonts w:ascii="Book Antiqua" w:eastAsia="Book Antiqua" w:hAnsi="Book Antiqua" w:cs="Book Antiqua"/>
          <w:b/>
          <w:bCs/>
          <w:szCs w:val="24"/>
          <w:lang w:val="es-PR"/>
        </w:rPr>
        <w:instrText xml:space="preserve">PRIVATE </w:instrText>
      </w:r>
      <w:r>
        <w:fldChar w:fldCharType="end"/>
      </w:r>
    </w:p>
    <w:p w14:paraId="63804B80" w14:textId="77777777" w:rsidR="00AB3735" w:rsidRDefault="00AB3735" w:rsidP="00AB3735">
      <w:pPr>
        <w:jc w:val="center"/>
        <w:rPr>
          <w:rFonts w:ascii="Book Antiqua" w:eastAsia="Book Antiqua" w:hAnsi="Book Antiqua" w:cs="Book Antiqua"/>
          <w:b/>
          <w:bCs/>
          <w:sz w:val="28"/>
          <w:szCs w:val="28"/>
          <w:lang w:val="es-PR"/>
        </w:rPr>
      </w:pPr>
      <w:r>
        <w:rPr>
          <w:rFonts w:ascii="Book Antiqua" w:eastAsia="Book Antiqua" w:hAnsi="Book Antiqua" w:cs="Book Antiqua"/>
          <w:b/>
          <w:bCs/>
          <w:szCs w:val="24"/>
          <w:lang w:val="es-PR"/>
        </w:rPr>
        <w:t>(18 DE AGOSTO DE 2025)</w:t>
      </w:r>
    </w:p>
    <w:p w14:paraId="4BDD581F" w14:textId="77777777" w:rsidR="00AB3735" w:rsidRDefault="00AB3735" w:rsidP="00AB3735">
      <w:pPr>
        <w:jc w:val="center"/>
        <w:rPr>
          <w:rFonts w:ascii="Book Antiqua" w:eastAsia="Book Antiqua" w:hAnsi="Book Antiqua" w:cs="Book Antiqua"/>
          <w:b/>
          <w:bCs/>
          <w:sz w:val="28"/>
          <w:szCs w:val="28"/>
          <w:lang w:val="es-ES_tradnl"/>
        </w:rPr>
      </w:pPr>
      <w:r>
        <w:rPr>
          <w:noProof/>
        </w:rPr>
        <mc:AlternateContent>
          <mc:Choice Requires="wps">
            <w:drawing>
              <wp:anchor distT="0" distB="0" distL="114300" distR="114300" simplePos="0" relativeHeight="251659264" behindDoc="1" locked="0" layoutInCell="0" allowOverlap="1" wp14:anchorId="058A8950" wp14:editId="2EC272B1">
                <wp:simplePos x="0" y="0"/>
                <wp:positionH relativeFrom="margin">
                  <wp:posOffset>0</wp:posOffset>
                </wp:positionH>
                <wp:positionV relativeFrom="paragraph">
                  <wp:posOffset>0</wp:posOffset>
                </wp:positionV>
                <wp:extent cx="5943600" cy="22860"/>
                <wp:effectExtent l="0" t="0" r="0" b="0"/>
                <wp:wrapNone/>
                <wp:docPr id="87341041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EC46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16D2136" w14:textId="5148956C" w:rsidR="00BF7162" w:rsidRDefault="00BF7162" w:rsidP="00C726A6">
      <w:pPr>
        <w:jc w:val="center"/>
      </w:pPr>
      <w:r w:rsidRPr="57F30295">
        <w:rPr>
          <w:rFonts w:ascii="Book Antiqua" w:eastAsia="Book Antiqua" w:hAnsi="Book Antiqua" w:cs="Book Antiqua"/>
          <w:sz w:val="28"/>
          <w:szCs w:val="28"/>
          <w:lang w:val="es-PR"/>
        </w:rPr>
        <w:t>GOBIERNO DE PUERTO RICO</w:t>
      </w:r>
    </w:p>
    <w:p w14:paraId="629FFEA4" w14:textId="77777777" w:rsidR="00BF7162" w:rsidRPr="00C726A6" w:rsidRDefault="00BF7162" w:rsidP="00C726A6">
      <w:pPr>
        <w:jc w:val="center"/>
        <w:rPr>
          <w:szCs w:val="24"/>
        </w:rPr>
      </w:pPr>
      <w:r w:rsidRPr="00C726A6">
        <w:rPr>
          <w:rFonts w:ascii="Book Antiqua" w:eastAsia="Book Antiqua" w:hAnsi="Book Antiqua" w:cs="Book Antiqua"/>
          <w:szCs w:val="24"/>
          <w:lang w:val="es-PR"/>
        </w:rPr>
        <w:t xml:space="preserve"> </w:t>
      </w:r>
    </w:p>
    <w:tbl>
      <w:tblPr>
        <w:tblW w:w="0" w:type="auto"/>
        <w:tblLayout w:type="fixed"/>
        <w:tblLook w:val="04A0" w:firstRow="1" w:lastRow="0" w:firstColumn="1" w:lastColumn="0" w:noHBand="0" w:noVBand="1"/>
      </w:tblPr>
      <w:tblGrid>
        <w:gridCol w:w="2122"/>
        <w:gridCol w:w="3650"/>
        <w:gridCol w:w="3120"/>
      </w:tblGrid>
      <w:tr w:rsidR="00BF7162" w14:paraId="05E43836" w14:textId="77777777" w:rsidTr="00294BC9">
        <w:trPr>
          <w:trHeight w:val="300"/>
        </w:trPr>
        <w:tc>
          <w:tcPr>
            <w:tcW w:w="2122" w:type="dxa"/>
            <w:tcMar>
              <w:left w:w="108" w:type="dxa"/>
              <w:right w:w="108" w:type="dxa"/>
            </w:tcMar>
          </w:tcPr>
          <w:p w14:paraId="2EF8B43E" w14:textId="77777777" w:rsidR="00BF7162" w:rsidRDefault="00BF7162" w:rsidP="00C726A6">
            <w:r w:rsidRPr="57F30295">
              <w:rPr>
                <w:rFonts w:ascii="Book Antiqua" w:eastAsia="Book Antiqua" w:hAnsi="Book Antiqua" w:cs="Book Antiqua"/>
                <w:szCs w:val="24"/>
                <w:lang w:val="es-PR"/>
              </w:rPr>
              <w:t xml:space="preserve">20 </w:t>
            </w:r>
            <w:r w:rsidRPr="57F30295">
              <w:rPr>
                <w:rFonts w:ascii="Book Antiqua" w:eastAsia="Book Antiqua" w:hAnsi="Book Antiqua" w:cs="Book Antiqua"/>
                <w:szCs w:val="24"/>
                <w:vertAlign w:val="superscript"/>
                <w:lang w:val="es-PR"/>
              </w:rPr>
              <w:t xml:space="preserve">ma.  </w:t>
            </w:r>
            <w:r w:rsidRPr="57F30295">
              <w:rPr>
                <w:rFonts w:ascii="Book Antiqua" w:eastAsia="Book Antiqua" w:hAnsi="Book Antiqua" w:cs="Book Antiqua"/>
                <w:szCs w:val="24"/>
                <w:lang w:val="es-PR"/>
              </w:rPr>
              <w:t xml:space="preserve">Asamblea </w:t>
            </w:r>
          </w:p>
          <w:p w14:paraId="16278020" w14:textId="77777777" w:rsidR="00BF7162" w:rsidRDefault="00BF7162" w:rsidP="00C726A6">
            <w:pPr>
              <w:jc w:val="center"/>
            </w:pPr>
            <w:r w:rsidRPr="57F30295">
              <w:rPr>
                <w:rFonts w:ascii="Book Antiqua" w:eastAsia="Book Antiqua" w:hAnsi="Book Antiqua" w:cs="Book Antiqua"/>
                <w:szCs w:val="24"/>
                <w:lang w:val="es-PR"/>
              </w:rPr>
              <w:t xml:space="preserve">  Legislativa</w:t>
            </w:r>
          </w:p>
        </w:tc>
        <w:tc>
          <w:tcPr>
            <w:tcW w:w="3650" w:type="dxa"/>
            <w:tcMar>
              <w:left w:w="108" w:type="dxa"/>
              <w:right w:w="108" w:type="dxa"/>
            </w:tcMar>
          </w:tcPr>
          <w:p w14:paraId="046AF7B0" w14:textId="77777777" w:rsidR="00BF7162" w:rsidRDefault="00BF7162" w:rsidP="00C726A6">
            <w:pPr>
              <w:jc w:val="center"/>
            </w:pPr>
            <w:r w:rsidRPr="57F30295">
              <w:rPr>
                <w:rFonts w:ascii="Book Antiqua" w:eastAsia="Book Antiqua" w:hAnsi="Book Antiqua" w:cs="Book Antiqua"/>
                <w:szCs w:val="24"/>
                <w:lang w:val="es-PR"/>
              </w:rPr>
              <w:t xml:space="preserve"> </w:t>
            </w:r>
          </w:p>
          <w:p w14:paraId="16ACC6EC" w14:textId="77777777" w:rsidR="00BF7162" w:rsidRDefault="00BF7162" w:rsidP="00C726A6">
            <w:pPr>
              <w:jc w:val="center"/>
            </w:pPr>
            <w:r w:rsidRPr="57F30295">
              <w:rPr>
                <w:rFonts w:ascii="Book Antiqua" w:eastAsia="Book Antiqua" w:hAnsi="Book Antiqua" w:cs="Book Antiqua"/>
                <w:szCs w:val="24"/>
                <w:lang w:val="es-PR"/>
              </w:rPr>
              <w:t xml:space="preserve"> </w:t>
            </w:r>
          </w:p>
          <w:p w14:paraId="7D58171C" w14:textId="378BBDC8" w:rsidR="00BF7162" w:rsidRDefault="00BF7162" w:rsidP="00C726A6">
            <w:pPr>
              <w:jc w:val="center"/>
            </w:pPr>
          </w:p>
        </w:tc>
        <w:tc>
          <w:tcPr>
            <w:tcW w:w="3120" w:type="dxa"/>
            <w:tcMar>
              <w:left w:w="108" w:type="dxa"/>
              <w:right w:w="108" w:type="dxa"/>
            </w:tcMar>
          </w:tcPr>
          <w:p w14:paraId="377B8309" w14:textId="77777777" w:rsidR="00BF7162" w:rsidRDefault="00BF7162" w:rsidP="00C726A6">
            <w:pPr>
              <w:jc w:val="center"/>
            </w:pPr>
            <w:r w:rsidRPr="57F30295">
              <w:rPr>
                <w:rFonts w:ascii="Book Antiqua" w:eastAsia="Book Antiqua" w:hAnsi="Book Antiqua" w:cs="Book Antiqua"/>
                <w:szCs w:val="24"/>
                <w:lang w:val="es-PR"/>
              </w:rPr>
              <w:t xml:space="preserve">                    1</w:t>
            </w:r>
            <w:r w:rsidRPr="57F30295">
              <w:rPr>
                <w:rFonts w:ascii="Book Antiqua" w:eastAsia="Book Antiqua" w:hAnsi="Book Antiqua" w:cs="Book Antiqua"/>
                <w:szCs w:val="24"/>
                <w:vertAlign w:val="superscript"/>
                <w:lang w:val="es-PR"/>
              </w:rPr>
              <w:t xml:space="preserve">ra. </w:t>
            </w:r>
            <w:r w:rsidRPr="57F30295">
              <w:rPr>
                <w:rFonts w:ascii="Book Antiqua" w:eastAsia="Book Antiqua" w:hAnsi="Book Antiqua" w:cs="Book Antiqua"/>
                <w:szCs w:val="24"/>
                <w:lang w:val="es-PR"/>
              </w:rPr>
              <w:t>Sesión</w:t>
            </w:r>
          </w:p>
          <w:p w14:paraId="185EBF79" w14:textId="77777777" w:rsidR="00BF7162" w:rsidRDefault="00BF7162" w:rsidP="00C726A6">
            <w:pPr>
              <w:ind w:left="1440"/>
              <w:jc w:val="center"/>
            </w:pPr>
            <w:r w:rsidRPr="57F30295">
              <w:rPr>
                <w:rFonts w:ascii="Book Antiqua" w:eastAsia="Book Antiqua" w:hAnsi="Book Antiqua" w:cs="Book Antiqua"/>
                <w:szCs w:val="24"/>
                <w:lang w:val="es-PR"/>
              </w:rPr>
              <w:t>Ordinaria</w:t>
            </w:r>
          </w:p>
        </w:tc>
      </w:tr>
      <w:tr w:rsidR="00BF7162" w14:paraId="5BD88449" w14:textId="77777777" w:rsidTr="007D62A9">
        <w:trPr>
          <w:trHeight w:val="80"/>
        </w:trPr>
        <w:tc>
          <w:tcPr>
            <w:tcW w:w="2122" w:type="dxa"/>
            <w:tcMar>
              <w:left w:w="108" w:type="dxa"/>
              <w:right w:w="108" w:type="dxa"/>
            </w:tcMar>
          </w:tcPr>
          <w:p w14:paraId="1F4D2C63" w14:textId="77777777" w:rsidR="00BF7162" w:rsidRDefault="00BF7162" w:rsidP="00C726A6">
            <w:pPr>
              <w:rPr>
                <w:rFonts w:ascii="Book Antiqua" w:eastAsia="Book Antiqua" w:hAnsi="Book Antiqua" w:cs="Book Antiqua"/>
                <w:szCs w:val="24"/>
                <w:lang w:val="es-PR"/>
              </w:rPr>
            </w:pPr>
          </w:p>
        </w:tc>
        <w:tc>
          <w:tcPr>
            <w:tcW w:w="3650" w:type="dxa"/>
            <w:tcMar>
              <w:left w:w="108" w:type="dxa"/>
              <w:right w:w="108" w:type="dxa"/>
            </w:tcMar>
          </w:tcPr>
          <w:p w14:paraId="6EAC915A" w14:textId="77777777" w:rsidR="00BF7162" w:rsidRDefault="00BF7162" w:rsidP="00C726A6">
            <w:pPr>
              <w:jc w:val="center"/>
              <w:rPr>
                <w:rFonts w:ascii="Book Antiqua" w:eastAsia="Book Antiqua" w:hAnsi="Book Antiqua" w:cs="Book Antiqua"/>
                <w:szCs w:val="24"/>
                <w:lang w:val="es-PR"/>
              </w:rPr>
            </w:pPr>
          </w:p>
        </w:tc>
        <w:tc>
          <w:tcPr>
            <w:tcW w:w="3120" w:type="dxa"/>
            <w:tcMar>
              <w:left w:w="108" w:type="dxa"/>
              <w:right w:w="108" w:type="dxa"/>
            </w:tcMar>
          </w:tcPr>
          <w:p w14:paraId="6D511D28" w14:textId="77777777" w:rsidR="00BF7162" w:rsidRDefault="00BF7162" w:rsidP="00C726A6">
            <w:pPr>
              <w:jc w:val="center"/>
              <w:rPr>
                <w:rFonts w:ascii="Book Antiqua" w:eastAsia="Book Antiqua" w:hAnsi="Book Antiqua" w:cs="Book Antiqua"/>
                <w:szCs w:val="24"/>
                <w:lang w:val="es-PR"/>
              </w:rPr>
            </w:pPr>
          </w:p>
        </w:tc>
      </w:tr>
    </w:tbl>
    <w:p w14:paraId="1C57CEFF" w14:textId="77777777" w:rsidR="00BF7162" w:rsidRDefault="00BF7162" w:rsidP="00C726A6">
      <w:pPr>
        <w:jc w:val="center"/>
      </w:pPr>
      <w:r w:rsidRPr="57F30295">
        <w:rPr>
          <w:rFonts w:ascii="Book Antiqua" w:eastAsia="Book Antiqua" w:hAnsi="Book Antiqua" w:cs="Book Antiqua"/>
          <w:b/>
          <w:bCs/>
          <w:sz w:val="36"/>
          <w:szCs w:val="36"/>
          <w:lang w:val="es-PR"/>
        </w:rPr>
        <w:t>CÁMARA DE REPRESENTANTES</w:t>
      </w:r>
    </w:p>
    <w:p w14:paraId="6FACC461" w14:textId="77777777" w:rsidR="00BF7162" w:rsidRDefault="00BF7162" w:rsidP="00C726A6">
      <w:pPr>
        <w:jc w:val="center"/>
      </w:pPr>
      <w:r w:rsidRPr="57F30295">
        <w:rPr>
          <w:rFonts w:ascii="Book Antiqua" w:eastAsia="Book Antiqua" w:hAnsi="Book Antiqua" w:cs="Book Antiqua"/>
          <w:b/>
          <w:bCs/>
          <w:szCs w:val="24"/>
          <w:lang w:val="es-PR"/>
        </w:rPr>
        <w:t xml:space="preserve"> </w:t>
      </w:r>
    </w:p>
    <w:p w14:paraId="51F6C2D6" w14:textId="3B4F62C1" w:rsidR="00BF7162" w:rsidRDefault="00BF7162" w:rsidP="00C726A6">
      <w:pPr>
        <w:jc w:val="center"/>
      </w:pPr>
      <w:r w:rsidRPr="57F30295">
        <w:rPr>
          <w:rFonts w:ascii="Book Antiqua" w:eastAsia="Book Antiqua" w:hAnsi="Book Antiqua" w:cs="Book Antiqua"/>
          <w:b/>
          <w:bCs/>
          <w:sz w:val="52"/>
          <w:szCs w:val="52"/>
          <w:lang w:val="es-PR"/>
        </w:rPr>
        <w:t xml:space="preserve">R. de la C. </w:t>
      </w:r>
      <w:r w:rsidR="00076A86">
        <w:rPr>
          <w:rFonts w:ascii="Book Antiqua" w:eastAsia="Book Antiqua" w:hAnsi="Book Antiqua" w:cs="Book Antiqua"/>
          <w:b/>
          <w:bCs/>
          <w:sz w:val="52"/>
          <w:szCs w:val="52"/>
          <w:lang w:val="es-PR"/>
        </w:rPr>
        <w:t>371</w:t>
      </w:r>
    </w:p>
    <w:p w14:paraId="029D607D" w14:textId="77777777" w:rsidR="00BF7162" w:rsidRPr="00775A0E" w:rsidRDefault="00BF7162" w:rsidP="00C726A6">
      <w:pPr>
        <w:jc w:val="center"/>
        <w:rPr>
          <w:rFonts w:ascii="Book Antiqua" w:hAnsi="Book Antiqua"/>
          <w:szCs w:val="24"/>
          <w:lang w:val="es-PR"/>
        </w:rPr>
      </w:pPr>
    </w:p>
    <w:p w14:paraId="7E661917" w14:textId="7B29BC97" w:rsidR="00680991" w:rsidRDefault="00680991" w:rsidP="00C726A6">
      <w:pPr>
        <w:ind w:left="810" w:hanging="810"/>
        <w:jc w:val="center"/>
        <w:rPr>
          <w:rFonts w:ascii="Book Antiqua" w:hAnsi="Book Antiqua"/>
          <w:lang w:val="es-PR"/>
        </w:rPr>
      </w:pPr>
      <w:r>
        <w:rPr>
          <w:rFonts w:ascii="Book Antiqua" w:hAnsi="Book Antiqua"/>
          <w:lang w:val="es-PR"/>
        </w:rPr>
        <w:t>30 DE JUNIO DE 2025</w:t>
      </w:r>
    </w:p>
    <w:p w14:paraId="050D5D0E" w14:textId="77777777" w:rsidR="00680991" w:rsidRDefault="00680991" w:rsidP="00C726A6">
      <w:pPr>
        <w:ind w:left="810" w:hanging="810"/>
        <w:jc w:val="center"/>
        <w:rPr>
          <w:rFonts w:ascii="Book Antiqua" w:hAnsi="Book Antiqua"/>
          <w:lang w:val="es-PR"/>
        </w:rPr>
      </w:pPr>
    </w:p>
    <w:p w14:paraId="6A8B5F98" w14:textId="5203FF4D" w:rsidR="00BF7162" w:rsidRPr="003937E8" w:rsidRDefault="00BF7162" w:rsidP="00C726A6">
      <w:pPr>
        <w:ind w:left="810" w:hanging="810"/>
        <w:jc w:val="center"/>
        <w:rPr>
          <w:rFonts w:ascii="Book Antiqua" w:eastAsia="Aptos" w:hAnsi="Book Antiqua"/>
          <w:i/>
          <w:iCs/>
          <w:kern w:val="2"/>
          <w:lang w:val="es-ES"/>
          <w14:ligatures w14:val="standardContextual"/>
        </w:rPr>
      </w:pPr>
      <w:r w:rsidRPr="57F30295">
        <w:rPr>
          <w:rFonts w:ascii="Book Antiqua" w:hAnsi="Book Antiqua"/>
          <w:lang w:val="es-PR"/>
        </w:rPr>
        <w:t xml:space="preserve">Presentada por el representante </w:t>
      </w:r>
      <w:r w:rsidRPr="57F30295">
        <w:rPr>
          <w:rFonts w:ascii="Book Antiqua" w:hAnsi="Book Antiqua"/>
          <w:i/>
          <w:iCs/>
          <w:lang w:val="es-PR"/>
        </w:rPr>
        <w:t>Méndez Núñez</w:t>
      </w:r>
    </w:p>
    <w:p w14:paraId="7FDF2F4C" w14:textId="77777777" w:rsidR="00BF7162" w:rsidRDefault="00BF7162" w:rsidP="00C726A6">
      <w:pPr>
        <w:ind w:left="810" w:hanging="810"/>
        <w:jc w:val="center"/>
        <w:rPr>
          <w:rFonts w:ascii="Book Antiqua" w:hAnsi="Book Antiqua"/>
          <w:i/>
          <w:iCs/>
          <w:lang w:val="es-PR"/>
        </w:rPr>
      </w:pPr>
      <w:r w:rsidRPr="57F30295">
        <w:rPr>
          <w:rFonts w:ascii="Book Antiqua" w:hAnsi="Book Antiqua"/>
          <w:i/>
          <w:iCs/>
          <w:lang w:val="es-PR"/>
        </w:rPr>
        <w:t>Por Petición de AARP Puerto Rico</w:t>
      </w:r>
    </w:p>
    <w:p w14:paraId="302668BA" w14:textId="77777777" w:rsidR="00BF7162" w:rsidRPr="00775A0E" w:rsidRDefault="00BF7162" w:rsidP="00C726A6">
      <w:pPr>
        <w:jc w:val="center"/>
        <w:rPr>
          <w:rFonts w:ascii="Book Antiqua" w:hAnsi="Book Antiqua"/>
          <w:szCs w:val="24"/>
          <w:lang w:val="es-PR"/>
        </w:rPr>
      </w:pPr>
    </w:p>
    <w:p w14:paraId="4C8C739F" w14:textId="040291AD" w:rsidR="00BF7162" w:rsidRPr="00775A0E" w:rsidRDefault="007D62A9" w:rsidP="00C726A6">
      <w:pPr>
        <w:jc w:val="center"/>
        <w:rPr>
          <w:rFonts w:ascii="Book Antiqua" w:hAnsi="Book Antiqua"/>
          <w:lang w:val="es-PR"/>
        </w:rPr>
      </w:pPr>
      <w:r w:rsidRPr="007D62A9">
        <w:rPr>
          <w:rFonts w:ascii="Book Antiqua" w:hAnsi="Book Antiqua"/>
          <w:lang w:val="es-PR"/>
        </w:rPr>
        <w:t>Referida a la Comisión de Asuntos Internos</w:t>
      </w:r>
    </w:p>
    <w:p w14:paraId="433C829D" w14:textId="77777777" w:rsidR="00BF7162" w:rsidRPr="00775A0E" w:rsidRDefault="00BF7162" w:rsidP="00C726A6">
      <w:pPr>
        <w:jc w:val="both"/>
        <w:rPr>
          <w:rFonts w:ascii="Book Antiqua" w:hAnsi="Book Antiqua"/>
          <w:szCs w:val="24"/>
          <w:lang w:val="es-PR"/>
        </w:rPr>
      </w:pPr>
    </w:p>
    <w:p w14:paraId="036B9170" w14:textId="77777777" w:rsidR="00BF7162" w:rsidRPr="00B36DFA" w:rsidRDefault="00BF7162" w:rsidP="00C726A6">
      <w:pPr>
        <w:jc w:val="center"/>
        <w:rPr>
          <w:rFonts w:ascii="Book Antiqua" w:hAnsi="Book Antiqua"/>
          <w:b/>
          <w:sz w:val="28"/>
          <w:szCs w:val="28"/>
          <w:lang w:val="es-PR"/>
        </w:rPr>
      </w:pPr>
      <w:r w:rsidRPr="00B36DFA">
        <w:rPr>
          <w:rFonts w:ascii="Book Antiqua" w:hAnsi="Book Antiqua"/>
          <w:b/>
          <w:sz w:val="28"/>
          <w:szCs w:val="28"/>
          <w:lang w:val="es-PR"/>
        </w:rPr>
        <w:t>RESOLUCIÓN</w:t>
      </w:r>
    </w:p>
    <w:p w14:paraId="25A195B6" w14:textId="77777777" w:rsidR="001D156A" w:rsidRPr="00775A0E" w:rsidRDefault="001D156A" w:rsidP="00C726A6">
      <w:pPr>
        <w:jc w:val="center"/>
        <w:rPr>
          <w:rFonts w:ascii="Book Antiqua" w:hAnsi="Book Antiqua"/>
          <w:b/>
          <w:szCs w:val="24"/>
          <w:lang w:val="es-PR"/>
        </w:rPr>
      </w:pPr>
    </w:p>
    <w:p w14:paraId="42F91FC3" w14:textId="40564393" w:rsidR="001D156A" w:rsidRPr="00C726A6" w:rsidRDefault="001D156A" w:rsidP="00C726A6">
      <w:pPr>
        <w:ind w:left="600" w:hanging="600"/>
        <w:jc w:val="both"/>
        <w:rPr>
          <w:rFonts w:ascii="Book Antiqua" w:hAnsi="Book Antiqua"/>
          <w:szCs w:val="24"/>
          <w:lang w:val="es-PR"/>
        </w:rPr>
      </w:pPr>
      <w:r w:rsidRPr="00C726A6">
        <w:rPr>
          <w:rFonts w:ascii="Book Antiqua" w:hAnsi="Book Antiqua"/>
          <w:szCs w:val="24"/>
          <w:lang w:val="es-PR"/>
        </w:rPr>
        <w:t xml:space="preserve">Para ordenar a la Comisión de </w:t>
      </w:r>
      <w:r w:rsidR="00BF7162" w:rsidRPr="00C726A6">
        <w:rPr>
          <w:rFonts w:ascii="Book Antiqua" w:hAnsi="Book Antiqua"/>
          <w:szCs w:val="24"/>
          <w:lang w:val="es-PR"/>
        </w:rPr>
        <w:t>Transportación e Infraestructura</w:t>
      </w:r>
      <w:r w:rsidRPr="00C726A6">
        <w:rPr>
          <w:rFonts w:ascii="Book Antiqua" w:hAnsi="Book Antiqua"/>
          <w:szCs w:val="24"/>
          <w:lang w:val="es-PR"/>
        </w:rPr>
        <w:t xml:space="preserve"> de la Cámara de Representantes de Puerto Rico realizar una investigación sobre todo asunto relacionado con la implantación de la política pública establecida por la Ley Núm. 201</w:t>
      </w:r>
      <w:r w:rsidR="00D259A9" w:rsidRPr="00C726A6">
        <w:rPr>
          <w:rFonts w:ascii="Book Antiqua" w:hAnsi="Book Antiqua"/>
          <w:szCs w:val="24"/>
          <w:lang w:val="es-PR"/>
        </w:rPr>
        <w:t>-</w:t>
      </w:r>
      <w:r w:rsidRPr="00C726A6">
        <w:rPr>
          <w:rFonts w:ascii="Book Antiqua" w:hAnsi="Book Antiqua"/>
          <w:szCs w:val="24"/>
          <w:lang w:val="es-PR"/>
        </w:rPr>
        <w:t>2010, según enmendada, mejor conocida como la “Ley para Declarar la Política Pública sobre la Adopción del Concepto de Calles Completas o ‘Complete Streets’”; el cumplimiento de las entidades de gobierno a nivel estatal y municipal responsables en ley para su implantación; los logros alcanzados; los retos que han enfrentado; propuestas para adelantar la implantación de la ley hacia el futuro; y para otros fines relacionados.</w:t>
      </w:r>
    </w:p>
    <w:p w14:paraId="6A4461F7" w14:textId="77777777" w:rsidR="001D156A" w:rsidRPr="00C726A6" w:rsidRDefault="001D156A" w:rsidP="00C726A6">
      <w:pPr>
        <w:ind w:left="600" w:hanging="600"/>
        <w:jc w:val="both"/>
        <w:rPr>
          <w:rFonts w:ascii="Book Antiqua" w:hAnsi="Book Antiqua"/>
          <w:szCs w:val="24"/>
          <w:lang w:val="es-PR"/>
        </w:rPr>
      </w:pPr>
    </w:p>
    <w:p w14:paraId="5C6F30AC" w14:textId="77777777" w:rsidR="001D156A" w:rsidRPr="00C726A6" w:rsidRDefault="001D156A" w:rsidP="00C726A6">
      <w:pPr>
        <w:jc w:val="center"/>
        <w:rPr>
          <w:rFonts w:ascii="Book Antiqua" w:hAnsi="Book Antiqua"/>
          <w:szCs w:val="24"/>
          <w:lang w:val="es-PR"/>
        </w:rPr>
      </w:pPr>
      <w:r w:rsidRPr="00C726A6">
        <w:rPr>
          <w:rFonts w:ascii="Book Antiqua" w:hAnsi="Book Antiqua"/>
          <w:szCs w:val="24"/>
          <w:lang w:val="es-PR"/>
        </w:rPr>
        <w:t>EXPOSICIÓN DE MOTIVOS</w:t>
      </w:r>
    </w:p>
    <w:p w14:paraId="30AB1E90" w14:textId="77777777" w:rsidR="001D156A" w:rsidRPr="00C726A6" w:rsidRDefault="001D156A" w:rsidP="00C726A6">
      <w:pPr>
        <w:jc w:val="both"/>
        <w:rPr>
          <w:rFonts w:ascii="Book Antiqua" w:hAnsi="Book Antiqua"/>
          <w:lang w:val="es-PR"/>
        </w:rPr>
      </w:pPr>
    </w:p>
    <w:p w14:paraId="2FC03941" w14:textId="77777777" w:rsidR="001D156A" w:rsidRPr="00C726A6" w:rsidRDefault="001D156A" w:rsidP="00C726A6">
      <w:pPr>
        <w:autoSpaceDE w:val="0"/>
        <w:autoSpaceDN w:val="0"/>
        <w:adjustRightInd w:val="0"/>
        <w:ind w:firstLine="720"/>
        <w:jc w:val="both"/>
        <w:rPr>
          <w:rFonts w:ascii="Book Antiqua" w:hAnsi="Book Antiqua"/>
          <w:lang w:val="es-PR"/>
        </w:rPr>
      </w:pPr>
      <w:r w:rsidRPr="00C726A6">
        <w:rPr>
          <w:rFonts w:ascii="Book Antiqua" w:hAnsi="Book Antiqua"/>
          <w:lang w:val="es-PR"/>
        </w:rPr>
        <w:t>Hacia finales de este año, se estarán cumpliendo 15 años de haberse aprobado la Ley 201-2010, la cual declaró la política pública sobre la adopción del concepto de “calles completas” en Puerto Rico. La misma se dirigió a la adopción de este concepto para la planificación, diseño, construcción, reconstrucción, remodelación y mantenimiento de las vías públicas. La ley busca facilitar el acceso y movilidad a todos los usuarios de las vías públicas, incluyendo peatones, ciclistas, usuarios del transporte público y conductores.</w:t>
      </w:r>
    </w:p>
    <w:p w14:paraId="7C613C44" w14:textId="77777777" w:rsidR="001D156A" w:rsidRPr="00C726A6" w:rsidRDefault="001D156A" w:rsidP="00C726A6">
      <w:pPr>
        <w:autoSpaceDE w:val="0"/>
        <w:autoSpaceDN w:val="0"/>
        <w:adjustRightInd w:val="0"/>
        <w:ind w:firstLine="720"/>
        <w:jc w:val="both"/>
        <w:rPr>
          <w:rFonts w:ascii="Book Antiqua" w:hAnsi="Book Antiqua"/>
          <w:lang w:val="es-PR"/>
        </w:rPr>
      </w:pPr>
    </w:p>
    <w:p w14:paraId="3951EBBF" w14:textId="2576D70F" w:rsidR="001D156A" w:rsidRPr="00C726A6" w:rsidRDefault="001D156A" w:rsidP="00C726A6">
      <w:pPr>
        <w:autoSpaceDE w:val="0"/>
        <w:autoSpaceDN w:val="0"/>
        <w:adjustRightInd w:val="0"/>
        <w:ind w:firstLine="720"/>
        <w:jc w:val="both"/>
        <w:rPr>
          <w:rFonts w:ascii="Book Antiqua" w:hAnsi="Book Antiqua"/>
          <w:lang w:val="es-PR"/>
        </w:rPr>
      </w:pPr>
      <w:r w:rsidRPr="00C726A6">
        <w:rPr>
          <w:rFonts w:ascii="Book Antiqua" w:hAnsi="Book Antiqua"/>
          <w:lang w:val="es-PR"/>
        </w:rPr>
        <w:lastRenderedPageBreak/>
        <w:t>En esencia la Ley 201-2010 tenía el propósito de crear un entorno vial más inclusivo y seguro para todos los ciudadanos de Puerto Rico. Según el Estatuto, los municipios están obligados a incorporar esta política pública en su funcionamiento, promoviendo la creación de espacios públicos que sean accesibles para todos los usuarios de las vías públicas, como de los demás espacios públicos.</w:t>
      </w:r>
    </w:p>
    <w:p w14:paraId="16CDDFB9" w14:textId="77777777" w:rsidR="001D156A" w:rsidRPr="00C726A6" w:rsidRDefault="001D156A" w:rsidP="00C726A6">
      <w:pPr>
        <w:autoSpaceDE w:val="0"/>
        <w:autoSpaceDN w:val="0"/>
        <w:adjustRightInd w:val="0"/>
        <w:ind w:firstLine="720"/>
        <w:jc w:val="both"/>
        <w:rPr>
          <w:rFonts w:ascii="Book Antiqua" w:hAnsi="Book Antiqua"/>
          <w:lang w:val="es-PR"/>
        </w:rPr>
      </w:pPr>
    </w:p>
    <w:p w14:paraId="730C6DCF" w14:textId="77777777" w:rsidR="001D156A" w:rsidRPr="00C726A6" w:rsidRDefault="001D156A" w:rsidP="00C726A6">
      <w:pPr>
        <w:autoSpaceDE w:val="0"/>
        <w:autoSpaceDN w:val="0"/>
        <w:adjustRightInd w:val="0"/>
        <w:ind w:firstLine="720"/>
        <w:jc w:val="both"/>
        <w:rPr>
          <w:rFonts w:ascii="Book Antiqua" w:hAnsi="Book Antiqua"/>
          <w:lang w:val="es-PR"/>
        </w:rPr>
      </w:pPr>
      <w:r w:rsidRPr="00C726A6">
        <w:rPr>
          <w:rFonts w:ascii="Book Antiqua" w:hAnsi="Book Antiqua"/>
          <w:lang w:val="es-PR"/>
        </w:rPr>
        <w:t>La Ley 201-2010 representó un paso importante en la dirección de una urbanística más sostenible y humana priorizando la movilidad y el bienestar de todos los ciudadanos, no solamente los conductores de vehículos. A través de los años, la Comisión de calles completas que estableció la propia ley logró alcanzar el desarrollo de importantes piezas de reglamentación, como son el Reglamento de calles completas de la “Ley para Declarar la Política Pública sobre la Adopción del Concepto de Calles Completas o ‘’Complete Streets’’, emitido por el Departamento de Transportación y Obras Públicas (DTOP). Además de los informes enviados y radicados ante la ‘’</w:t>
      </w:r>
      <w:proofErr w:type="spellStart"/>
      <w:r w:rsidRPr="00C726A6">
        <w:rPr>
          <w:rFonts w:ascii="Book Antiqua" w:hAnsi="Book Antiqua"/>
          <w:lang w:val="es-PR"/>
        </w:rPr>
        <w:t>United</w:t>
      </w:r>
      <w:proofErr w:type="spellEnd"/>
      <w:r w:rsidRPr="00C726A6">
        <w:rPr>
          <w:rFonts w:ascii="Book Antiqua" w:hAnsi="Book Antiqua"/>
          <w:lang w:val="es-PR"/>
        </w:rPr>
        <w:t xml:space="preserve"> </w:t>
      </w:r>
      <w:proofErr w:type="spellStart"/>
      <w:r w:rsidRPr="00C726A6">
        <w:rPr>
          <w:rFonts w:ascii="Book Antiqua" w:hAnsi="Book Antiqua"/>
          <w:lang w:val="es-PR"/>
        </w:rPr>
        <w:t>States</w:t>
      </w:r>
      <w:proofErr w:type="spellEnd"/>
      <w:r w:rsidRPr="00C726A6">
        <w:rPr>
          <w:rFonts w:ascii="Book Antiqua" w:hAnsi="Book Antiqua"/>
          <w:lang w:val="es-PR"/>
        </w:rPr>
        <w:t xml:space="preserve"> </w:t>
      </w:r>
      <w:proofErr w:type="spellStart"/>
      <w:r w:rsidRPr="00C726A6">
        <w:rPr>
          <w:rFonts w:ascii="Book Antiqua" w:hAnsi="Book Antiqua"/>
          <w:lang w:val="es-PR"/>
        </w:rPr>
        <w:t>Housing</w:t>
      </w:r>
      <w:proofErr w:type="spellEnd"/>
      <w:r w:rsidRPr="00C726A6">
        <w:rPr>
          <w:rFonts w:ascii="Book Antiqua" w:hAnsi="Book Antiqua"/>
          <w:lang w:val="es-PR"/>
        </w:rPr>
        <w:t xml:space="preserve"> </w:t>
      </w:r>
      <w:proofErr w:type="spellStart"/>
      <w:r w:rsidRPr="00C726A6">
        <w:rPr>
          <w:rFonts w:ascii="Book Antiqua" w:hAnsi="Book Antiqua"/>
          <w:lang w:val="es-PR"/>
        </w:rPr>
        <w:t>Authority</w:t>
      </w:r>
      <w:proofErr w:type="spellEnd"/>
      <w:r w:rsidRPr="00C726A6">
        <w:rPr>
          <w:rFonts w:ascii="Book Antiqua" w:hAnsi="Book Antiqua"/>
          <w:lang w:val="es-PR"/>
        </w:rPr>
        <w:t>’’ (USHA).</w:t>
      </w:r>
    </w:p>
    <w:p w14:paraId="3EDD817B" w14:textId="77777777" w:rsidR="001D156A" w:rsidRPr="00C726A6" w:rsidRDefault="001D156A" w:rsidP="00C726A6">
      <w:pPr>
        <w:autoSpaceDE w:val="0"/>
        <w:autoSpaceDN w:val="0"/>
        <w:adjustRightInd w:val="0"/>
        <w:ind w:firstLine="720"/>
        <w:jc w:val="both"/>
        <w:rPr>
          <w:rFonts w:ascii="Book Antiqua" w:hAnsi="Book Antiqua"/>
          <w:lang w:val="es-PR"/>
        </w:rPr>
      </w:pPr>
    </w:p>
    <w:p w14:paraId="36A48044" w14:textId="3B10E954" w:rsidR="00901F6D" w:rsidRPr="00C726A6" w:rsidRDefault="00901F6D" w:rsidP="00C726A6">
      <w:pPr>
        <w:autoSpaceDE w:val="0"/>
        <w:autoSpaceDN w:val="0"/>
        <w:adjustRightInd w:val="0"/>
        <w:ind w:firstLine="720"/>
        <w:jc w:val="both"/>
        <w:rPr>
          <w:rFonts w:ascii="Book Antiqua" w:hAnsi="Book Antiqua"/>
          <w:lang w:val="es-PR"/>
        </w:rPr>
      </w:pPr>
      <w:r w:rsidRPr="00C726A6">
        <w:rPr>
          <w:rFonts w:ascii="Book Antiqua" w:hAnsi="Book Antiqua"/>
          <w:lang w:val="es-PR"/>
        </w:rPr>
        <w:t>En 2018</w:t>
      </w:r>
      <w:r w:rsidR="00BF7162" w:rsidRPr="00C726A6">
        <w:rPr>
          <w:rFonts w:ascii="Book Antiqua" w:hAnsi="Book Antiqua"/>
          <w:lang w:val="es-PR"/>
        </w:rPr>
        <w:t>,</w:t>
      </w:r>
      <w:r w:rsidRPr="00C726A6">
        <w:rPr>
          <w:rFonts w:ascii="Book Antiqua" w:hAnsi="Book Antiqua"/>
          <w:lang w:val="es-PR"/>
        </w:rPr>
        <w:t xml:space="preserve"> la Autoridad de Carreteras sometió las </w:t>
      </w:r>
      <w:r w:rsidR="009374B1" w:rsidRPr="00C726A6">
        <w:rPr>
          <w:rFonts w:ascii="Book Antiqua" w:hAnsi="Book Antiqua"/>
          <w:lang w:val="es-PR"/>
        </w:rPr>
        <w:t>Guías</w:t>
      </w:r>
      <w:r w:rsidRPr="00C726A6">
        <w:rPr>
          <w:rFonts w:ascii="Book Antiqua" w:hAnsi="Book Antiqua"/>
          <w:lang w:val="es-PR"/>
        </w:rPr>
        <w:t xml:space="preserve"> de </w:t>
      </w:r>
      <w:r w:rsidR="009374B1" w:rsidRPr="00C726A6">
        <w:rPr>
          <w:rFonts w:ascii="Book Antiqua" w:hAnsi="Book Antiqua"/>
          <w:lang w:val="es-PR"/>
        </w:rPr>
        <w:t>Diseño</w:t>
      </w:r>
      <w:r w:rsidRPr="00C726A6">
        <w:rPr>
          <w:rFonts w:ascii="Book Antiqua" w:hAnsi="Book Antiqua"/>
          <w:lang w:val="es-PR"/>
        </w:rPr>
        <w:t xml:space="preserve"> de Calles Completas para todo tipo de calle, o carretera, sea urbana, suburbana o rural. A través de los </w:t>
      </w:r>
      <w:r w:rsidR="00BD3351" w:rsidRPr="00C726A6">
        <w:rPr>
          <w:rFonts w:ascii="Book Antiqua" w:hAnsi="Book Antiqua"/>
          <w:lang w:val="es-PR"/>
        </w:rPr>
        <w:t xml:space="preserve">años </w:t>
      </w:r>
      <w:r w:rsidRPr="00C726A6">
        <w:rPr>
          <w:rFonts w:ascii="Book Antiqua" w:hAnsi="Book Antiqua"/>
          <w:lang w:val="es-PR"/>
        </w:rPr>
        <w:t>se ha promovido las Ordenanzas Municipales y entendemos que no llegan a 20 los municipios con estas ordenanzas y muchos menos que las estén implementando. El Municipio de Aibonit</w:t>
      </w:r>
      <w:r w:rsidR="009374B1" w:rsidRPr="00C726A6">
        <w:rPr>
          <w:rFonts w:ascii="Book Antiqua" w:hAnsi="Book Antiqua"/>
          <w:lang w:val="es-PR"/>
        </w:rPr>
        <w:t>o</w:t>
      </w:r>
      <w:r w:rsidRPr="00C726A6">
        <w:rPr>
          <w:rFonts w:ascii="Book Antiqua" w:hAnsi="Book Antiqua"/>
          <w:lang w:val="es-PR"/>
        </w:rPr>
        <w:t xml:space="preserve"> fue </w:t>
      </w:r>
      <w:r w:rsidR="008E07F6" w:rsidRPr="00C726A6">
        <w:rPr>
          <w:rFonts w:ascii="Book Antiqua" w:hAnsi="Book Antiqua"/>
          <w:lang w:val="es-PR"/>
        </w:rPr>
        <w:t>el primero en aprobar una ordenanza a tales efectos</w:t>
      </w:r>
      <w:r w:rsidR="00B5760B" w:rsidRPr="00C726A6">
        <w:rPr>
          <w:rFonts w:ascii="Book Antiqua" w:hAnsi="Book Antiqua"/>
          <w:lang w:val="es-PR"/>
        </w:rPr>
        <w:t xml:space="preserve"> </w:t>
      </w:r>
      <w:r w:rsidRPr="00C726A6">
        <w:rPr>
          <w:rFonts w:ascii="Book Antiqua" w:hAnsi="Book Antiqua"/>
          <w:lang w:val="es-PR"/>
        </w:rPr>
        <w:t>y el que ha sido consistente en su desarrollo</w:t>
      </w:r>
      <w:r w:rsidR="00AE067E" w:rsidRPr="00C726A6">
        <w:rPr>
          <w:rFonts w:ascii="Book Antiqua" w:hAnsi="Book Antiqua"/>
          <w:lang w:val="es-PR"/>
        </w:rPr>
        <w:t>; mientras que</w:t>
      </w:r>
      <w:r w:rsidRPr="00C726A6">
        <w:rPr>
          <w:rFonts w:ascii="Book Antiqua" w:hAnsi="Book Antiqua"/>
          <w:lang w:val="es-PR"/>
        </w:rPr>
        <w:t xml:space="preserve"> municipios como </w:t>
      </w:r>
      <w:r w:rsidR="009374B1" w:rsidRPr="00C726A6">
        <w:rPr>
          <w:rFonts w:ascii="Book Antiqua" w:hAnsi="Book Antiqua"/>
          <w:lang w:val="es-PR"/>
        </w:rPr>
        <w:t>Bayamón</w:t>
      </w:r>
      <w:r w:rsidRPr="00C726A6">
        <w:rPr>
          <w:rFonts w:ascii="Book Antiqua" w:hAnsi="Book Antiqua"/>
          <w:lang w:val="es-PR"/>
        </w:rPr>
        <w:t xml:space="preserve"> y Carolina, entre otros</w:t>
      </w:r>
      <w:r w:rsidR="003F0583" w:rsidRPr="00C726A6">
        <w:rPr>
          <w:rFonts w:ascii="Book Antiqua" w:hAnsi="Book Antiqua"/>
          <w:lang w:val="es-PR"/>
        </w:rPr>
        <w:t>,</w:t>
      </w:r>
      <w:r w:rsidRPr="00C726A6">
        <w:rPr>
          <w:rFonts w:ascii="Book Antiqua" w:hAnsi="Book Antiqua"/>
          <w:lang w:val="es-PR"/>
        </w:rPr>
        <w:t xml:space="preserve"> </w:t>
      </w:r>
      <w:r w:rsidR="003F0583" w:rsidRPr="00C726A6">
        <w:rPr>
          <w:rFonts w:ascii="Book Antiqua" w:hAnsi="Book Antiqua"/>
          <w:lang w:val="es-PR"/>
        </w:rPr>
        <w:t xml:space="preserve">han </w:t>
      </w:r>
      <w:r w:rsidRPr="00C726A6">
        <w:rPr>
          <w:rFonts w:ascii="Book Antiqua" w:hAnsi="Book Antiqua"/>
          <w:lang w:val="es-PR"/>
        </w:rPr>
        <w:t xml:space="preserve">sido </w:t>
      </w:r>
      <w:r w:rsidR="009374B1" w:rsidRPr="00C726A6">
        <w:rPr>
          <w:rFonts w:ascii="Book Antiqua" w:hAnsi="Book Antiqua"/>
          <w:lang w:val="es-PR"/>
        </w:rPr>
        <w:t>precursores</w:t>
      </w:r>
      <w:r w:rsidRPr="00C726A6">
        <w:rPr>
          <w:rFonts w:ascii="Book Antiqua" w:hAnsi="Book Antiqua"/>
          <w:lang w:val="es-PR"/>
        </w:rPr>
        <w:t xml:space="preserve"> de la </w:t>
      </w:r>
      <w:r w:rsidR="009374B1" w:rsidRPr="00C726A6">
        <w:rPr>
          <w:rFonts w:ascii="Book Antiqua" w:hAnsi="Book Antiqua"/>
          <w:lang w:val="es-PR"/>
        </w:rPr>
        <w:t>“</w:t>
      </w:r>
      <w:proofErr w:type="spellStart"/>
      <w:r w:rsidRPr="00C726A6">
        <w:rPr>
          <w:rFonts w:ascii="Book Antiqua" w:hAnsi="Book Antiqua"/>
          <w:lang w:val="es-PR"/>
        </w:rPr>
        <w:t>caminabilidad</w:t>
      </w:r>
      <w:proofErr w:type="spellEnd"/>
      <w:r w:rsidR="009374B1" w:rsidRPr="00C726A6">
        <w:rPr>
          <w:rFonts w:ascii="Book Antiqua" w:hAnsi="Book Antiqua"/>
          <w:lang w:val="es-PR"/>
        </w:rPr>
        <w:t>”</w:t>
      </w:r>
      <w:r w:rsidRPr="00C726A6">
        <w:rPr>
          <w:rFonts w:ascii="Book Antiqua" w:hAnsi="Book Antiqua"/>
          <w:lang w:val="es-PR"/>
        </w:rPr>
        <w:t xml:space="preserve"> de nuestras calles.</w:t>
      </w:r>
    </w:p>
    <w:p w14:paraId="60951E7A" w14:textId="77777777" w:rsidR="009374B1" w:rsidRPr="00C726A6" w:rsidRDefault="009374B1" w:rsidP="00C726A6">
      <w:pPr>
        <w:autoSpaceDE w:val="0"/>
        <w:autoSpaceDN w:val="0"/>
        <w:adjustRightInd w:val="0"/>
        <w:ind w:firstLine="720"/>
        <w:jc w:val="both"/>
        <w:rPr>
          <w:rFonts w:ascii="Book Antiqua" w:hAnsi="Book Antiqua"/>
          <w:lang w:val="es-PR"/>
        </w:rPr>
      </w:pPr>
    </w:p>
    <w:p w14:paraId="5CA44A39" w14:textId="12D4173B" w:rsidR="00901F6D" w:rsidRPr="00C726A6" w:rsidRDefault="00901F6D" w:rsidP="00C726A6">
      <w:pPr>
        <w:autoSpaceDE w:val="0"/>
        <w:autoSpaceDN w:val="0"/>
        <w:adjustRightInd w:val="0"/>
        <w:ind w:firstLine="720"/>
        <w:jc w:val="both"/>
        <w:rPr>
          <w:rFonts w:ascii="Book Antiqua" w:hAnsi="Book Antiqua"/>
          <w:lang w:val="es-PR"/>
        </w:rPr>
      </w:pPr>
      <w:r w:rsidRPr="00C726A6">
        <w:rPr>
          <w:rFonts w:ascii="Book Antiqua" w:hAnsi="Book Antiqua"/>
          <w:lang w:val="es-PR"/>
        </w:rPr>
        <w:t xml:space="preserve">Desgraciadamente en Puerto Rico arriesgamos nuestras </w:t>
      </w:r>
      <w:r w:rsidR="003F0583" w:rsidRPr="00C726A6">
        <w:rPr>
          <w:rFonts w:ascii="Book Antiqua" w:hAnsi="Book Antiqua"/>
          <w:lang w:val="es-PR"/>
        </w:rPr>
        <w:t xml:space="preserve">vidas </w:t>
      </w:r>
      <w:r w:rsidRPr="00C726A6">
        <w:rPr>
          <w:rFonts w:ascii="Book Antiqua" w:hAnsi="Book Antiqua"/>
          <w:lang w:val="es-PR"/>
        </w:rPr>
        <w:t xml:space="preserve">al caminar por nuestras aceras. Reconociendo así el impacto a la salud </w:t>
      </w:r>
      <w:r w:rsidR="009374B1" w:rsidRPr="00C726A6">
        <w:rPr>
          <w:rFonts w:ascii="Book Antiqua" w:hAnsi="Book Antiqua"/>
          <w:lang w:val="es-PR"/>
        </w:rPr>
        <w:t>pública</w:t>
      </w:r>
      <w:r w:rsidRPr="00C726A6">
        <w:rPr>
          <w:rFonts w:ascii="Book Antiqua" w:hAnsi="Book Antiqua"/>
          <w:lang w:val="es-PR"/>
        </w:rPr>
        <w:t xml:space="preserve">, a la salud mental, a la económica comunitaria, y hasta a la salud ambiental.  Las calles completas promueven el apoyo a los pequeños comerciantes en las comunidades, promueven el encuentro social, previenen condiciones crónicas como la diabetes, la presión arterial y el colesterol alto, entre otros. </w:t>
      </w:r>
    </w:p>
    <w:p w14:paraId="3BE2E5AC" w14:textId="77777777" w:rsidR="009374B1" w:rsidRPr="00C726A6" w:rsidRDefault="009374B1" w:rsidP="00C726A6">
      <w:pPr>
        <w:autoSpaceDE w:val="0"/>
        <w:autoSpaceDN w:val="0"/>
        <w:adjustRightInd w:val="0"/>
        <w:ind w:firstLine="720"/>
        <w:jc w:val="both"/>
        <w:rPr>
          <w:rFonts w:ascii="Book Antiqua" w:hAnsi="Book Antiqua"/>
          <w:lang w:val="es-PR"/>
        </w:rPr>
      </w:pPr>
    </w:p>
    <w:p w14:paraId="4AA80D5C" w14:textId="3C514D5E" w:rsidR="009374B1" w:rsidRPr="00C726A6" w:rsidRDefault="009374B1" w:rsidP="00C726A6">
      <w:pPr>
        <w:autoSpaceDE w:val="0"/>
        <w:autoSpaceDN w:val="0"/>
        <w:adjustRightInd w:val="0"/>
        <w:ind w:firstLine="720"/>
        <w:jc w:val="both"/>
        <w:rPr>
          <w:rFonts w:ascii="Book Antiqua" w:hAnsi="Book Antiqua"/>
          <w:lang w:val="es-PR"/>
        </w:rPr>
      </w:pPr>
      <w:r w:rsidRPr="00C726A6">
        <w:rPr>
          <w:rFonts w:ascii="Book Antiqua" w:hAnsi="Book Antiqua"/>
          <w:lang w:val="es-PR"/>
        </w:rPr>
        <w:t>La falta de planificación de estacionamientos hace que las personas estacionen sus autos en las aceras y las utilidades construyan barreras bloqueando el acceso en nuestras calles, como dos ejemplos. La planificación urbana es trascendental para el desarrollo de un país, hasta el punto de que países han creado Procuradores del Espacio Urbano para fiscalizar la ejecución de políticas sociales y económicas como estas. Sin mencionar que en Puerto Rico hay sobre 950 mil personas mayores que podrían tener una mejor calidad de vida y se estima que hay 1,197,085 personas con impedimentos. Esta cifra incluye diversas discapacidades, como visuales, auditivas, físicas y cognitivas.</w:t>
      </w:r>
    </w:p>
    <w:p w14:paraId="1423787B" w14:textId="77777777" w:rsidR="009374B1" w:rsidRPr="00C726A6" w:rsidRDefault="009374B1" w:rsidP="00C726A6">
      <w:pPr>
        <w:autoSpaceDE w:val="0"/>
        <w:autoSpaceDN w:val="0"/>
        <w:adjustRightInd w:val="0"/>
        <w:ind w:firstLine="720"/>
        <w:jc w:val="both"/>
        <w:rPr>
          <w:rFonts w:ascii="Segoe UI" w:hAnsi="Segoe UI" w:cs="Segoe UI"/>
          <w:color w:val="424242"/>
          <w:szCs w:val="24"/>
          <w:shd w:val="clear" w:color="auto" w:fill="FAFAFA"/>
          <w:lang w:val="es-PR" w:eastAsia="es-PR"/>
        </w:rPr>
      </w:pPr>
    </w:p>
    <w:p w14:paraId="0A3F1720" w14:textId="55AF522E" w:rsidR="009374B1" w:rsidRPr="00C726A6" w:rsidRDefault="009374B1" w:rsidP="00C726A6">
      <w:pPr>
        <w:autoSpaceDE w:val="0"/>
        <w:autoSpaceDN w:val="0"/>
        <w:adjustRightInd w:val="0"/>
        <w:ind w:firstLine="720"/>
        <w:jc w:val="both"/>
        <w:rPr>
          <w:rFonts w:ascii="Book Antiqua" w:hAnsi="Book Antiqua"/>
          <w:lang w:val="es-PR"/>
        </w:rPr>
      </w:pPr>
      <w:r w:rsidRPr="00C726A6">
        <w:rPr>
          <w:rFonts w:ascii="Book Antiqua" w:hAnsi="Book Antiqua"/>
          <w:lang w:val="es-PR"/>
        </w:rPr>
        <w:t>Además, las calles completas facilitan:</w:t>
      </w:r>
    </w:p>
    <w:p w14:paraId="2453E50A" w14:textId="77777777" w:rsidR="009374B1" w:rsidRPr="00C726A6" w:rsidRDefault="009374B1" w:rsidP="00C726A6">
      <w:pPr>
        <w:autoSpaceDE w:val="0"/>
        <w:autoSpaceDN w:val="0"/>
        <w:adjustRightInd w:val="0"/>
        <w:ind w:firstLine="720"/>
        <w:jc w:val="both"/>
        <w:rPr>
          <w:rFonts w:ascii="Book Antiqua" w:hAnsi="Book Antiqua"/>
          <w:lang w:val="es-PR"/>
        </w:rPr>
      </w:pPr>
    </w:p>
    <w:p w14:paraId="3166E258" w14:textId="1B070981" w:rsidR="009374B1" w:rsidRPr="00C726A6" w:rsidRDefault="009374B1" w:rsidP="00C726A6">
      <w:pPr>
        <w:pStyle w:val="ListParagraph"/>
        <w:numPr>
          <w:ilvl w:val="0"/>
          <w:numId w:val="6"/>
        </w:numPr>
        <w:autoSpaceDE w:val="0"/>
        <w:autoSpaceDN w:val="0"/>
        <w:adjustRightInd w:val="0"/>
        <w:jc w:val="both"/>
        <w:rPr>
          <w:rFonts w:ascii="Book Antiqua" w:hAnsi="Book Antiqua"/>
          <w:lang w:val="es-PR"/>
        </w:rPr>
      </w:pPr>
      <w:r w:rsidRPr="00C726A6">
        <w:rPr>
          <w:rFonts w:ascii="Book Antiqua" w:hAnsi="Book Antiqua"/>
          <w:lang w:val="es-PR"/>
        </w:rPr>
        <w:t>La vida activa y el ejercicio para todas las edades.</w:t>
      </w:r>
    </w:p>
    <w:p w14:paraId="53061AE4" w14:textId="74530352" w:rsidR="009374B1" w:rsidRPr="00C726A6" w:rsidRDefault="009374B1" w:rsidP="00C726A6">
      <w:pPr>
        <w:pStyle w:val="ListParagraph"/>
        <w:numPr>
          <w:ilvl w:val="0"/>
          <w:numId w:val="6"/>
        </w:numPr>
        <w:autoSpaceDE w:val="0"/>
        <w:autoSpaceDN w:val="0"/>
        <w:adjustRightInd w:val="0"/>
        <w:jc w:val="both"/>
        <w:rPr>
          <w:rFonts w:ascii="Book Antiqua" w:hAnsi="Book Antiqua"/>
          <w:lang w:val="es-PR"/>
        </w:rPr>
      </w:pPr>
      <w:r w:rsidRPr="00C726A6">
        <w:rPr>
          <w:rFonts w:ascii="Book Antiqua" w:hAnsi="Book Antiqua"/>
          <w:lang w:val="es-PR"/>
        </w:rPr>
        <w:lastRenderedPageBreak/>
        <w:t>Nuestra niñez tenga un estilo de vida más saludable y evitar la obesidad.</w:t>
      </w:r>
    </w:p>
    <w:p w14:paraId="2C427D43" w14:textId="31C1443D" w:rsidR="009374B1" w:rsidRPr="00C726A6" w:rsidRDefault="009374B1" w:rsidP="00C726A6">
      <w:pPr>
        <w:pStyle w:val="ListParagraph"/>
        <w:numPr>
          <w:ilvl w:val="0"/>
          <w:numId w:val="6"/>
        </w:numPr>
        <w:autoSpaceDE w:val="0"/>
        <w:autoSpaceDN w:val="0"/>
        <w:adjustRightInd w:val="0"/>
        <w:jc w:val="both"/>
        <w:rPr>
          <w:rFonts w:ascii="Book Antiqua" w:hAnsi="Book Antiqua"/>
          <w:lang w:val="es-PR"/>
        </w:rPr>
      </w:pPr>
      <w:r w:rsidRPr="00C726A6">
        <w:rPr>
          <w:rFonts w:ascii="Book Antiqua" w:hAnsi="Book Antiqua"/>
          <w:lang w:val="es-PR"/>
        </w:rPr>
        <w:t>Menos muertes de usuarios vulnerables: ciclistas y peatones.</w:t>
      </w:r>
    </w:p>
    <w:p w14:paraId="0DCC446A" w14:textId="684EA15D" w:rsidR="009374B1" w:rsidRPr="00C726A6" w:rsidRDefault="009374B1" w:rsidP="00C726A6">
      <w:pPr>
        <w:pStyle w:val="ListParagraph"/>
        <w:numPr>
          <w:ilvl w:val="0"/>
          <w:numId w:val="6"/>
        </w:numPr>
        <w:autoSpaceDE w:val="0"/>
        <w:autoSpaceDN w:val="0"/>
        <w:adjustRightInd w:val="0"/>
        <w:jc w:val="both"/>
        <w:rPr>
          <w:rFonts w:ascii="Book Antiqua" w:hAnsi="Book Antiqua"/>
          <w:lang w:val="es-PR"/>
        </w:rPr>
      </w:pPr>
      <w:r w:rsidRPr="00C726A6">
        <w:rPr>
          <w:rFonts w:ascii="Book Antiqua" w:hAnsi="Book Antiqua"/>
          <w:lang w:val="es-PR"/>
        </w:rPr>
        <w:t>Las mujeres embarazadas o con cochecitos de bebe también tendrían mejor accesibilidad.</w:t>
      </w:r>
    </w:p>
    <w:p w14:paraId="70695E83" w14:textId="77777777" w:rsidR="009374B1" w:rsidRPr="00C726A6" w:rsidRDefault="009374B1" w:rsidP="00C726A6">
      <w:pPr>
        <w:autoSpaceDE w:val="0"/>
        <w:autoSpaceDN w:val="0"/>
        <w:adjustRightInd w:val="0"/>
        <w:ind w:firstLine="720"/>
        <w:jc w:val="both"/>
        <w:rPr>
          <w:rFonts w:ascii="Book Antiqua" w:hAnsi="Book Antiqua"/>
          <w:lang w:val="es-PR"/>
        </w:rPr>
      </w:pPr>
    </w:p>
    <w:p w14:paraId="52BD1915" w14:textId="520F06C3" w:rsidR="001D156A" w:rsidRPr="00C726A6" w:rsidRDefault="009374B1" w:rsidP="00C726A6">
      <w:pPr>
        <w:autoSpaceDE w:val="0"/>
        <w:autoSpaceDN w:val="0"/>
        <w:adjustRightInd w:val="0"/>
        <w:ind w:firstLine="720"/>
        <w:jc w:val="both"/>
        <w:rPr>
          <w:rFonts w:ascii="Book Antiqua" w:hAnsi="Book Antiqua"/>
          <w:lang w:val="es-PR"/>
        </w:rPr>
      </w:pPr>
      <w:r w:rsidRPr="00C726A6">
        <w:rPr>
          <w:rFonts w:ascii="Book Antiqua" w:hAnsi="Book Antiqua"/>
          <w:lang w:val="es-PR"/>
        </w:rPr>
        <w:t xml:space="preserve">En fin, las calles completas y seguras son para el bienestar completo de Puerto Rico. </w:t>
      </w:r>
      <w:r w:rsidR="001D156A" w:rsidRPr="00C726A6">
        <w:rPr>
          <w:rFonts w:ascii="Book Antiqua" w:hAnsi="Book Antiqua"/>
          <w:lang w:val="es-PR"/>
        </w:rPr>
        <w:t>No obstante, los pasos que se han dado a través de los pasados 15 años, la percepción es que aún las vías públicas del país siguen representando un reto para sus usuarios, sobre todo peatones y personas con impedimentos. Teniendo en cuenta esta consideración y transcurrida más de una década de la aprobación de esta Ley nos parece que resulta importante llevar a cabo una investigación sobre el alcance y la efectividad de la Ley 201- 2010 en alcanzar sus propósitos.</w:t>
      </w:r>
    </w:p>
    <w:p w14:paraId="718E4840" w14:textId="77777777" w:rsidR="00882E3F" w:rsidRPr="006578FE" w:rsidRDefault="00882E3F" w:rsidP="00882E3F">
      <w:pPr>
        <w:autoSpaceDE w:val="0"/>
        <w:autoSpaceDN w:val="0"/>
        <w:adjustRightInd w:val="0"/>
        <w:ind w:firstLine="720"/>
        <w:jc w:val="both"/>
        <w:rPr>
          <w:rStyle w:val="apple-converted-space"/>
          <w:rFonts w:ascii="Book Antiqua" w:hAnsi="Book Antiqua"/>
          <w:lang w:val="es-PR"/>
        </w:rPr>
      </w:pPr>
    </w:p>
    <w:p w14:paraId="17498ECE" w14:textId="63041E38" w:rsidR="00A22A39" w:rsidRDefault="00A22A39" w:rsidP="00C726A6">
      <w:pPr>
        <w:spacing w:line="480" w:lineRule="auto"/>
        <w:rPr>
          <w:rFonts w:ascii="Book Antiqua" w:hAnsi="Book Antiqua"/>
          <w:lang w:val="es-ES_tradnl"/>
        </w:rPr>
      </w:pPr>
      <w:r>
        <w:rPr>
          <w:rFonts w:ascii="Book Antiqua" w:hAnsi="Book Antiqua"/>
          <w:i/>
          <w:lang w:val="es-ES_tradnl"/>
        </w:rPr>
        <w:t>RESUÉLVESE POR LA CÁMARA DE REPRESENTANTES DE PUERTO RICO:</w:t>
      </w:r>
    </w:p>
    <w:p w14:paraId="458A578E" w14:textId="77777777" w:rsidR="00882E3F" w:rsidRDefault="00882E3F" w:rsidP="00C726A6">
      <w:pPr>
        <w:spacing w:line="480" w:lineRule="auto"/>
        <w:jc w:val="both"/>
        <w:rPr>
          <w:rFonts w:ascii="Book Antiqua" w:hAnsi="Book Antiqua"/>
          <w:lang w:val="es-ES_tradnl"/>
        </w:rPr>
        <w:sectPr w:rsidR="00882E3F">
          <w:headerReference w:type="default" r:id="rId9"/>
          <w:type w:val="continuous"/>
          <w:pgSz w:w="12240" w:h="15840" w:code="1"/>
          <w:pgMar w:top="1440" w:right="1440" w:bottom="1440" w:left="1440" w:header="720" w:footer="720" w:gutter="0"/>
          <w:cols w:space="720"/>
          <w:titlePg/>
        </w:sectPr>
      </w:pPr>
    </w:p>
    <w:p w14:paraId="674DC677" w14:textId="5E413B40" w:rsidR="00A22A39" w:rsidRPr="00C726A6" w:rsidRDefault="00A22A39" w:rsidP="00C726A6">
      <w:pPr>
        <w:spacing w:line="480" w:lineRule="auto"/>
        <w:ind w:firstLine="567"/>
        <w:jc w:val="both"/>
        <w:rPr>
          <w:rFonts w:ascii="Book Antiqua" w:hAnsi="Book Antiqua"/>
          <w:lang w:val="es-ES_tradnl"/>
        </w:rPr>
      </w:pPr>
      <w:r w:rsidRPr="00C726A6">
        <w:rPr>
          <w:rFonts w:ascii="Book Antiqua" w:hAnsi="Book Antiqua"/>
          <w:lang w:val="es-ES_tradnl"/>
        </w:rPr>
        <w:t>Sección 1.-</w:t>
      </w:r>
      <w:r w:rsidR="009B01D4" w:rsidRPr="00C726A6">
        <w:rPr>
          <w:rFonts w:ascii="Book Antiqua" w:hAnsi="Book Antiqua"/>
          <w:lang w:val="es-ES_tradnl"/>
        </w:rPr>
        <w:t xml:space="preserve"> Ordenar</w:t>
      </w:r>
      <w:r w:rsidR="009B01D4" w:rsidRPr="00C726A6">
        <w:rPr>
          <w:rFonts w:ascii="Book Antiqua" w:hAnsi="Book Antiqua"/>
          <w:szCs w:val="24"/>
          <w:lang w:val="es-PR"/>
        </w:rPr>
        <w:t xml:space="preserve"> a la Comisión de </w:t>
      </w:r>
      <w:r w:rsidR="00BF7162" w:rsidRPr="00C726A6">
        <w:rPr>
          <w:rFonts w:ascii="Book Antiqua" w:hAnsi="Book Antiqua"/>
          <w:szCs w:val="24"/>
          <w:lang w:val="es-PR"/>
        </w:rPr>
        <w:t>Transportación e Infraestructura de</w:t>
      </w:r>
      <w:r w:rsidR="009B01D4" w:rsidRPr="00C726A6">
        <w:rPr>
          <w:rFonts w:ascii="Book Antiqua" w:hAnsi="Book Antiqua"/>
          <w:szCs w:val="24"/>
          <w:lang w:val="es-PR"/>
        </w:rPr>
        <w:t xml:space="preserve"> la Cámara de Representantes de Puerto Rico realizar una investigación sobre todo asunto relacionado con la implantación de la política pública establecida por la Ley Núm. 201 de 16 de diciembre de 2010, según enmendada, mejor conocida como la “Ley para Declarar la Política Pública sobre la Adopción del Concepto de Calles Completas o ‘Complete Streets’”; el cumplimiento de las entidades de gobierno a nivel estatal y municipal responsables en ley para su implantación; los logros alcanzados; los retos que han enfrentado; propuestas para adelantar la implantación de la ley hacia el futuro.</w:t>
      </w:r>
    </w:p>
    <w:p w14:paraId="7B10F0F7" w14:textId="17877D42" w:rsidR="00A20194" w:rsidRPr="00C726A6" w:rsidRDefault="3C42D78C" w:rsidP="00C726A6">
      <w:pPr>
        <w:spacing w:line="480" w:lineRule="auto"/>
        <w:ind w:firstLine="567"/>
        <w:jc w:val="both"/>
        <w:rPr>
          <w:rFonts w:ascii="Book Antiqua" w:hAnsi="Book Antiqua"/>
          <w:lang w:val="es-ES"/>
        </w:rPr>
      </w:pPr>
      <w:r w:rsidRPr="00C726A6">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26398ACD" w:rsidR="00A20194" w:rsidRPr="00C726A6" w:rsidRDefault="00A20194" w:rsidP="00C726A6">
      <w:pPr>
        <w:spacing w:line="480" w:lineRule="auto"/>
        <w:ind w:firstLine="567"/>
        <w:jc w:val="both"/>
        <w:rPr>
          <w:rFonts w:ascii="Book Antiqua" w:hAnsi="Book Antiqua"/>
          <w:lang w:val="es-ES_tradnl"/>
        </w:rPr>
      </w:pPr>
      <w:r w:rsidRPr="00C726A6">
        <w:rPr>
          <w:rFonts w:ascii="Book Antiqua" w:hAnsi="Book Antiqua"/>
          <w:lang w:val="es-ES_tradnl"/>
        </w:rPr>
        <w:lastRenderedPageBreak/>
        <w:t>Sección</w:t>
      </w:r>
      <w:r w:rsidR="002E5950" w:rsidRPr="00C726A6">
        <w:rPr>
          <w:rFonts w:ascii="Book Antiqua" w:hAnsi="Book Antiqua"/>
          <w:lang w:val="es-ES_tradnl"/>
        </w:rPr>
        <w:t xml:space="preserve"> </w:t>
      </w:r>
      <w:r w:rsidRPr="00C726A6">
        <w:rPr>
          <w:rFonts w:ascii="Book Antiqua" w:hAnsi="Book Antiqua"/>
          <w:lang w:val="es-ES_tradnl"/>
        </w:rPr>
        <w:t xml:space="preserve">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45EEAB89" w:rsidR="00A20194" w:rsidRPr="00C726A6" w:rsidRDefault="00A20194" w:rsidP="00C726A6">
      <w:pPr>
        <w:spacing w:line="480" w:lineRule="auto"/>
        <w:ind w:firstLine="567"/>
        <w:jc w:val="both"/>
        <w:rPr>
          <w:rFonts w:ascii="Book Antiqua" w:hAnsi="Book Antiqua"/>
          <w:lang w:val="es-ES_tradnl"/>
        </w:rPr>
      </w:pPr>
      <w:r w:rsidRPr="00C726A6">
        <w:rPr>
          <w:rFonts w:ascii="Book Antiqua" w:hAnsi="Book Antiqua"/>
          <w:lang w:val="es-ES_tradnl"/>
        </w:rPr>
        <w:t>Sección 4.-</w:t>
      </w:r>
      <w:r w:rsidR="001A37A5" w:rsidRPr="00C726A6">
        <w:rPr>
          <w:rFonts w:ascii="Book Antiqua" w:hAnsi="Book Antiqua"/>
          <w:lang w:val="es-PR"/>
        </w:rPr>
        <w:t xml:space="preserve">La Comisión </w:t>
      </w:r>
      <w:r w:rsidR="001A37A5" w:rsidRPr="00C726A6">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C726A6">
        <w:rPr>
          <w:rFonts w:ascii="Book Antiqua" w:hAnsi="Book Antiqua"/>
          <w:lang w:val="es-ES_tradnl"/>
        </w:rPr>
        <w:t xml:space="preserve">la </w:t>
      </w:r>
      <w:r w:rsidR="00E774AF" w:rsidRPr="00C726A6">
        <w:rPr>
          <w:rFonts w:ascii="Book Antiqua" w:hAnsi="Book Antiqua"/>
          <w:lang w:val="es-ES_tradnl"/>
        </w:rPr>
        <w:t xml:space="preserve">Vigésima </w:t>
      </w:r>
      <w:r w:rsidRPr="00C726A6">
        <w:rPr>
          <w:rFonts w:ascii="Book Antiqua" w:hAnsi="Book Antiqua"/>
          <w:lang w:val="es-ES_tradnl"/>
        </w:rPr>
        <w:t xml:space="preserve">Asamblea Legislativa.   </w:t>
      </w:r>
    </w:p>
    <w:p w14:paraId="31EBBA22" w14:textId="0A54C992" w:rsidR="00A22A39" w:rsidRPr="00C726A6" w:rsidRDefault="00A20194" w:rsidP="00C726A6">
      <w:pPr>
        <w:spacing w:line="480" w:lineRule="auto"/>
        <w:ind w:firstLine="567"/>
        <w:jc w:val="both"/>
        <w:rPr>
          <w:rFonts w:ascii="Book Antiqua" w:hAnsi="Book Antiqua"/>
          <w:lang w:val="es-PR"/>
        </w:rPr>
      </w:pPr>
      <w:r w:rsidRPr="00C726A6">
        <w:rPr>
          <w:rFonts w:ascii="Book Antiqua" w:hAnsi="Book Antiqua"/>
          <w:lang w:val="es-ES_tradnl"/>
        </w:rPr>
        <w:t xml:space="preserve">Sección 5.-Esta Resolución </w:t>
      </w:r>
      <w:r w:rsidR="00B34238" w:rsidRPr="00C726A6">
        <w:rPr>
          <w:rFonts w:ascii="Book Antiqua" w:hAnsi="Book Antiqua"/>
          <w:lang w:val="es-ES_tradnl"/>
        </w:rPr>
        <w:t xml:space="preserve">entrará en vigor inmediatamente después </w:t>
      </w:r>
      <w:r w:rsidRPr="00C726A6">
        <w:rPr>
          <w:rFonts w:ascii="Book Antiqua" w:hAnsi="Book Antiqua"/>
          <w:lang w:val="es-ES_tradnl"/>
        </w:rPr>
        <w:t>de su aprobación.</w:t>
      </w:r>
    </w:p>
    <w:sectPr w:rsidR="00A22A39" w:rsidRPr="00C726A6"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B72D" w14:textId="77777777" w:rsidR="00D20718" w:rsidRDefault="00D20718">
      <w:r>
        <w:separator/>
      </w:r>
    </w:p>
  </w:endnote>
  <w:endnote w:type="continuationSeparator" w:id="0">
    <w:p w14:paraId="79B4666E" w14:textId="77777777" w:rsidR="00D20718" w:rsidRDefault="00D20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060F5" w14:textId="77777777" w:rsidR="00D20718" w:rsidRDefault="00D20718">
      <w:r>
        <w:separator/>
      </w:r>
    </w:p>
  </w:footnote>
  <w:footnote w:type="continuationSeparator" w:id="0">
    <w:p w14:paraId="65FA9CD5" w14:textId="77777777" w:rsidR="00D20718" w:rsidRDefault="00D20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797A67"/>
    <w:multiLevelType w:val="hybridMultilevel"/>
    <w:tmpl w:val="5B787996"/>
    <w:lvl w:ilvl="0" w:tplc="E6EEE756">
      <w:start w:val="1"/>
      <w:numFmt w:val="decimal"/>
      <w:lvlText w:val="%1."/>
      <w:lvlJc w:val="left"/>
      <w:pPr>
        <w:ind w:left="720" w:hanging="360"/>
      </w:pPr>
      <w:rPr>
        <w:rFonts w:ascii="Segoe UI" w:hAnsi="Segoe UI" w:cs="Segoe UI" w:hint="default"/>
        <w:color w:val="424242"/>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0AF57946"/>
    <w:multiLevelType w:val="hybridMultilevel"/>
    <w:tmpl w:val="EEAA84B8"/>
    <w:lvl w:ilvl="0" w:tplc="1E3C36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3"/>
  </w:num>
  <w:num w:numId="3" w16cid:durableId="1708195">
    <w:abstractNumId w:val="5"/>
  </w:num>
  <w:num w:numId="4" w16cid:durableId="1466311548">
    <w:abstractNumId w:val="4"/>
  </w:num>
  <w:num w:numId="5" w16cid:durableId="794715896">
    <w:abstractNumId w:val="1"/>
  </w:num>
  <w:num w:numId="6" w16cid:durableId="1474912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33FF"/>
    <w:rsid w:val="00020BBB"/>
    <w:rsid w:val="00026C44"/>
    <w:rsid w:val="00056024"/>
    <w:rsid w:val="00061613"/>
    <w:rsid w:val="00061890"/>
    <w:rsid w:val="00076A86"/>
    <w:rsid w:val="00095AE1"/>
    <w:rsid w:val="000A6B6C"/>
    <w:rsid w:val="000B0DBB"/>
    <w:rsid w:val="00111E71"/>
    <w:rsid w:val="00127C6A"/>
    <w:rsid w:val="001363FE"/>
    <w:rsid w:val="00162962"/>
    <w:rsid w:val="0017132B"/>
    <w:rsid w:val="00177B39"/>
    <w:rsid w:val="00194003"/>
    <w:rsid w:val="001A37A5"/>
    <w:rsid w:val="001A76AD"/>
    <w:rsid w:val="001D156A"/>
    <w:rsid w:val="001F4CA3"/>
    <w:rsid w:val="001F612A"/>
    <w:rsid w:val="00211396"/>
    <w:rsid w:val="00226AE6"/>
    <w:rsid w:val="00234480"/>
    <w:rsid w:val="00245B34"/>
    <w:rsid w:val="00263355"/>
    <w:rsid w:val="00273792"/>
    <w:rsid w:val="002D4AC8"/>
    <w:rsid w:val="002D728B"/>
    <w:rsid w:val="002E5950"/>
    <w:rsid w:val="00320D78"/>
    <w:rsid w:val="00320EC3"/>
    <w:rsid w:val="00354230"/>
    <w:rsid w:val="00372DD9"/>
    <w:rsid w:val="00380FE5"/>
    <w:rsid w:val="00381031"/>
    <w:rsid w:val="003924DD"/>
    <w:rsid w:val="00394FCB"/>
    <w:rsid w:val="003963F4"/>
    <w:rsid w:val="003B5254"/>
    <w:rsid w:val="003B75A6"/>
    <w:rsid w:val="003C0A03"/>
    <w:rsid w:val="003C55C0"/>
    <w:rsid w:val="003F0583"/>
    <w:rsid w:val="003F293D"/>
    <w:rsid w:val="004061CA"/>
    <w:rsid w:val="00415689"/>
    <w:rsid w:val="004440CB"/>
    <w:rsid w:val="004713D2"/>
    <w:rsid w:val="004B0591"/>
    <w:rsid w:val="004E5AEE"/>
    <w:rsid w:val="00521639"/>
    <w:rsid w:val="00532BB7"/>
    <w:rsid w:val="005332E4"/>
    <w:rsid w:val="0053550C"/>
    <w:rsid w:val="00552076"/>
    <w:rsid w:val="005545D9"/>
    <w:rsid w:val="00555018"/>
    <w:rsid w:val="00555B67"/>
    <w:rsid w:val="0056665E"/>
    <w:rsid w:val="005723DC"/>
    <w:rsid w:val="00587B9D"/>
    <w:rsid w:val="006210DC"/>
    <w:rsid w:val="0064349D"/>
    <w:rsid w:val="00653EED"/>
    <w:rsid w:val="006578FE"/>
    <w:rsid w:val="00680991"/>
    <w:rsid w:val="00685549"/>
    <w:rsid w:val="006976E7"/>
    <w:rsid w:val="006B7365"/>
    <w:rsid w:val="006C2D81"/>
    <w:rsid w:val="006C7DF8"/>
    <w:rsid w:val="0072097D"/>
    <w:rsid w:val="00746642"/>
    <w:rsid w:val="00750FC8"/>
    <w:rsid w:val="007533D0"/>
    <w:rsid w:val="00755069"/>
    <w:rsid w:val="0077639B"/>
    <w:rsid w:val="0078014A"/>
    <w:rsid w:val="007B0660"/>
    <w:rsid w:val="007D0A0C"/>
    <w:rsid w:val="007D62A9"/>
    <w:rsid w:val="007E1D10"/>
    <w:rsid w:val="007E3868"/>
    <w:rsid w:val="007E3F2F"/>
    <w:rsid w:val="007F1F27"/>
    <w:rsid w:val="008053A6"/>
    <w:rsid w:val="00807F46"/>
    <w:rsid w:val="00820C41"/>
    <w:rsid w:val="00850256"/>
    <w:rsid w:val="008557BF"/>
    <w:rsid w:val="00866D69"/>
    <w:rsid w:val="00882E3F"/>
    <w:rsid w:val="008D2365"/>
    <w:rsid w:val="008D714D"/>
    <w:rsid w:val="008E07F6"/>
    <w:rsid w:val="00901F6D"/>
    <w:rsid w:val="00935A03"/>
    <w:rsid w:val="0093686F"/>
    <w:rsid w:val="009374B1"/>
    <w:rsid w:val="00942FD4"/>
    <w:rsid w:val="00951997"/>
    <w:rsid w:val="00990352"/>
    <w:rsid w:val="009940C8"/>
    <w:rsid w:val="009B01D4"/>
    <w:rsid w:val="009C2609"/>
    <w:rsid w:val="009C3E8B"/>
    <w:rsid w:val="009F0074"/>
    <w:rsid w:val="00A03405"/>
    <w:rsid w:val="00A1528A"/>
    <w:rsid w:val="00A20194"/>
    <w:rsid w:val="00A22A39"/>
    <w:rsid w:val="00A33918"/>
    <w:rsid w:val="00A7629F"/>
    <w:rsid w:val="00A9423C"/>
    <w:rsid w:val="00A9746B"/>
    <w:rsid w:val="00AA56F4"/>
    <w:rsid w:val="00AB3735"/>
    <w:rsid w:val="00AE067E"/>
    <w:rsid w:val="00AF0CEE"/>
    <w:rsid w:val="00B34238"/>
    <w:rsid w:val="00B5760B"/>
    <w:rsid w:val="00B667AD"/>
    <w:rsid w:val="00B84C38"/>
    <w:rsid w:val="00B86C00"/>
    <w:rsid w:val="00B947F6"/>
    <w:rsid w:val="00BD3351"/>
    <w:rsid w:val="00BF16AA"/>
    <w:rsid w:val="00BF40A9"/>
    <w:rsid w:val="00BF7162"/>
    <w:rsid w:val="00C23326"/>
    <w:rsid w:val="00C354B8"/>
    <w:rsid w:val="00C44C31"/>
    <w:rsid w:val="00C52517"/>
    <w:rsid w:val="00C60921"/>
    <w:rsid w:val="00C62936"/>
    <w:rsid w:val="00C653F2"/>
    <w:rsid w:val="00C679E6"/>
    <w:rsid w:val="00C726A6"/>
    <w:rsid w:val="00C73121"/>
    <w:rsid w:val="00C84368"/>
    <w:rsid w:val="00C866B6"/>
    <w:rsid w:val="00C908F9"/>
    <w:rsid w:val="00CA0917"/>
    <w:rsid w:val="00CA1099"/>
    <w:rsid w:val="00CE0972"/>
    <w:rsid w:val="00CF14F8"/>
    <w:rsid w:val="00D03EE3"/>
    <w:rsid w:val="00D20718"/>
    <w:rsid w:val="00D259A9"/>
    <w:rsid w:val="00D417C2"/>
    <w:rsid w:val="00D41F2A"/>
    <w:rsid w:val="00D534A7"/>
    <w:rsid w:val="00D60936"/>
    <w:rsid w:val="00D709EB"/>
    <w:rsid w:val="00D74714"/>
    <w:rsid w:val="00D77EEF"/>
    <w:rsid w:val="00D82F3F"/>
    <w:rsid w:val="00D921C6"/>
    <w:rsid w:val="00D958C2"/>
    <w:rsid w:val="00DA54E2"/>
    <w:rsid w:val="00DA5CFA"/>
    <w:rsid w:val="00DA76EC"/>
    <w:rsid w:val="00E04AB5"/>
    <w:rsid w:val="00E426FC"/>
    <w:rsid w:val="00E50EEA"/>
    <w:rsid w:val="00E52F58"/>
    <w:rsid w:val="00E774AF"/>
    <w:rsid w:val="00E8334F"/>
    <w:rsid w:val="00EC26AA"/>
    <w:rsid w:val="00ED7A53"/>
    <w:rsid w:val="00EE3FF4"/>
    <w:rsid w:val="00EE4273"/>
    <w:rsid w:val="00F02004"/>
    <w:rsid w:val="00F03CAC"/>
    <w:rsid w:val="00F042CB"/>
    <w:rsid w:val="00F43B44"/>
    <w:rsid w:val="00F44DC8"/>
    <w:rsid w:val="00F55D7D"/>
    <w:rsid w:val="00F60A20"/>
    <w:rsid w:val="00FC0A95"/>
    <w:rsid w:val="00FC1E1C"/>
    <w:rsid w:val="00FC3D9C"/>
    <w:rsid w:val="00FE24EC"/>
    <w:rsid w:val="00FF0153"/>
    <w:rsid w:val="00FF4DD7"/>
    <w:rsid w:val="00FF6BD2"/>
    <w:rsid w:val="091AC6D8"/>
    <w:rsid w:val="27861338"/>
    <w:rsid w:val="3C42D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6976E7"/>
    <w:pPr>
      <w:spacing w:before="100" w:beforeAutospacing="1" w:after="100" w:afterAutospacing="1"/>
    </w:pPr>
    <w:rPr>
      <w:szCs w:val="24"/>
    </w:rPr>
  </w:style>
  <w:style w:type="paragraph" w:styleId="Revision">
    <w:name w:val="Revision"/>
    <w:hidden/>
    <w:uiPriority w:val="99"/>
    <w:semiHidden/>
    <w:rsid w:val="00901F6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114918">
      <w:bodyDiv w:val="1"/>
      <w:marLeft w:val="0"/>
      <w:marRight w:val="0"/>
      <w:marTop w:val="0"/>
      <w:marBottom w:val="0"/>
      <w:divBdr>
        <w:top w:val="none" w:sz="0" w:space="0" w:color="auto"/>
        <w:left w:val="none" w:sz="0" w:space="0" w:color="auto"/>
        <w:bottom w:val="none" w:sz="0" w:space="0" w:color="auto"/>
        <w:right w:val="none" w:sz="0" w:space="0" w:color="auto"/>
      </w:divBdr>
    </w:div>
    <w:div w:id="700786378">
      <w:bodyDiv w:val="1"/>
      <w:marLeft w:val="0"/>
      <w:marRight w:val="0"/>
      <w:marTop w:val="0"/>
      <w:marBottom w:val="0"/>
      <w:divBdr>
        <w:top w:val="none" w:sz="0" w:space="0" w:color="auto"/>
        <w:left w:val="none" w:sz="0" w:space="0" w:color="auto"/>
        <w:bottom w:val="none" w:sz="0" w:space="0" w:color="auto"/>
        <w:right w:val="none" w:sz="0" w:space="0" w:color="auto"/>
      </w:divBdr>
    </w:div>
    <w:div w:id="1166479756">
      <w:bodyDiv w:val="1"/>
      <w:marLeft w:val="0"/>
      <w:marRight w:val="0"/>
      <w:marTop w:val="0"/>
      <w:marBottom w:val="0"/>
      <w:divBdr>
        <w:top w:val="none" w:sz="0" w:space="0" w:color="auto"/>
        <w:left w:val="none" w:sz="0" w:space="0" w:color="auto"/>
        <w:bottom w:val="none" w:sz="0" w:space="0" w:color="auto"/>
        <w:right w:val="none" w:sz="0" w:space="0" w:color="auto"/>
      </w:divBdr>
      <w:divsChild>
        <w:div w:id="644896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1086</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2025-07-17T14:01:00Z</cp:lastPrinted>
  <dcterms:created xsi:type="dcterms:W3CDTF">2025-08-21T14:38:00Z</dcterms:created>
  <dcterms:modified xsi:type="dcterms:W3CDTF">2025-08-21T14:38:00Z</dcterms:modified>
</cp:coreProperties>
</file>