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E7BB3" w14:textId="77777777" w:rsidR="00676A86" w:rsidRPr="00676A86" w:rsidRDefault="00676A86" w:rsidP="00676A86">
      <w:pPr>
        <w:jc w:val="center"/>
        <w:rPr>
          <w:rFonts w:ascii="Book Antiqua" w:hAnsi="Book Antiqua"/>
          <w:b/>
          <w:bCs/>
          <w:szCs w:val="24"/>
          <w:lang w:val="es-PR"/>
        </w:rPr>
      </w:pPr>
      <w:bookmarkStart w:id="0" w:name="_Hlk138253982"/>
      <w:r w:rsidRPr="00676A86">
        <w:rPr>
          <w:rFonts w:ascii="Book Antiqua" w:hAnsi="Book Antiqua"/>
          <w:b/>
          <w:bCs/>
          <w:szCs w:val="24"/>
          <w:lang w:val="es-PR"/>
        </w:rPr>
        <w:t>(TEXTO DE APROBACIÓN FINAL POR LA CÁMARA)</w:t>
      </w:r>
      <w:r w:rsidRPr="00676A86">
        <w:rPr>
          <w:rFonts w:ascii="Book Antiqua" w:hAnsi="Book Antiqua"/>
          <w:b/>
          <w:bCs/>
          <w:szCs w:val="24"/>
          <w:lang w:val="es-ES"/>
        </w:rPr>
        <w:fldChar w:fldCharType="begin"/>
      </w:r>
      <w:r w:rsidRPr="00676A86">
        <w:rPr>
          <w:rFonts w:ascii="Book Antiqua" w:hAnsi="Book Antiqua"/>
          <w:b/>
          <w:bCs/>
          <w:szCs w:val="24"/>
          <w:lang w:val="es-PR"/>
        </w:rPr>
        <w:instrText xml:space="preserve">PRIVATE </w:instrText>
      </w:r>
      <w:r w:rsidRPr="00676A86">
        <w:rPr>
          <w:rFonts w:ascii="Book Antiqua" w:hAnsi="Book Antiqua"/>
          <w:b/>
          <w:bCs/>
          <w:szCs w:val="24"/>
          <w:lang w:val="es-ES"/>
        </w:rPr>
        <w:fldChar w:fldCharType="end"/>
      </w:r>
    </w:p>
    <w:p w14:paraId="548C5340" w14:textId="77777777" w:rsidR="00676A86" w:rsidRPr="00676A86" w:rsidRDefault="00676A86" w:rsidP="00676A86">
      <w:pPr>
        <w:jc w:val="center"/>
        <w:rPr>
          <w:rFonts w:ascii="Book Antiqua" w:hAnsi="Book Antiqua"/>
          <w:b/>
          <w:bCs/>
          <w:szCs w:val="24"/>
          <w:lang w:val="es-PR"/>
        </w:rPr>
      </w:pPr>
      <w:r w:rsidRPr="00676A86">
        <w:rPr>
          <w:rFonts w:ascii="Book Antiqua" w:hAnsi="Book Antiqua"/>
          <w:b/>
          <w:bCs/>
          <w:szCs w:val="24"/>
          <w:lang w:val="es-PR"/>
        </w:rPr>
        <w:t>(8 DE SEPTIEMBRE DE 2025)</w:t>
      </w:r>
    </w:p>
    <w:p w14:paraId="26629432" w14:textId="77777777" w:rsidR="00676A86" w:rsidRPr="00676A86" w:rsidRDefault="00676A86" w:rsidP="00676A86">
      <w:pPr>
        <w:jc w:val="center"/>
        <w:rPr>
          <w:rFonts w:ascii="Book Antiqua" w:hAnsi="Book Antiqua"/>
          <w:b/>
          <w:bCs/>
          <w:szCs w:val="24"/>
          <w:lang w:val="es-ES_tradnl"/>
        </w:rPr>
      </w:pPr>
      <w:r w:rsidRPr="00676A86">
        <w:rPr>
          <w:rFonts w:ascii="Book Antiqua" w:hAnsi="Book Antiqua"/>
          <w:b/>
          <w:bCs/>
          <w:noProof/>
          <w:szCs w:val="24"/>
          <w:lang w:val="es-ES"/>
        </w:rPr>
        <mc:AlternateContent>
          <mc:Choice Requires="wps">
            <w:drawing>
              <wp:anchor distT="0" distB="0" distL="114300" distR="114300" simplePos="0" relativeHeight="251659264" behindDoc="1" locked="0" layoutInCell="0" allowOverlap="1" wp14:anchorId="2EDC02C1" wp14:editId="49626F9E">
                <wp:simplePos x="0" y="0"/>
                <wp:positionH relativeFrom="margin">
                  <wp:posOffset>0</wp:posOffset>
                </wp:positionH>
                <wp:positionV relativeFrom="paragraph">
                  <wp:posOffset>0</wp:posOffset>
                </wp:positionV>
                <wp:extent cx="5943600" cy="22860"/>
                <wp:effectExtent l="0" t="0" r="0" b="0"/>
                <wp:wrapNone/>
                <wp:docPr id="51463044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68DCFA"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2F60209E" w14:textId="0376AC26" w:rsidR="00E36DB0" w:rsidRDefault="00E36DB0" w:rsidP="00E36DB0">
      <w:pPr>
        <w:jc w:val="center"/>
        <w:rPr>
          <w:rFonts w:ascii="Book Antiqua" w:hAnsi="Book Antiqua"/>
          <w:sz w:val="28"/>
          <w:szCs w:val="28"/>
          <w:lang w:val="es-ES_tradnl"/>
        </w:rPr>
      </w:pPr>
      <w:r>
        <w:rPr>
          <w:rFonts w:ascii="Book Antiqua" w:hAnsi="Book Antiqua"/>
          <w:sz w:val="28"/>
          <w:szCs w:val="28"/>
          <w:lang w:val="es-ES_tradnl"/>
        </w:rPr>
        <w:t>GOBIERNO</w:t>
      </w:r>
      <w:r>
        <w:rPr>
          <w:rFonts w:ascii="Book Antiqua" w:hAnsi="Book Antiqua"/>
          <w:i/>
          <w:sz w:val="28"/>
          <w:szCs w:val="28"/>
          <w:lang w:val="es-ES_tradnl"/>
        </w:rPr>
        <w:t xml:space="preserve"> </w:t>
      </w:r>
      <w:r>
        <w:rPr>
          <w:rFonts w:ascii="Book Antiqua" w:hAnsi="Book Antiqua"/>
          <w:sz w:val="28"/>
          <w:szCs w:val="28"/>
          <w:lang w:val="es-ES_tradnl"/>
        </w:rPr>
        <w:t>DE PUERTO RICO</w:t>
      </w:r>
    </w:p>
    <w:p w14:paraId="15D02C7C" w14:textId="77777777" w:rsidR="00E36DB0" w:rsidRPr="00D47BC8" w:rsidRDefault="00E36DB0" w:rsidP="00E36DB0">
      <w:pPr>
        <w:jc w:val="center"/>
        <w:rPr>
          <w:rFonts w:ascii="Book Antiqua" w:hAnsi="Book Antiqua"/>
          <w:szCs w:val="24"/>
          <w:lang w:val="es-ES_tradnl"/>
        </w:rPr>
      </w:pPr>
    </w:p>
    <w:p w14:paraId="6E4757C7" w14:textId="6856DCB8" w:rsidR="00E36DB0" w:rsidRDefault="00E36DB0" w:rsidP="00E36DB0">
      <w:pPr>
        <w:jc w:val="both"/>
        <w:rPr>
          <w:rFonts w:ascii="Book Antiqua" w:hAnsi="Book Antiqua"/>
          <w:lang w:val="es-ES_tradnl"/>
        </w:rPr>
      </w:pPr>
      <w:r>
        <w:rPr>
          <w:rFonts w:ascii="Book Antiqua" w:hAnsi="Book Antiqua"/>
          <w:lang w:val="es-ES_tradnl"/>
        </w:rPr>
        <w:t>20ma. Asamblea</w:t>
      </w:r>
      <w:r>
        <w:rPr>
          <w:rFonts w:ascii="Book Antiqua" w:hAnsi="Book Antiqua"/>
          <w:lang w:val="es-ES_tradnl"/>
        </w:rPr>
        <w:tab/>
        <w:t xml:space="preserve">                                                                                              1ra. Sesión</w:t>
      </w:r>
    </w:p>
    <w:p w14:paraId="41FF591D" w14:textId="52B70881" w:rsidR="00E36DB0" w:rsidRDefault="00E36DB0" w:rsidP="00E36DB0">
      <w:pPr>
        <w:rPr>
          <w:rFonts w:ascii="Book Antiqua" w:hAnsi="Book Antiqua"/>
          <w:lang w:val="es-ES_tradnl"/>
        </w:rPr>
      </w:pPr>
      <w:r>
        <w:rPr>
          <w:rFonts w:ascii="Book Antiqua" w:hAnsi="Book Antiqua"/>
          <w:lang w:val="es-ES_tradnl"/>
        </w:rPr>
        <w:t xml:space="preserve">          </w:t>
      </w:r>
      <w:r w:rsidR="00AE2E99">
        <w:rPr>
          <w:rFonts w:ascii="Book Antiqua" w:hAnsi="Book Antiqua"/>
          <w:lang w:val="es-ES_tradnl"/>
        </w:rPr>
        <w:t xml:space="preserve"> </w:t>
      </w:r>
      <w:r>
        <w:rPr>
          <w:rFonts w:ascii="Book Antiqua" w:hAnsi="Book Antiqua"/>
          <w:lang w:val="es-ES_tradnl"/>
        </w:rPr>
        <w:t>Legislativa</w:t>
      </w:r>
      <w:r>
        <w:rPr>
          <w:rFonts w:ascii="Book Antiqua" w:hAnsi="Book Antiqua"/>
          <w:lang w:val="es-ES_tradnl"/>
        </w:rPr>
        <w:tab/>
      </w:r>
      <w:r>
        <w:rPr>
          <w:rFonts w:ascii="Book Antiqua" w:hAnsi="Book Antiqua"/>
          <w:lang w:val="es-ES_tradnl"/>
        </w:rPr>
        <w:tab/>
        <w:t xml:space="preserve">                                                                                         Ordinaria</w:t>
      </w:r>
    </w:p>
    <w:p w14:paraId="7C0A960F" w14:textId="77777777" w:rsidR="00E36DB0" w:rsidRPr="00D47BC8" w:rsidRDefault="00E36DB0" w:rsidP="00E36DB0">
      <w:pPr>
        <w:rPr>
          <w:szCs w:val="24"/>
          <w:lang w:val="es-ES_tradnl"/>
        </w:rPr>
      </w:pPr>
    </w:p>
    <w:p w14:paraId="3D2BA633" w14:textId="77777777" w:rsidR="00E36DB0" w:rsidRDefault="00E36DB0" w:rsidP="00E36DB0">
      <w:pPr>
        <w:jc w:val="center"/>
        <w:rPr>
          <w:rFonts w:ascii="Book Antiqua" w:hAnsi="Book Antiqua"/>
          <w:b/>
          <w:sz w:val="36"/>
          <w:lang w:val="es-ES_tradnl"/>
        </w:rPr>
      </w:pPr>
      <w:r>
        <w:rPr>
          <w:rFonts w:ascii="Book Antiqua" w:hAnsi="Book Antiqua"/>
          <w:b/>
          <w:sz w:val="36"/>
          <w:lang w:val="es-ES_tradnl"/>
        </w:rPr>
        <w:t>CÁMARA DE REPRESENTANTES</w:t>
      </w:r>
    </w:p>
    <w:p w14:paraId="4E93C9F8" w14:textId="77777777" w:rsidR="00E36DB0" w:rsidRPr="00140376" w:rsidRDefault="00E36DB0" w:rsidP="00E36DB0">
      <w:pPr>
        <w:jc w:val="center"/>
        <w:rPr>
          <w:rFonts w:ascii="Book Antiqua" w:hAnsi="Book Antiqua"/>
          <w:b/>
          <w:szCs w:val="24"/>
          <w:lang w:val="es-ES_tradnl"/>
        </w:rPr>
      </w:pPr>
    </w:p>
    <w:p w14:paraId="16B807F6" w14:textId="636338F1" w:rsidR="00E36DB0" w:rsidRDefault="00E36DB0" w:rsidP="00E36DB0">
      <w:pPr>
        <w:jc w:val="center"/>
        <w:rPr>
          <w:rFonts w:ascii="Book Antiqua" w:hAnsi="Book Antiqua"/>
          <w:b/>
          <w:sz w:val="52"/>
          <w:lang w:val="es-ES_tradnl"/>
        </w:rPr>
      </w:pPr>
      <w:r>
        <w:rPr>
          <w:rFonts w:ascii="Book Antiqua" w:hAnsi="Book Antiqua"/>
          <w:b/>
          <w:sz w:val="52"/>
          <w:lang w:val="es-ES_tradnl"/>
        </w:rPr>
        <w:t xml:space="preserve">R. de la C. </w:t>
      </w:r>
      <w:r w:rsidR="00BD5A50">
        <w:rPr>
          <w:rFonts w:ascii="Book Antiqua" w:hAnsi="Book Antiqua"/>
          <w:b/>
          <w:sz w:val="52"/>
          <w:lang w:val="es-ES_tradnl"/>
        </w:rPr>
        <w:t>375</w:t>
      </w:r>
    </w:p>
    <w:p w14:paraId="2D162C2E" w14:textId="77777777" w:rsidR="00E36DB0" w:rsidRPr="00140376" w:rsidRDefault="00E36DB0" w:rsidP="00E36DB0">
      <w:pPr>
        <w:jc w:val="center"/>
        <w:rPr>
          <w:rFonts w:ascii="Book Antiqua" w:hAnsi="Book Antiqua"/>
          <w:b/>
          <w:szCs w:val="24"/>
          <w:lang w:val="es-ES_tradnl"/>
        </w:rPr>
      </w:pPr>
    </w:p>
    <w:p w14:paraId="46A9A2F3" w14:textId="79EA5F52" w:rsidR="00E36DB0" w:rsidRDefault="004D73D7" w:rsidP="00E36DB0">
      <w:pPr>
        <w:jc w:val="center"/>
        <w:rPr>
          <w:rFonts w:ascii="Book Antiqua" w:hAnsi="Book Antiqua"/>
          <w:lang w:val="es-ES_tradnl"/>
        </w:rPr>
      </w:pPr>
      <w:r>
        <w:rPr>
          <w:rFonts w:ascii="Book Antiqua" w:hAnsi="Book Antiqua"/>
          <w:lang w:val="es-ES_tradnl"/>
        </w:rPr>
        <w:t>3</w:t>
      </w:r>
      <w:r w:rsidR="0006491B">
        <w:rPr>
          <w:rFonts w:ascii="Book Antiqua" w:hAnsi="Book Antiqua"/>
          <w:lang w:val="es-ES_tradnl"/>
        </w:rPr>
        <w:t>0</w:t>
      </w:r>
      <w:r w:rsidR="00E36DB0">
        <w:rPr>
          <w:rFonts w:ascii="Book Antiqua" w:hAnsi="Book Antiqua"/>
          <w:lang w:val="es-ES_tradnl"/>
        </w:rPr>
        <w:t xml:space="preserve"> DE </w:t>
      </w:r>
      <w:r w:rsidR="00705F43">
        <w:rPr>
          <w:rFonts w:ascii="Book Antiqua" w:hAnsi="Book Antiqua"/>
          <w:lang w:val="es-ES_tradnl"/>
        </w:rPr>
        <w:t>JUNIO</w:t>
      </w:r>
      <w:r w:rsidR="00E36DB0">
        <w:rPr>
          <w:rFonts w:ascii="Book Antiqua" w:hAnsi="Book Antiqua"/>
          <w:lang w:val="es-ES_tradnl"/>
        </w:rPr>
        <w:t xml:space="preserve"> DE 202</w:t>
      </w:r>
      <w:r w:rsidR="00A74414">
        <w:rPr>
          <w:rFonts w:ascii="Book Antiqua" w:hAnsi="Book Antiqua"/>
          <w:lang w:val="es-ES_tradnl"/>
        </w:rPr>
        <w:t>5</w:t>
      </w:r>
    </w:p>
    <w:p w14:paraId="74DD0DA1" w14:textId="77777777" w:rsidR="00E36DB0" w:rsidRDefault="00E36DB0" w:rsidP="00E36DB0">
      <w:pPr>
        <w:jc w:val="center"/>
        <w:rPr>
          <w:rFonts w:ascii="Book Antiqua" w:hAnsi="Book Antiqua"/>
          <w:lang w:val="es-ES_tradnl"/>
        </w:rPr>
      </w:pPr>
    </w:p>
    <w:p w14:paraId="5F60D305" w14:textId="0C8C19F0" w:rsidR="00E36DB0" w:rsidRPr="0006491B" w:rsidRDefault="00E36DB0" w:rsidP="00E36DB0">
      <w:pPr>
        <w:jc w:val="center"/>
        <w:rPr>
          <w:rFonts w:ascii="Book Antiqua" w:hAnsi="Book Antiqua"/>
          <w:i/>
          <w:lang w:val="es-ES_tradnl"/>
        </w:rPr>
      </w:pPr>
      <w:r>
        <w:rPr>
          <w:rFonts w:ascii="Book Antiqua" w:hAnsi="Book Antiqua"/>
          <w:lang w:val="es-ES_tradnl"/>
        </w:rPr>
        <w:t xml:space="preserve">Presentada por la representante </w:t>
      </w:r>
      <w:r>
        <w:rPr>
          <w:rFonts w:ascii="Book Antiqua" w:hAnsi="Book Antiqua"/>
          <w:i/>
          <w:lang w:val="es-ES_tradnl"/>
        </w:rPr>
        <w:t>Medina Calderón</w:t>
      </w:r>
      <w:r w:rsidR="0006491B">
        <w:rPr>
          <w:rFonts w:ascii="Book Antiqua" w:hAnsi="Book Antiqua"/>
          <w:iCs/>
          <w:lang w:val="es-ES_tradnl"/>
        </w:rPr>
        <w:t xml:space="preserve"> y el representante </w:t>
      </w:r>
      <w:r w:rsidR="0006491B">
        <w:rPr>
          <w:rFonts w:ascii="Book Antiqua" w:hAnsi="Book Antiqua"/>
          <w:i/>
          <w:lang w:val="es-ES_tradnl"/>
        </w:rPr>
        <w:t>Peña Ramírez</w:t>
      </w:r>
    </w:p>
    <w:p w14:paraId="2F0CDD1F" w14:textId="77777777" w:rsidR="006817A8" w:rsidRDefault="006817A8" w:rsidP="00E36DB0">
      <w:pPr>
        <w:jc w:val="center"/>
        <w:rPr>
          <w:rFonts w:ascii="Book Antiqua" w:hAnsi="Book Antiqua"/>
          <w:i/>
          <w:lang w:val="es-ES_tradnl"/>
        </w:rPr>
      </w:pPr>
    </w:p>
    <w:p w14:paraId="43311552" w14:textId="77777777" w:rsidR="00E36DB0" w:rsidRDefault="00E36DB0" w:rsidP="00E36DB0">
      <w:pPr>
        <w:jc w:val="center"/>
        <w:rPr>
          <w:rFonts w:ascii="Book Antiqua" w:hAnsi="Book Antiqua"/>
          <w:lang w:val="es-ES_tradnl"/>
        </w:rPr>
      </w:pPr>
      <w:r>
        <w:rPr>
          <w:rFonts w:ascii="Book Antiqua" w:hAnsi="Book Antiqua"/>
          <w:lang w:val="es-ES_tradnl"/>
        </w:rPr>
        <w:t>Referida a la Comisión de</w:t>
      </w:r>
      <w:r w:rsidRPr="00CC232C">
        <w:rPr>
          <w:rFonts w:ascii="Book Antiqua" w:hAnsi="Book Antiqua"/>
          <w:lang w:val="es-ES_tradnl"/>
        </w:rPr>
        <w:t xml:space="preserve"> Asuntos</w:t>
      </w:r>
      <w:r>
        <w:rPr>
          <w:rFonts w:ascii="Book Antiqua" w:hAnsi="Book Antiqua"/>
          <w:lang w:val="es-ES_tradnl"/>
        </w:rPr>
        <w:t xml:space="preserve"> Internos</w:t>
      </w:r>
    </w:p>
    <w:p w14:paraId="4D0BB5CB" w14:textId="77777777" w:rsidR="00E36DB0" w:rsidRDefault="00E36DB0" w:rsidP="00E36DB0">
      <w:pPr>
        <w:jc w:val="both"/>
        <w:rPr>
          <w:rFonts w:ascii="Book Antiqua" w:hAnsi="Book Antiqua"/>
          <w:lang w:val="es-ES_tradnl"/>
        </w:rPr>
      </w:pPr>
    </w:p>
    <w:p w14:paraId="5549FFC4" w14:textId="77777777" w:rsidR="00E36DB0" w:rsidRDefault="00E36DB0" w:rsidP="00E36DB0">
      <w:pPr>
        <w:jc w:val="center"/>
        <w:rPr>
          <w:rFonts w:ascii="Book Antiqua" w:hAnsi="Book Antiqua"/>
          <w:b/>
          <w:sz w:val="28"/>
          <w:lang w:val="es-ES_tradnl"/>
        </w:rPr>
      </w:pPr>
      <w:r>
        <w:rPr>
          <w:rFonts w:ascii="Book Antiqua" w:hAnsi="Book Antiqua"/>
          <w:b/>
          <w:sz w:val="28"/>
          <w:lang w:val="es-ES_tradnl"/>
        </w:rPr>
        <w:t>RESOLUCIÓN</w:t>
      </w:r>
    </w:p>
    <w:p w14:paraId="12E5E5F0" w14:textId="77777777" w:rsidR="00E36DB0" w:rsidRDefault="00E36DB0" w:rsidP="00E36DB0">
      <w:pPr>
        <w:jc w:val="both"/>
        <w:rPr>
          <w:rFonts w:ascii="Book Antiqua" w:hAnsi="Book Antiqua"/>
          <w:lang w:val="es-ES_tradnl"/>
        </w:rPr>
      </w:pPr>
    </w:p>
    <w:p w14:paraId="18B2D29A" w14:textId="1931496C" w:rsidR="00E36DB0" w:rsidRPr="00CC232C" w:rsidRDefault="00E36DB0" w:rsidP="00E36DB0">
      <w:pPr>
        <w:ind w:left="720" w:hanging="720"/>
        <w:jc w:val="both"/>
        <w:rPr>
          <w:rFonts w:ascii="Book Antiqua" w:hAnsi="Book Antiqua"/>
          <w:lang w:val="es-ES_tradnl"/>
        </w:rPr>
      </w:pPr>
      <w:r w:rsidRPr="00754ACF">
        <w:rPr>
          <w:rFonts w:ascii="Book Antiqua" w:hAnsi="Book Antiqua"/>
          <w:lang w:val="es-ES_tradnl"/>
        </w:rPr>
        <w:t xml:space="preserve">Para </w:t>
      </w:r>
      <w:r w:rsidR="00705F43">
        <w:rPr>
          <w:rFonts w:ascii="Book Antiqua" w:hAnsi="Book Antiqua"/>
          <w:szCs w:val="24"/>
          <w:lang w:val="es-ES_tradnl"/>
        </w:rPr>
        <w:t>enmendar el Título, la Exposición de Motivos y las Secciones 1</w:t>
      </w:r>
      <w:r w:rsidR="0006491B">
        <w:rPr>
          <w:rFonts w:ascii="Book Antiqua" w:hAnsi="Book Antiqua"/>
          <w:szCs w:val="24"/>
          <w:lang w:val="es-ES_tradnl"/>
        </w:rPr>
        <w:t>,</w:t>
      </w:r>
      <w:r w:rsidR="00705F43">
        <w:rPr>
          <w:rFonts w:ascii="Book Antiqua" w:hAnsi="Book Antiqua"/>
          <w:szCs w:val="24"/>
          <w:lang w:val="es-ES_tradnl"/>
        </w:rPr>
        <w:t xml:space="preserve"> 2</w:t>
      </w:r>
      <w:r w:rsidR="0006491B">
        <w:rPr>
          <w:rFonts w:ascii="Book Antiqua" w:hAnsi="Book Antiqua"/>
          <w:szCs w:val="24"/>
          <w:lang w:val="es-ES_tradnl"/>
        </w:rPr>
        <w:t xml:space="preserve"> y 3</w:t>
      </w:r>
      <w:r w:rsidR="00705F43">
        <w:rPr>
          <w:rFonts w:ascii="Book Antiqua" w:hAnsi="Book Antiqua"/>
          <w:szCs w:val="24"/>
          <w:lang w:val="es-ES_tradnl"/>
        </w:rPr>
        <w:t xml:space="preserve"> de la Resolución de la Cámara </w:t>
      </w:r>
      <w:r w:rsidR="0006491B">
        <w:rPr>
          <w:rFonts w:ascii="Book Antiqua" w:hAnsi="Book Antiqua"/>
          <w:szCs w:val="24"/>
          <w:lang w:val="es-ES_tradnl"/>
        </w:rPr>
        <w:t>120</w:t>
      </w:r>
      <w:r w:rsidR="00705F43">
        <w:rPr>
          <w:rFonts w:ascii="Book Antiqua" w:hAnsi="Book Antiqua"/>
          <w:szCs w:val="24"/>
          <w:lang w:val="es-ES_tradnl"/>
        </w:rPr>
        <w:t>, aprobada por la Cámara de Representantes de Puerto Rico, el 2</w:t>
      </w:r>
      <w:r w:rsidR="0006491B">
        <w:rPr>
          <w:rFonts w:ascii="Book Antiqua" w:hAnsi="Book Antiqua"/>
          <w:szCs w:val="24"/>
          <w:lang w:val="es-ES_tradnl"/>
        </w:rPr>
        <w:t>0</w:t>
      </w:r>
      <w:r w:rsidR="00705F43">
        <w:rPr>
          <w:rFonts w:ascii="Book Antiqua" w:hAnsi="Book Antiqua"/>
          <w:szCs w:val="24"/>
          <w:lang w:val="es-ES_tradnl"/>
        </w:rPr>
        <w:t xml:space="preserve"> de </w:t>
      </w:r>
      <w:r w:rsidR="0006491B">
        <w:rPr>
          <w:rFonts w:ascii="Book Antiqua" w:hAnsi="Book Antiqua"/>
          <w:szCs w:val="24"/>
          <w:lang w:val="es-ES_tradnl"/>
        </w:rPr>
        <w:t>marzo</w:t>
      </w:r>
      <w:r w:rsidR="00705F43">
        <w:rPr>
          <w:rFonts w:ascii="Book Antiqua" w:hAnsi="Book Antiqua"/>
          <w:szCs w:val="24"/>
          <w:lang w:val="es-ES_tradnl"/>
        </w:rPr>
        <w:t xml:space="preserve"> de 2025, para realizarle enmiendas técnicas; y para otros fines relacionados.</w:t>
      </w:r>
    </w:p>
    <w:p w14:paraId="58F53ED6" w14:textId="77777777" w:rsidR="00E36DB0" w:rsidRDefault="00E36DB0" w:rsidP="00E36DB0">
      <w:pPr>
        <w:ind w:firstLine="360"/>
        <w:jc w:val="center"/>
        <w:rPr>
          <w:rFonts w:ascii="Book Antiqua" w:hAnsi="Book Antiqua"/>
          <w:lang w:val="es-ES_tradnl"/>
        </w:rPr>
      </w:pPr>
    </w:p>
    <w:p w14:paraId="537889B6" w14:textId="77777777" w:rsidR="00E36DB0" w:rsidRPr="00CC232C" w:rsidRDefault="00E36DB0" w:rsidP="00E36DB0">
      <w:pPr>
        <w:jc w:val="center"/>
        <w:rPr>
          <w:rFonts w:ascii="Book Antiqua" w:hAnsi="Book Antiqua"/>
          <w:lang w:val="es-ES_tradnl"/>
        </w:rPr>
      </w:pPr>
      <w:r w:rsidRPr="00CC232C">
        <w:rPr>
          <w:rFonts w:ascii="Book Antiqua" w:hAnsi="Book Antiqua"/>
          <w:lang w:val="es-ES_tradnl"/>
        </w:rPr>
        <w:t>EXPOSICIÓN DE MOTIVOS</w:t>
      </w:r>
    </w:p>
    <w:p w14:paraId="5247E029" w14:textId="77777777" w:rsidR="00E36DB0" w:rsidRDefault="00E36DB0" w:rsidP="00E36DB0">
      <w:pPr>
        <w:ind w:firstLine="720"/>
        <w:jc w:val="both"/>
        <w:rPr>
          <w:rFonts w:ascii="Book Antiqua" w:hAnsi="Book Antiqua"/>
          <w:szCs w:val="24"/>
          <w:lang w:val="es-ES_tradnl"/>
        </w:rPr>
      </w:pPr>
    </w:p>
    <w:p w14:paraId="0F04A0F9" w14:textId="10176690" w:rsidR="0006491B" w:rsidRPr="00FF6D93" w:rsidRDefault="00705F43" w:rsidP="00002037">
      <w:pPr>
        <w:ind w:firstLine="720"/>
        <w:jc w:val="both"/>
        <w:rPr>
          <w:rFonts w:ascii="Book Antiqua" w:hAnsi="Book Antiqua"/>
          <w:lang w:val="es-ES_tradnl"/>
        </w:rPr>
      </w:pPr>
      <w:r w:rsidRPr="00FF6D93">
        <w:rPr>
          <w:rFonts w:ascii="Book Antiqua" w:hAnsi="Book Antiqua"/>
          <w:szCs w:val="24"/>
          <w:lang w:val="es-ES_tradnl"/>
        </w:rPr>
        <w:t xml:space="preserve">La Resolución de la Cámara </w:t>
      </w:r>
      <w:r w:rsidR="0006491B" w:rsidRPr="00FF6D93">
        <w:rPr>
          <w:rFonts w:ascii="Book Antiqua" w:hAnsi="Book Antiqua"/>
          <w:szCs w:val="24"/>
          <w:lang w:val="es-ES_tradnl"/>
        </w:rPr>
        <w:t>120</w:t>
      </w:r>
      <w:r w:rsidRPr="00FF6D93">
        <w:rPr>
          <w:rFonts w:ascii="Book Antiqua" w:hAnsi="Book Antiqua"/>
          <w:szCs w:val="24"/>
          <w:lang w:val="es-ES_tradnl"/>
        </w:rPr>
        <w:t xml:space="preserve"> </w:t>
      </w:r>
      <w:r w:rsidR="007E3477" w:rsidRPr="00FF6D93">
        <w:rPr>
          <w:rFonts w:ascii="Book Antiqua" w:hAnsi="Book Antiqua"/>
          <w:lang w:val="es-ES_tradnl"/>
        </w:rPr>
        <w:t xml:space="preserve">ordena </w:t>
      </w:r>
      <w:r w:rsidR="0006491B" w:rsidRPr="00FF6D93">
        <w:rPr>
          <w:rFonts w:ascii="Book Antiqua" w:hAnsi="Book Antiqua"/>
          <w:lang w:val="es-ES_tradnl"/>
        </w:rPr>
        <w:t xml:space="preserve">a la Comisión de la Región Este de la Cámara de Representantes del Gobierno de Puerto Rico, realizar un amplio y continuo análisis sobre todo asunto relacionado con el desarrollo socioeconómico del Distrito Representativo Núm. 33 que comprende los municipios de 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los que fueron asignados los </w:t>
      </w:r>
      <w:r w:rsidR="0006491B" w:rsidRPr="00FF6D93">
        <w:rPr>
          <w:rFonts w:ascii="Book Antiqua" w:hAnsi="Book Antiqua"/>
          <w:lang w:val="es-ES_tradnl"/>
        </w:rPr>
        <w:lastRenderedPageBreak/>
        <w:t xml:space="preserve">fondos públicos;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y para otros fines relacionados.    </w:t>
      </w:r>
    </w:p>
    <w:p w14:paraId="08FB4A29" w14:textId="77777777" w:rsidR="00E36DB0" w:rsidRPr="00FF6D93" w:rsidRDefault="00E36DB0" w:rsidP="00E36DB0">
      <w:pPr>
        <w:ind w:firstLine="720"/>
        <w:jc w:val="both"/>
        <w:rPr>
          <w:rFonts w:ascii="Book Antiqua" w:hAnsi="Book Antiqua"/>
          <w:lang w:val="es-ES_tradnl"/>
        </w:rPr>
      </w:pPr>
    </w:p>
    <w:p w14:paraId="0D5C5526" w14:textId="1F25A167" w:rsidR="0006491B" w:rsidRPr="00FF6D93" w:rsidRDefault="0006491B" w:rsidP="00002037">
      <w:pPr>
        <w:ind w:firstLine="720"/>
        <w:jc w:val="both"/>
        <w:rPr>
          <w:rFonts w:ascii="Book Antiqua" w:hAnsi="Book Antiqua"/>
          <w:szCs w:val="24"/>
          <w:lang w:val="es-ES_tradnl"/>
        </w:rPr>
      </w:pPr>
      <w:r w:rsidRPr="00FF6D93">
        <w:rPr>
          <w:rFonts w:ascii="Book Antiqua" w:hAnsi="Book Antiqua"/>
          <w:szCs w:val="24"/>
          <w:lang w:val="es-ES_tradnl"/>
        </w:rPr>
        <w:t xml:space="preserve">Luego de aprobada la R. de la C. 367, </w:t>
      </w:r>
      <w:r w:rsidR="007E3477" w:rsidRPr="00FF6D93">
        <w:rPr>
          <w:rFonts w:ascii="Book Antiqua" w:hAnsi="Book Antiqua"/>
          <w:szCs w:val="24"/>
          <w:lang w:val="es-ES_tradnl"/>
        </w:rPr>
        <w:t xml:space="preserve">la jurisdicción </w:t>
      </w:r>
      <w:r w:rsidRPr="00FF6D93">
        <w:rPr>
          <w:rFonts w:ascii="Book Antiqua" w:hAnsi="Book Antiqua"/>
          <w:szCs w:val="24"/>
          <w:lang w:val="es-ES_tradnl"/>
        </w:rPr>
        <w:t xml:space="preserve">de los municipios de </w:t>
      </w:r>
      <w:r w:rsidR="004A0B51" w:rsidRPr="00FF6D93">
        <w:rPr>
          <w:rFonts w:ascii="Book Antiqua" w:hAnsi="Book Antiqua"/>
          <w:szCs w:val="24"/>
          <w:lang w:val="es-ES_tradnl"/>
        </w:rPr>
        <w:t>Las Piedras, Juncos, San Lorenzo y Gurabo</w:t>
      </w:r>
      <w:r w:rsidRPr="00FF6D93">
        <w:rPr>
          <w:rFonts w:ascii="Book Antiqua" w:hAnsi="Book Antiqua"/>
          <w:szCs w:val="24"/>
          <w:lang w:val="es-ES_tradnl"/>
        </w:rPr>
        <w:t xml:space="preserve">, pasó a la Comisión de la Región Este Central. Por medio de esta Resolución </w:t>
      </w:r>
      <w:r w:rsidR="00E709F7">
        <w:rPr>
          <w:rFonts w:ascii="Book Antiqua" w:hAnsi="Book Antiqua"/>
          <w:szCs w:val="24"/>
          <w:lang w:val="es-ES_tradnl"/>
        </w:rPr>
        <w:t>realizamos</w:t>
      </w:r>
      <w:r w:rsidRPr="00FF6D93">
        <w:rPr>
          <w:rFonts w:ascii="Book Antiqua" w:hAnsi="Book Antiqua"/>
          <w:szCs w:val="24"/>
          <w:lang w:val="es-ES_tradnl"/>
        </w:rPr>
        <w:t xml:space="preserve"> unas enmiendas técnicas a la R. de la C. </w:t>
      </w:r>
      <w:r w:rsidR="004A0B51" w:rsidRPr="00FF6D93">
        <w:rPr>
          <w:rFonts w:ascii="Book Antiqua" w:hAnsi="Book Antiqua"/>
          <w:szCs w:val="24"/>
          <w:lang w:val="es-ES_tradnl"/>
        </w:rPr>
        <w:t>120</w:t>
      </w:r>
      <w:r w:rsidRPr="00FF6D93">
        <w:rPr>
          <w:rFonts w:ascii="Book Antiqua" w:hAnsi="Book Antiqua"/>
          <w:szCs w:val="24"/>
          <w:lang w:val="es-ES_tradnl"/>
        </w:rPr>
        <w:t>, para que la comisión con jurisdicción continue la investigación correspondiente.</w:t>
      </w:r>
    </w:p>
    <w:p w14:paraId="60962556" w14:textId="77777777" w:rsidR="0006491B" w:rsidRPr="00CC232C" w:rsidRDefault="0006491B" w:rsidP="004A0B51">
      <w:pPr>
        <w:ind w:firstLine="630"/>
        <w:jc w:val="both"/>
        <w:rPr>
          <w:rFonts w:ascii="Book Antiqua" w:hAnsi="Book Antiqua"/>
          <w:lang w:val="es-ES_tradnl"/>
        </w:rPr>
      </w:pPr>
    </w:p>
    <w:p w14:paraId="2B58BF51" w14:textId="77777777" w:rsidR="00E36DB0" w:rsidRDefault="00E36DB0" w:rsidP="00D47BC8">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06B057A7" w14:textId="77777777" w:rsidR="00E36DB0" w:rsidRDefault="00E36DB0" w:rsidP="00D47BC8">
      <w:pPr>
        <w:spacing w:line="480" w:lineRule="auto"/>
        <w:jc w:val="both"/>
        <w:rPr>
          <w:rFonts w:ascii="Book Antiqua" w:hAnsi="Book Antiqua"/>
          <w:lang w:val="es-ES_tradnl"/>
        </w:rPr>
        <w:sectPr w:rsidR="00E36DB0" w:rsidSect="006817A8">
          <w:headerReference w:type="default" r:id="rId7"/>
          <w:pgSz w:w="12240" w:h="15840" w:code="1"/>
          <w:pgMar w:top="1152" w:right="1440" w:bottom="1440" w:left="1440" w:header="720" w:footer="720" w:gutter="0"/>
          <w:cols w:space="720"/>
          <w:titlePg/>
        </w:sectPr>
      </w:pPr>
    </w:p>
    <w:p w14:paraId="702C1C55" w14:textId="3B24ADD9" w:rsidR="00705F43" w:rsidRPr="00FF6D93" w:rsidRDefault="00E36DB0" w:rsidP="00D47BC8">
      <w:pPr>
        <w:widowControl w:val="0"/>
        <w:spacing w:line="480" w:lineRule="auto"/>
        <w:ind w:firstLine="720"/>
        <w:jc w:val="both"/>
        <w:rPr>
          <w:rFonts w:ascii="Book Antiqua" w:hAnsi="Book Antiqua"/>
          <w:szCs w:val="24"/>
          <w:lang w:val="es-ES_tradnl"/>
        </w:rPr>
      </w:pPr>
      <w:r w:rsidRPr="00FF6D93">
        <w:rPr>
          <w:rFonts w:ascii="Book Antiqua" w:hAnsi="Book Antiqua"/>
          <w:szCs w:val="24"/>
          <w:lang w:val="es-ES_tradnl"/>
        </w:rPr>
        <w:t xml:space="preserve">Sección 1.-Se </w:t>
      </w:r>
      <w:r w:rsidR="00705F43" w:rsidRPr="00FF6D93">
        <w:rPr>
          <w:rFonts w:ascii="Book Antiqua" w:hAnsi="Book Antiqua"/>
          <w:szCs w:val="24"/>
          <w:lang w:val="es-ES_tradnl"/>
        </w:rPr>
        <w:t xml:space="preserve">enmienda el Título de la Resolución de la Cámara </w:t>
      </w:r>
      <w:r w:rsidR="00C02F8E" w:rsidRPr="00FF6D93">
        <w:rPr>
          <w:rFonts w:ascii="Book Antiqua" w:hAnsi="Book Antiqua"/>
          <w:szCs w:val="24"/>
          <w:lang w:val="es-ES_tradnl"/>
        </w:rPr>
        <w:t>120</w:t>
      </w:r>
      <w:r w:rsidR="00705F43" w:rsidRPr="00FF6D93">
        <w:rPr>
          <w:rFonts w:ascii="Book Antiqua" w:hAnsi="Book Antiqua"/>
          <w:szCs w:val="24"/>
          <w:lang w:val="es-ES_tradnl"/>
        </w:rPr>
        <w:t>, según aprobada por la Cámara de Representantes de Puerto Rico el 2</w:t>
      </w:r>
      <w:r w:rsidR="00C02F8E" w:rsidRPr="00FF6D93">
        <w:rPr>
          <w:rFonts w:ascii="Book Antiqua" w:hAnsi="Book Antiqua"/>
          <w:szCs w:val="24"/>
          <w:lang w:val="es-ES_tradnl"/>
        </w:rPr>
        <w:t>0</w:t>
      </w:r>
      <w:r w:rsidR="00705F43" w:rsidRPr="00FF6D93">
        <w:rPr>
          <w:rFonts w:ascii="Book Antiqua" w:hAnsi="Book Antiqua"/>
          <w:szCs w:val="24"/>
          <w:lang w:val="es-ES_tradnl"/>
        </w:rPr>
        <w:t xml:space="preserve"> de </w:t>
      </w:r>
      <w:r w:rsidR="00C02F8E" w:rsidRPr="00FF6D93">
        <w:rPr>
          <w:rFonts w:ascii="Book Antiqua" w:hAnsi="Book Antiqua"/>
          <w:szCs w:val="24"/>
          <w:lang w:val="es-ES_tradnl"/>
        </w:rPr>
        <w:t>marzo</w:t>
      </w:r>
      <w:r w:rsidR="00705F43" w:rsidRPr="00FF6D93">
        <w:rPr>
          <w:rFonts w:ascii="Book Antiqua" w:hAnsi="Book Antiqua"/>
          <w:szCs w:val="24"/>
          <w:lang w:val="es-ES_tradnl"/>
        </w:rPr>
        <w:t xml:space="preserve"> de 2025, para que lea como sigue:</w:t>
      </w:r>
    </w:p>
    <w:p w14:paraId="7DD972B2" w14:textId="53EB5F78" w:rsidR="00C02F8E" w:rsidRPr="00FF6D93" w:rsidRDefault="00A94D94" w:rsidP="00D47BC8">
      <w:pPr>
        <w:spacing w:line="480" w:lineRule="auto"/>
        <w:ind w:firstLine="720"/>
        <w:contextualSpacing/>
        <w:jc w:val="both"/>
        <w:rPr>
          <w:rFonts w:ascii="Book Antiqua" w:hAnsi="Book Antiqua"/>
          <w:lang w:val="es-ES_tradnl"/>
        </w:rPr>
      </w:pPr>
      <w:r w:rsidRPr="00FF6D93">
        <w:rPr>
          <w:rFonts w:ascii="Book Antiqua" w:hAnsi="Book Antiqua"/>
          <w:szCs w:val="24"/>
          <w:lang w:val="es-ES_tradnl"/>
        </w:rPr>
        <w:t>“</w:t>
      </w:r>
      <w:r w:rsidR="00C02F8E" w:rsidRPr="00FF6D93">
        <w:rPr>
          <w:rFonts w:ascii="Book Antiqua" w:hAnsi="Book Antiqua"/>
          <w:lang w:val="es-ES_tradnl"/>
        </w:rPr>
        <w:t xml:space="preserve">Para ordenar a la Comisión de la Región Este Central de la Cámara de Representantes del Gobierno de Puerto Rico, realizar un amplio y continuo análisis sobre todo asunto relacionado con el desarrollo socioeconómico de los municipios de Caguas, Humacao, Yabucoa, Maunabo, Patillas, 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Caguas, Humacao, Yabucoa, Maunabo, Patillas, 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w:t>
      </w:r>
      <w:r w:rsidR="00C02F8E" w:rsidRPr="00FF6D93">
        <w:rPr>
          <w:rFonts w:ascii="Book Antiqua" w:hAnsi="Book Antiqua"/>
          <w:lang w:val="es-ES_tradnl"/>
        </w:rPr>
        <w:lastRenderedPageBreak/>
        <w:t>bienestar social, iniciativas comunitarias, entre otras que impacten directamente a la población de los municipios bajo jurisdicción de la Comisión; evaluar la implementación de los programas para los que fueron asignados los fondos públicos;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y para otros fines relacionados.</w:t>
      </w:r>
      <w:r w:rsidR="00890C38" w:rsidRPr="00FF6D93">
        <w:rPr>
          <w:rFonts w:ascii="Book Antiqua" w:hAnsi="Book Antiqua"/>
          <w:lang w:val="es-ES_tradnl"/>
        </w:rPr>
        <w:t>”</w:t>
      </w:r>
      <w:r w:rsidR="00C02F8E" w:rsidRPr="00FF6D93">
        <w:rPr>
          <w:rFonts w:ascii="Book Antiqua" w:hAnsi="Book Antiqua"/>
          <w:lang w:val="es-ES_tradnl"/>
        </w:rPr>
        <w:t xml:space="preserve">    </w:t>
      </w:r>
    </w:p>
    <w:p w14:paraId="4068E224" w14:textId="75C4B23F" w:rsidR="00A94D94" w:rsidRPr="00FF6D93" w:rsidRDefault="00E36DB0" w:rsidP="00D47BC8">
      <w:pPr>
        <w:widowControl w:val="0"/>
        <w:spacing w:line="480" w:lineRule="auto"/>
        <w:ind w:firstLine="720"/>
        <w:jc w:val="both"/>
        <w:rPr>
          <w:rFonts w:ascii="Book Antiqua" w:hAnsi="Book Antiqua"/>
          <w:szCs w:val="24"/>
          <w:lang w:val="es-ES_tradnl"/>
        </w:rPr>
      </w:pPr>
      <w:r w:rsidRPr="00FF6D93">
        <w:rPr>
          <w:rFonts w:ascii="Book Antiqua" w:hAnsi="Book Antiqua"/>
          <w:szCs w:val="24"/>
          <w:lang w:val="es-ES_tradnl"/>
        </w:rPr>
        <w:t>Sección 2.-</w:t>
      </w:r>
      <w:r w:rsidR="00A94D94" w:rsidRPr="00FF6D93">
        <w:rPr>
          <w:rFonts w:ascii="Book Antiqua" w:hAnsi="Book Antiqua"/>
          <w:szCs w:val="24"/>
          <w:lang w:val="es-ES_tradnl"/>
        </w:rPr>
        <w:t xml:space="preserve">Se enmienda la Exposición de Motivos de la Resolución de la Cámara </w:t>
      </w:r>
      <w:r w:rsidR="00890C38" w:rsidRPr="00FF6D93">
        <w:rPr>
          <w:rFonts w:ascii="Book Antiqua" w:hAnsi="Book Antiqua"/>
          <w:szCs w:val="24"/>
          <w:lang w:val="es-ES_tradnl"/>
        </w:rPr>
        <w:t>120</w:t>
      </w:r>
      <w:r w:rsidR="00A94D94" w:rsidRPr="00FF6D93">
        <w:rPr>
          <w:rFonts w:ascii="Book Antiqua" w:hAnsi="Book Antiqua"/>
          <w:szCs w:val="24"/>
          <w:lang w:val="es-ES_tradnl"/>
        </w:rPr>
        <w:t>, según aprobada el 2</w:t>
      </w:r>
      <w:r w:rsidR="00890C38" w:rsidRPr="00FF6D93">
        <w:rPr>
          <w:rFonts w:ascii="Book Antiqua" w:hAnsi="Book Antiqua"/>
          <w:szCs w:val="24"/>
          <w:lang w:val="es-ES_tradnl"/>
        </w:rPr>
        <w:t>0</w:t>
      </w:r>
      <w:r w:rsidR="00A94D94" w:rsidRPr="00FF6D93">
        <w:rPr>
          <w:rFonts w:ascii="Book Antiqua" w:hAnsi="Book Antiqua"/>
          <w:szCs w:val="24"/>
          <w:lang w:val="es-ES_tradnl"/>
        </w:rPr>
        <w:t xml:space="preserve"> de </w:t>
      </w:r>
      <w:r w:rsidR="00890C38" w:rsidRPr="00FF6D93">
        <w:rPr>
          <w:rFonts w:ascii="Book Antiqua" w:hAnsi="Book Antiqua"/>
          <w:szCs w:val="24"/>
          <w:lang w:val="es-ES_tradnl"/>
        </w:rPr>
        <w:t>marzo</w:t>
      </w:r>
      <w:r w:rsidR="00A94D94" w:rsidRPr="00FF6D93">
        <w:rPr>
          <w:rFonts w:ascii="Book Antiqua" w:hAnsi="Book Antiqua"/>
          <w:szCs w:val="24"/>
          <w:lang w:val="es-ES_tradnl"/>
        </w:rPr>
        <w:t xml:space="preserve"> de 2025, para que lea como sigue:  </w:t>
      </w:r>
    </w:p>
    <w:p w14:paraId="6CA0F884" w14:textId="192D4B6A" w:rsidR="00A94D94" w:rsidRPr="00FF6D93" w:rsidRDefault="00A94D94" w:rsidP="00D47BC8">
      <w:pPr>
        <w:spacing w:line="480" w:lineRule="auto"/>
        <w:ind w:left="2160" w:firstLine="720"/>
        <w:contextualSpacing/>
        <w:jc w:val="both"/>
        <w:rPr>
          <w:rFonts w:ascii="Book Antiqua" w:hAnsi="Book Antiqua"/>
          <w:szCs w:val="24"/>
          <w:lang w:val="es-ES_tradnl"/>
        </w:rPr>
      </w:pPr>
      <w:r w:rsidRPr="00FF6D93">
        <w:rPr>
          <w:rFonts w:ascii="Book Antiqua" w:hAnsi="Book Antiqua"/>
          <w:szCs w:val="24"/>
          <w:lang w:val="es-ES_tradnl"/>
        </w:rPr>
        <w:t>“Exposición de Motivos</w:t>
      </w:r>
    </w:p>
    <w:p w14:paraId="3E34235D" w14:textId="269A4C02"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bCs/>
          <w:lang w:val="es-ES_tradnl"/>
        </w:rPr>
        <w:t>La</w:t>
      </w:r>
      <w:r w:rsidRPr="00FF6D93">
        <w:rPr>
          <w:rFonts w:ascii="Book Antiqua" w:hAnsi="Book Antiqua"/>
          <w:b/>
          <w:lang w:val="es-ES_tradnl"/>
        </w:rPr>
        <w:t xml:space="preserve"> </w:t>
      </w:r>
      <w:r w:rsidRPr="00FF6D93">
        <w:rPr>
          <w:rFonts w:ascii="Book Antiqua" w:hAnsi="Book Antiqua"/>
          <w:lang w:val="es-ES_tradnl"/>
        </w:rPr>
        <w:t xml:space="preserve">situación económica local, nacional y mundial demanda la búsqueda de alternativas viables que permitan fortalecer aquellas industrias que incentiven el desarrollo integrado y que generen el desarrollo socioeconómico de los pueblos de la Región Este Central de Puerto Rico. Uno de los problemas principales que afecta el desarrollo de los pueblos que forman parte de la Región Este Central es la falta de industrias, empresas y de pequeños negocios, entre otros. </w:t>
      </w:r>
    </w:p>
    <w:p w14:paraId="5F3D0EA4" w14:textId="6FBE293D"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Cuando se deprime la economía, se generan otros problemas de naturaleza social como lo es la criminalidad y, por consiguiente, se afecta en general la calidad de vida del pueblo. Por tanto, es necesario que identifiquemos aquellos factores que afectan el desarrollo integrado de la Región Este Central y que promovamos los cambios necesarios para fortalecer su crecimiento.</w:t>
      </w:r>
    </w:p>
    <w:p w14:paraId="542EDA43" w14:textId="1205DBAB"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lastRenderedPageBreak/>
        <w:t>El desarrollo socioeconómico de la zona este central de Puerto Rico se ha visto impactado por varios factores. Entre estos, el cierre de muchas industrias, empresas y pequeños negocios, lo cual se traduce en la pérdida de empleos y correlativamente un aumento en los índices de criminalidad. Tenemos que ser creativos en la búsqueda de alternativas que fortalezcan las industrias y negocios existentes en la Región Este Central y, a su vez, promover el establecimiento de otras nuevas.</w:t>
      </w:r>
    </w:p>
    <w:p w14:paraId="31B7C930" w14:textId="5355D5BE"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Otro problema que afecta a varios de los pueblos de la Región Este Central es la falta de servicios adecuados de seguridad, infraestructura y otros esenciales, que impiden que estos municipios puedan disfrutar de una mejor calidad de vida. Tenemos que identificar soluciones que propicien la prestación rápida y eficiente de servicios esenciales a nuestra ciudadanía. En particular, tenemos que promover que las agencias del poder ejecutivo manejen de forma sensible los problemas que afectan a la población envejeciente y a las personas sin hogar, entre otras poblaciones desventajadas.</w:t>
      </w:r>
    </w:p>
    <w:p w14:paraId="1B543E3A" w14:textId="00F12845"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 xml:space="preserve">Todo esto se complica con el impacto de los desastres naturales que afectaron a Puerto Rico durante los años recientes. En el año 2017, Puerto Rico sufrió el embate de los huracanes Irma y María. Este último, perjudicó severamente la infraestructura de Puerto Rico, ocasionando daños en exceso de cien mil millones de dólares. No solo esto, sino que también hemos enfrentado terremotos y la pandemia del COVID-19. La combinación de estos eventos naturales, han causado la pérdida de empleos en la Región Este Central. Dicho esto, el Gobierno Federal, ha destinado una serie de asignaciones presupuestarias para la reconstrucción post huracán y para atender la pandemia. Lo que </w:t>
      </w:r>
      <w:r w:rsidRPr="00FF6D93">
        <w:rPr>
          <w:rFonts w:ascii="Book Antiqua" w:hAnsi="Book Antiqua"/>
          <w:lang w:val="es-ES_tradnl"/>
        </w:rPr>
        <w:lastRenderedPageBreak/>
        <w:t>nos brinda la oportunidad de reconstruir nuestra infraestructura e incentivar el crecimiento económico de nuestra región.</w:t>
      </w:r>
    </w:p>
    <w:p w14:paraId="07875016" w14:textId="2AFB7CAA"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A esos fines, es necesario que la Cámara de Representantes del Gobierno de Puerto Rico realice un amplio y continuo análisis bajo los parámetros de la presente Resolución, cuestión de contribuir a mejorar la calidad de vida en los pueblos de la Región Este Central de Puerto Rico.</w:t>
      </w:r>
    </w:p>
    <w:p w14:paraId="50AE6DE7" w14:textId="68CC0F65" w:rsidR="00890C38"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 xml:space="preserve">Expresado lo anterior, y reconociendo las situaciones adversas actuales, esta Cámara de Representantes quiere convertirse en un agente de cambio positivo que provea para la identificación de alternativas y de aquellos instrumentos que inicien un proceso de evaluación y transformación en la organización y operación gubernamental para atemperarlas a los requerimientos de las poblaciones que residen en la Región Este Central de la Isla. Así las cosas, pretendemos ser el vehículo mediante el cual se establezcan las bases para que el aparato gubernamental actúe como un ente facilitador del desarrollo socioeconómico de la mencionada zona y además, fomentaremos la elaboración de legislación que asegure el buen uso de nuestros menguados recursos a favor de éstas. </w:t>
      </w:r>
    </w:p>
    <w:p w14:paraId="307DA82D" w14:textId="4CA1B31F" w:rsidR="00A94D94" w:rsidRPr="00FF6D93" w:rsidRDefault="00890C38" w:rsidP="00D47BC8">
      <w:pPr>
        <w:spacing w:line="480" w:lineRule="auto"/>
        <w:ind w:firstLine="720"/>
        <w:contextualSpacing/>
        <w:jc w:val="both"/>
        <w:rPr>
          <w:rFonts w:ascii="Book Antiqua" w:hAnsi="Book Antiqua"/>
          <w:lang w:val="es-ES_tradnl"/>
        </w:rPr>
      </w:pPr>
      <w:r w:rsidRPr="00FF6D93">
        <w:rPr>
          <w:rFonts w:ascii="Book Antiqua" w:hAnsi="Book Antiqua"/>
          <w:lang w:val="es-ES_tradnl"/>
        </w:rPr>
        <w:t>Con el mandato que otorga esta Resolución, la Comisión de Región Este Central de la Cámara de Representantes del Gobierno de Puerto Rico espera, entre otras cosas, promover la creación de leyes que incidan en el surgimiento de redes de ayuda mutua y que se establezcan los programas necesarios para su sostenimiento y crecimiento, en coordinación con la academia, el sector privado y otras entidades gubernamentales municipales, estatales y federales.</w:t>
      </w:r>
      <w:r w:rsidR="00A94D94" w:rsidRPr="00FF6D93">
        <w:rPr>
          <w:rFonts w:ascii="Book Antiqua" w:hAnsi="Book Antiqua"/>
          <w:szCs w:val="24"/>
          <w:lang w:val="es-ES_tradnl"/>
        </w:rPr>
        <w:t>”</w:t>
      </w:r>
    </w:p>
    <w:p w14:paraId="1D518811" w14:textId="6646C152" w:rsidR="00A94D94" w:rsidRPr="00FF6D93" w:rsidRDefault="00A94D94" w:rsidP="00D47BC8">
      <w:pPr>
        <w:widowControl w:val="0"/>
        <w:spacing w:line="480" w:lineRule="auto"/>
        <w:ind w:firstLine="720"/>
        <w:jc w:val="both"/>
        <w:rPr>
          <w:rFonts w:ascii="Book Antiqua" w:hAnsi="Book Antiqua"/>
          <w:szCs w:val="24"/>
          <w:lang w:val="es-ES_tradnl"/>
        </w:rPr>
      </w:pPr>
      <w:r w:rsidRPr="00FF6D93">
        <w:rPr>
          <w:rFonts w:ascii="Book Antiqua" w:hAnsi="Book Antiqua"/>
          <w:szCs w:val="24"/>
          <w:lang w:val="es-ES_tradnl"/>
        </w:rPr>
        <w:lastRenderedPageBreak/>
        <w:t xml:space="preserve">Sección 3.- Se enmienda la Sección 1 de la Resolución de la Cámara </w:t>
      </w:r>
      <w:r w:rsidR="00890C38" w:rsidRPr="00FF6D93">
        <w:rPr>
          <w:rFonts w:ascii="Book Antiqua" w:hAnsi="Book Antiqua"/>
          <w:szCs w:val="24"/>
          <w:lang w:val="es-ES_tradnl"/>
        </w:rPr>
        <w:t>120</w:t>
      </w:r>
      <w:r w:rsidRPr="00FF6D93">
        <w:rPr>
          <w:rFonts w:ascii="Book Antiqua" w:hAnsi="Book Antiqua"/>
          <w:szCs w:val="24"/>
          <w:lang w:val="es-ES_tradnl"/>
        </w:rPr>
        <w:t>, según aprobada el 2</w:t>
      </w:r>
      <w:r w:rsidR="00890C38" w:rsidRPr="00FF6D93">
        <w:rPr>
          <w:rFonts w:ascii="Book Antiqua" w:hAnsi="Book Antiqua"/>
          <w:szCs w:val="24"/>
          <w:lang w:val="es-ES_tradnl"/>
        </w:rPr>
        <w:t>0</w:t>
      </w:r>
      <w:r w:rsidRPr="00FF6D93">
        <w:rPr>
          <w:rFonts w:ascii="Book Antiqua" w:hAnsi="Book Antiqua"/>
          <w:szCs w:val="24"/>
          <w:lang w:val="es-ES_tradnl"/>
        </w:rPr>
        <w:t xml:space="preserve"> de </w:t>
      </w:r>
      <w:r w:rsidR="00890C38" w:rsidRPr="00FF6D93">
        <w:rPr>
          <w:rFonts w:ascii="Book Antiqua" w:hAnsi="Book Antiqua"/>
          <w:szCs w:val="24"/>
          <w:lang w:val="es-ES_tradnl"/>
        </w:rPr>
        <w:t>marzo</w:t>
      </w:r>
      <w:r w:rsidRPr="00FF6D93">
        <w:rPr>
          <w:rFonts w:ascii="Book Antiqua" w:hAnsi="Book Antiqua"/>
          <w:szCs w:val="24"/>
          <w:lang w:val="es-ES_tradnl"/>
        </w:rPr>
        <w:t xml:space="preserve"> de 2025, para que lea como sigue:</w:t>
      </w:r>
    </w:p>
    <w:p w14:paraId="135A4427" w14:textId="0220DBC1" w:rsidR="00890C38" w:rsidRPr="00FF6D93" w:rsidRDefault="00A94D94" w:rsidP="00D47BC8">
      <w:pPr>
        <w:spacing w:line="480" w:lineRule="auto"/>
        <w:ind w:firstLine="720"/>
        <w:jc w:val="both"/>
        <w:rPr>
          <w:rFonts w:ascii="Book Antiqua" w:hAnsi="Book Antiqua"/>
          <w:lang w:val="es-ES_tradnl"/>
        </w:rPr>
      </w:pPr>
      <w:r w:rsidRPr="00FF6D93">
        <w:rPr>
          <w:rFonts w:ascii="Book Antiqua" w:hAnsi="Book Antiqua"/>
          <w:szCs w:val="24"/>
          <w:lang w:val="es-ES_tradnl"/>
        </w:rPr>
        <w:t>“</w:t>
      </w:r>
      <w:r w:rsidR="00A42CB9" w:rsidRPr="00FF6D93">
        <w:rPr>
          <w:rFonts w:ascii="Book Antiqua" w:hAnsi="Book Antiqua"/>
          <w:szCs w:val="24"/>
          <w:lang w:val="es-ES_tradnl"/>
        </w:rPr>
        <w:t xml:space="preserve">Sección </w:t>
      </w:r>
      <w:r w:rsidR="00890C38" w:rsidRPr="00FF6D93">
        <w:rPr>
          <w:rFonts w:ascii="Book Antiqua" w:hAnsi="Book Antiqua"/>
          <w:szCs w:val="24"/>
          <w:lang w:val="es-ES_tradnl"/>
        </w:rPr>
        <w:t>1</w:t>
      </w:r>
      <w:r w:rsidR="00A42CB9" w:rsidRPr="00FF6D93">
        <w:rPr>
          <w:rFonts w:ascii="Book Antiqua" w:hAnsi="Book Antiqua"/>
          <w:szCs w:val="24"/>
          <w:lang w:val="es-ES_tradnl"/>
        </w:rPr>
        <w:t xml:space="preserve">.- </w:t>
      </w:r>
      <w:r w:rsidR="00890C38" w:rsidRPr="00FF6D93">
        <w:rPr>
          <w:rFonts w:ascii="Book Antiqua" w:hAnsi="Book Antiqua"/>
          <w:lang w:val="es-PR"/>
        </w:rPr>
        <w:t xml:space="preserve">Ordenar a la </w:t>
      </w:r>
      <w:r w:rsidR="00890C38" w:rsidRPr="00FF6D93">
        <w:rPr>
          <w:rFonts w:ascii="Book Antiqua" w:hAnsi="Book Antiqua"/>
          <w:lang w:val="es-ES_tradnl"/>
        </w:rPr>
        <w:t>Comisión de la Región Este Central de la Cámara de Representantes del Gobierno de Puerto Rico, realizar un amplio y continuo análisis sobre todo asunto relacionado con el desarrollo socioeconómico</w:t>
      </w:r>
      <w:r w:rsidR="00890C38" w:rsidRPr="00FF6D93">
        <w:rPr>
          <w:rFonts w:ascii="Book Antiqua" w:hAnsi="Book Antiqua"/>
          <w:b/>
          <w:bCs/>
          <w:lang w:val="es-ES_tradnl"/>
        </w:rPr>
        <w:t xml:space="preserve"> </w:t>
      </w:r>
      <w:r w:rsidR="00BE0F11" w:rsidRPr="00FF6D93">
        <w:rPr>
          <w:rFonts w:ascii="Book Antiqua" w:hAnsi="Book Antiqua"/>
          <w:lang w:val="es-ES_tradnl"/>
        </w:rPr>
        <w:t xml:space="preserve">de </w:t>
      </w:r>
      <w:r w:rsidR="00890C38" w:rsidRPr="00FF6D93">
        <w:rPr>
          <w:rFonts w:ascii="Book Antiqua" w:hAnsi="Book Antiqua"/>
          <w:lang w:val="es-ES_tradnl"/>
        </w:rPr>
        <w:t xml:space="preserve">los municipios de Caguas, Humacao, Yabucoa, Maunabo, Patillas, Las Piedras, Juncos, San Lorenzo y Gurabo; evaluar la efectividad de los programas gubernamentales que inciden sobre los municipios bajo su jurisdicción; verificar la calidad de los servicios que prestan los gobiernos municipales de referencia a su ciudadanía; revisar el uso y manejo de fondos estatales y federales asignados a las agencias y corporaciones públicas destinados a impactar directamente o que afectan a los municipios de Caguas, Humacao, Yabucoa, Maunabo, Patillas, Las Piedras, Juncos, San Lorenzo y Gurabo; cualquier otra entidad que reciba fondos públicos o incentivos, provenientes de fondos de asignaciones federales, mejoras municipales, transferencias intergubernamentales y asignaciones presupuestarias puntuales en su jurisdicción, ya sean para infraestructura, programas de bienestar social, iniciativas comunitarias, entre otras que impacten directamente a la población de los municipios bajo jurisdicción de la Comisión; evaluar la implementación de los programas para lo que fueron asignados los fondos públicos; y evaluar auditorías de desempeño realizadas a programas gubernamentales y municipales que impacten directamente a la población bajo su jurisdicción, que operan programas con fondos federales enfatizando visitas de campo y la participación directa de los directivos regionales de las entidades que implementen dichos fondos.” </w:t>
      </w:r>
    </w:p>
    <w:p w14:paraId="095A7E87" w14:textId="055C7807" w:rsidR="00A42CB9" w:rsidRPr="00FF6D93" w:rsidRDefault="00A42CB9" w:rsidP="00D47BC8">
      <w:pPr>
        <w:widowControl w:val="0"/>
        <w:spacing w:line="480" w:lineRule="auto"/>
        <w:ind w:firstLine="720"/>
        <w:jc w:val="both"/>
        <w:rPr>
          <w:rFonts w:ascii="Book Antiqua" w:hAnsi="Book Antiqua"/>
          <w:szCs w:val="24"/>
          <w:lang w:val="es-ES_tradnl"/>
        </w:rPr>
      </w:pPr>
      <w:r w:rsidRPr="00FF6D93">
        <w:rPr>
          <w:rFonts w:ascii="Book Antiqua" w:hAnsi="Book Antiqua"/>
          <w:szCs w:val="24"/>
          <w:lang w:val="es-ES_tradnl"/>
        </w:rPr>
        <w:lastRenderedPageBreak/>
        <w:t xml:space="preserve">Sección 4.- Se enmienda la Sección 2 de la Resolución de la Cámara </w:t>
      </w:r>
      <w:r w:rsidR="00890C38" w:rsidRPr="00FF6D93">
        <w:rPr>
          <w:rFonts w:ascii="Book Antiqua" w:hAnsi="Book Antiqua"/>
          <w:szCs w:val="24"/>
          <w:lang w:val="es-ES_tradnl"/>
        </w:rPr>
        <w:t>120</w:t>
      </w:r>
      <w:r w:rsidRPr="00FF6D93">
        <w:rPr>
          <w:rFonts w:ascii="Book Antiqua" w:hAnsi="Book Antiqua"/>
          <w:szCs w:val="24"/>
          <w:lang w:val="es-ES_tradnl"/>
        </w:rPr>
        <w:t>, según aprobada el 2</w:t>
      </w:r>
      <w:r w:rsidR="00890C38" w:rsidRPr="00FF6D93">
        <w:rPr>
          <w:rFonts w:ascii="Book Antiqua" w:hAnsi="Book Antiqua"/>
          <w:szCs w:val="24"/>
          <w:lang w:val="es-ES_tradnl"/>
        </w:rPr>
        <w:t>0</w:t>
      </w:r>
      <w:r w:rsidRPr="00FF6D93">
        <w:rPr>
          <w:rFonts w:ascii="Book Antiqua" w:hAnsi="Book Antiqua"/>
          <w:szCs w:val="24"/>
          <w:lang w:val="es-ES_tradnl"/>
        </w:rPr>
        <w:t xml:space="preserve"> de </w:t>
      </w:r>
      <w:r w:rsidR="00890C38" w:rsidRPr="00FF6D93">
        <w:rPr>
          <w:rFonts w:ascii="Book Antiqua" w:hAnsi="Book Antiqua"/>
          <w:szCs w:val="24"/>
          <w:lang w:val="es-ES_tradnl"/>
        </w:rPr>
        <w:t>marzo</w:t>
      </w:r>
      <w:r w:rsidRPr="00FF6D93">
        <w:rPr>
          <w:rFonts w:ascii="Book Antiqua" w:hAnsi="Book Antiqua"/>
          <w:szCs w:val="24"/>
          <w:lang w:val="es-ES_tradnl"/>
        </w:rPr>
        <w:t xml:space="preserve"> de 2025, para que lea como sigue:</w:t>
      </w:r>
    </w:p>
    <w:p w14:paraId="28385B6E" w14:textId="5D7B634C" w:rsidR="00890C38" w:rsidRPr="00FF6D93" w:rsidRDefault="00002037" w:rsidP="00D47BC8">
      <w:pPr>
        <w:spacing w:line="480" w:lineRule="auto"/>
        <w:ind w:firstLine="720"/>
        <w:jc w:val="both"/>
        <w:rPr>
          <w:rFonts w:ascii="Book Antiqua" w:hAnsi="Book Antiqua"/>
          <w:lang w:val="es-PR"/>
        </w:rPr>
      </w:pPr>
      <w:r w:rsidRPr="00FF6D93">
        <w:rPr>
          <w:rFonts w:ascii="Book Antiqua" w:hAnsi="Book Antiqua"/>
          <w:szCs w:val="24"/>
          <w:lang w:val="es-ES_tradnl"/>
        </w:rPr>
        <w:t>“</w:t>
      </w:r>
      <w:r w:rsidR="00A42CB9" w:rsidRPr="00FF6D93">
        <w:rPr>
          <w:rFonts w:ascii="Book Antiqua" w:hAnsi="Book Antiqua"/>
          <w:szCs w:val="24"/>
          <w:lang w:val="es-ES_tradnl"/>
        </w:rPr>
        <w:t>Sección 2.-</w:t>
      </w:r>
      <w:r w:rsidRPr="00FF6D93">
        <w:rPr>
          <w:rFonts w:ascii="Book Antiqua" w:hAnsi="Book Antiqua"/>
          <w:lang w:val="es-PR"/>
        </w:rPr>
        <w:t xml:space="preserve"> De conformidad con las disposiciones contenidas en la R. de la C. 2, según enmendada</w:t>
      </w:r>
      <w:r w:rsidR="00EF63E6" w:rsidRPr="00FF6D93">
        <w:rPr>
          <w:rFonts w:ascii="Book Antiqua" w:hAnsi="Book Antiqua"/>
          <w:lang w:val="es-PR"/>
        </w:rPr>
        <w:t>,</w:t>
      </w:r>
      <w:r w:rsidRPr="00FF6D93">
        <w:rPr>
          <w:rFonts w:ascii="Book Antiqua" w:hAnsi="Book Antiqua"/>
          <w:lang w:val="es-PR"/>
        </w:rPr>
        <w:t xml:space="preserve"> y a base de lo establecido en esta Resolución, la Comisión </w:t>
      </w:r>
      <w:r w:rsidRPr="00FF6D93">
        <w:rPr>
          <w:rFonts w:ascii="Book Antiqua" w:hAnsi="Book Antiqua"/>
          <w:lang w:val="es-ES_tradnl"/>
        </w:rPr>
        <w:t>de la Región Este Central de la Cámara de Representantes del</w:t>
      </w:r>
      <w:r w:rsidR="00890C38" w:rsidRPr="00FF6D93">
        <w:rPr>
          <w:rFonts w:ascii="Book Antiqua" w:hAnsi="Book Antiqua"/>
          <w:lang w:val="es-PR"/>
        </w:rPr>
        <w:t xml:space="preserve"> </w:t>
      </w:r>
      <w:r w:rsidR="00890C38" w:rsidRPr="00FF6D93">
        <w:rPr>
          <w:rFonts w:ascii="Book Antiqua" w:hAnsi="Book Antiqua"/>
          <w:lang w:val="es-ES_tradnl"/>
        </w:rPr>
        <w:t>Gobierno de Puerto Rico</w:t>
      </w:r>
      <w:r w:rsidR="00890C38" w:rsidRPr="00FF6D93">
        <w:rPr>
          <w:rFonts w:ascii="Book Antiqua" w:hAnsi="Book Antiqua"/>
          <w:lang w:val="es-PR"/>
        </w:rPr>
        <w:t xml:space="preserve"> tendrá jurisdicción sobre todo asunto descrito en la Sección 1 de esta Resolución; a tales efectos: </w:t>
      </w:r>
    </w:p>
    <w:p w14:paraId="15186314"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investigar, estudiar, evaluar, informar; hacer recomendaciones y enmendar o sustituir aquellas medidas que le hayan sido referidas o aquellos asuntos que estén comprendidos dentro de su jurisdicción o relacionados con la misma;</w:t>
      </w:r>
    </w:p>
    <w:p w14:paraId="639DC11E"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redactar y presentar proyectos de ley, resoluciones y medidas legislativas sustitutivas;</w:t>
      </w:r>
    </w:p>
    <w:p w14:paraId="36068759"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celebrar audiencias públicas, reuniones ejecutivas, vistas oculares, citar testigos, incluso bajo apercibimiento de desacato conforme a lo dispuesto en el Reglamento de la Cámara, y en el Código Político de Puerto Rico de 1902, escuchar testimonios, inclusive bajo juramento y solicitar toda aquella información documental o de cualquier otra naturaleza que estime necesaria para su gestión.</w:t>
      </w:r>
    </w:p>
    <w:p w14:paraId="338326F1"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 xml:space="preserve">como parte de su investigación, estudio y evaluación de medidas o asuntos que le hayan sido referidos darán preferencia en el trámite legislativo a aquellas piezas legislativas que cuentan con varios autores, en especial si son patrocinados por representantes de diversas delegaciones </w:t>
      </w:r>
      <w:r w:rsidRPr="00FF6D93">
        <w:rPr>
          <w:rFonts w:ascii="Book Antiqua" w:hAnsi="Book Antiqua"/>
          <w:szCs w:val="20"/>
          <w:lang w:val="es-PR"/>
        </w:rPr>
        <w:lastRenderedPageBreak/>
        <w:t>parlamentarias, sin que esto vulnere y/o limite la evaluación y trámite de las medidas de cualquier representante que presente medidas como autor único;</w:t>
      </w:r>
    </w:p>
    <w:p w14:paraId="4979BB93"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evaluar y dar seguimiento continuo a la organización y funcionamiento adecuado de aquellas agencias, departamentos, oficinas y entidades del Gobierno de Puerto Rico que estén dentro de su jurisdicción, con el propósito de determinar si los mismos están cumpliendo efectivamente con las leyes, reglamentos y programas que les correspondan conforme a su propósito y mandato;</w:t>
      </w:r>
    </w:p>
    <w:p w14:paraId="5E1DCFF1"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evaluar y recomendar a la Cámara de Representantes la confirmación o rechazo de los nombramientos que le corresponda atender a la Comisión, si alguno;</w:t>
      </w:r>
    </w:p>
    <w:p w14:paraId="38BF2CB7"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revisar las leyes existentes cuyo asunto o asuntos de los cuales estén bajo su jurisdicción, para estar en posición de preparar y someter al Cuerpo un informe con sus hallazgos, conclusiones y recomendaciones, de manera que se puedan actualizar a la realidad social y jurídica vigente; y</w:t>
      </w:r>
    </w:p>
    <w:p w14:paraId="19232BFE" w14:textId="77777777"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velar porque en sus trabajos y en sus análisis siempre se conduzcan teniendo presentes que la dignidad del ser humano es inviolable;</w:t>
      </w:r>
    </w:p>
    <w:p w14:paraId="755B7BFF" w14:textId="36826FD2" w:rsidR="00890C38" w:rsidRPr="00FF6D93" w:rsidRDefault="00890C38" w:rsidP="00D47BC8">
      <w:pPr>
        <w:pStyle w:val="ListParagraph"/>
        <w:numPr>
          <w:ilvl w:val="0"/>
          <w:numId w:val="1"/>
        </w:numPr>
        <w:spacing w:after="0" w:line="480" w:lineRule="auto"/>
        <w:jc w:val="both"/>
        <w:rPr>
          <w:rFonts w:ascii="Book Antiqua" w:hAnsi="Book Antiqua"/>
          <w:szCs w:val="20"/>
          <w:lang w:val="es-PR"/>
        </w:rPr>
      </w:pPr>
      <w:r w:rsidRPr="00FF6D93">
        <w:rPr>
          <w:rFonts w:ascii="Book Antiqua" w:hAnsi="Book Antiqua"/>
          <w:szCs w:val="20"/>
          <w:lang w:val="es-PR"/>
        </w:rPr>
        <w:t>cualquier otra función o facultad que le delegue la Cámara de Representantes de Puerto Rico, o el Presidente de ésta.</w:t>
      </w:r>
      <w:r w:rsidR="00002037" w:rsidRPr="00FF6D93">
        <w:rPr>
          <w:rFonts w:ascii="Book Antiqua" w:hAnsi="Book Antiqua"/>
          <w:szCs w:val="20"/>
          <w:lang w:val="es-PR"/>
        </w:rPr>
        <w:t xml:space="preserve">” </w:t>
      </w:r>
    </w:p>
    <w:p w14:paraId="510F464C" w14:textId="6D7DE44F" w:rsidR="00002037" w:rsidRPr="00FF6D93" w:rsidRDefault="00002037" w:rsidP="00D47BC8">
      <w:pPr>
        <w:pStyle w:val="ListParagraph"/>
        <w:widowControl w:val="0"/>
        <w:spacing w:after="0" w:line="480" w:lineRule="auto"/>
        <w:ind w:left="90" w:firstLine="630"/>
        <w:jc w:val="both"/>
        <w:rPr>
          <w:rFonts w:ascii="Book Antiqua" w:hAnsi="Book Antiqua"/>
          <w:lang w:val="es-ES_tradnl"/>
        </w:rPr>
      </w:pPr>
      <w:r w:rsidRPr="00FF6D93">
        <w:rPr>
          <w:rFonts w:ascii="Book Antiqua" w:hAnsi="Book Antiqua"/>
          <w:lang w:val="es-PR"/>
        </w:rPr>
        <w:t xml:space="preserve">Sección 6.- </w:t>
      </w:r>
      <w:r w:rsidRPr="00FF6D93">
        <w:rPr>
          <w:rFonts w:ascii="Book Antiqua" w:hAnsi="Book Antiqua"/>
          <w:lang w:val="es-ES_tradnl"/>
        </w:rPr>
        <w:t>Se enmienda la Sección 3 de la Resolución de la Cámara 120, según aprobada el 20 de marzo de 2025, para que lea como sigue:</w:t>
      </w:r>
    </w:p>
    <w:p w14:paraId="5208C12D" w14:textId="7CEE1253" w:rsidR="00002037" w:rsidRPr="00FF6D93" w:rsidRDefault="00002037" w:rsidP="00D47BC8">
      <w:pPr>
        <w:pStyle w:val="ListParagraph"/>
        <w:spacing w:after="0" w:line="480" w:lineRule="auto"/>
        <w:ind w:left="90" w:firstLine="630"/>
        <w:jc w:val="both"/>
        <w:rPr>
          <w:rFonts w:ascii="Book Antiqua" w:hAnsi="Book Antiqua"/>
          <w:lang w:val="es-PR"/>
        </w:rPr>
      </w:pPr>
      <w:r w:rsidRPr="00FF6D93">
        <w:rPr>
          <w:rFonts w:ascii="Book Antiqua" w:hAnsi="Book Antiqua"/>
          <w:lang w:val="es-ES_tradnl"/>
        </w:rPr>
        <w:lastRenderedPageBreak/>
        <w:t>“Sección 3.-</w:t>
      </w:r>
      <w:r w:rsidRPr="00FF6D93">
        <w:rPr>
          <w:rFonts w:ascii="Book Antiqua" w:hAnsi="Book Antiqua"/>
          <w:lang w:val="es-PR"/>
        </w:rPr>
        <w:t xml:space="preserve"> La Comisión de la </w:t>
      </w:r>
      <w:r w:rsidRPr="00FF6D93">
        <w:rPr>
          <w:rFonts w:ascii="Book Antiqua" w:hAnsi="Book Antiqua"/>
          <w:lang w:val="es-ES_tradnl"/>
        </w:rPr>
        <w:t>Región Este Central de la Cámara de Representantes del Gobierno de Puerto Rico</w:t>
      </w:r>
      <w:r w:rsidRPr="00FF6D93">
        <w:rPr>
          <w:rFonts w:ascii="Book Antiqua" w:hAnsi="Book Antiqua"/>
          <w:lang w:val="es-PR"/>
        </w:rPr>
        <w:t>, cuando lo estime pertinente, rendirá informes parciales y finales a dicho Cuerpo Legislativo sobre cualesquiera sean sus hallazgos, conclusiones y recomendaciones sobre los diversos asuntos que trabaje dentro del término de la Vigésima Asamblea Legislativa.”</w:t>
      </w:r>
    </w:p>
    <w:p w14:paraId="50670080" w14:textId="28A02DDB" w:rsidR="00E36DB0" w:rsidRPr="00FF6D93" w:rsidRDefault="00E36DB0" w:rsidP="00D47BC8">
      <w:pPr>
        <w:widowControl w:val="0"/>
        <w:spacing w:line="480" w:lineRule="auto"/>
        <w:ind w:firstLine="720"/>
        <w:jc w:val="both"/>
        <w:rPr>
          <w:rFonts w:ascii="Book Antiqua" w:hAnsi="Book Antiqua"/>
          <w:lang w:val="es-ES_tradnl"/>
        </w:rPr>
      </w:pPr>
      <w:r w:rsidRPr="00FF6D93">
        <w:rPr>
          <w:rFonts w:ascii="Book Antiqua" w:hAnsi="Book Antiqua"/>
          <w:szCs w:val="24"/>
          <w:lang w:val="es-ES_tradnl"/>
        </w:rPr>
        <w:t xml:space="preserve">Sección </w:t>
      </w:r>
      <w:r w:rsidR="00002037" w:rsidRPr="00FF6D93">
        <w:rPr>
          <w:rFonts w:ascii="Book Antiqua" w:hAnsi="Book Antiqua"/>
          <w:szCs w:val="24"/>
          <w:lang w:val="es-ES_tradnl"/>
        </w:rPr>
        <w:t>7</w:t>
      </w:r>
      <w:r w:rsidR="00A42CB9" w:rsidRPr="00FF6D93">
        <w:rPr>
          <w:rFonts w:ascii="Book Antiqua" w:hAnsi="Book Antiqua"/>
          <w:szCs w:val="24"/>
          <w:lang w:val="es-ES_tradnl"/>
        </w:rPr>
        <w:t>.-</w:t>
      </w:r>
      <w:r w:rsidRPr="00FF6D93">
        <w:rPr>
          <w:rFonts w:ascii="Book Antiqua" w:hAnsi="Book Antiqua"/>
          <w:szCs w:val="24"/>
          <w:lang w:val="es-ES_tradnl"/>
        </w:rPr>
        <w:t xml:space="preserve">Esta Resolución </w:t>
      </w:r>
      <w:r w:rsidR="00A42CB9" w:rsidRPr="00FF6D93">
        <w:rPr>
          <w:rFonts w:ascii="Book Antiqua" w:hAnsi="Book Antiqua"/>
          <w:szCs w:val="24"/>
          <w:lang w:val="es-ES_tradnl"/>
        </w:rPr>
        <w:t xml:space="preserve">entrará en vigor </w:t>
      </w:r>
      <w:r w:rsidRPr="00FF6D93">
        <w:rPr>
          <w:rFonts w:ascii="Book Antiqua" w:hAnsi="Book Antiqua"/>
          <w:szCs w:val="24"/>
          <w:lang w:val="es-ES_tradnl"/>
        </w:rPr>
        <w:t xml:space="preserve">inmediatamente después de su aprobación. </w:t>
      </w:r>
    </w:p>
    <w:sectPr w:rsidR="00E36DB0" w:rsidRPr="00FF6D93" w:rsidSect="006817A8">
      <w:type w:val="continuous"/>
      <w:pgSz w:w="12240" w:h="15840"/>
      <w:pgMar w:top="1296" w:right="1440" w:bottom="1152" w:left="1440" w:header="720" w:footer="720" w:gutter="0"/>
      <w:lnNumType w:countBy="1"/>
      <w:pgNumType w:start="2"/>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21AD10" w14:textId="77777777" w:rsidR="00FB258F" w:rsidRDefault="00FB258F">
      <w:r>
        <w:separator/>
      </w:r>
    </w:p>
  </w:endnote>
  <w:endnote w:type="continuationSeparator" w:id="0">
    <w:p w14:paraId="45F2215B" w14:textId="77777777" w:rsidR="00FB258F" w:rsidRDefault="00FB2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DF3B0A" w14:textId="77777777" w:rsidR="00FB258F" w:rsidRDefault="00FB258F">
      <w:r>
        <w:separator/>
      </w:r>
    </w:p>
  </w:footnote>
  <w:footnote w:type="continuationSeparator" w:id="0">
    <w:p w14:paraId="52E4AF3B" w14:textId="77777777" w:rsidR="00FB258F" w:rsidRDefault="00FB25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EF5B8" w14:textId="77777777" w:rsidR="00970901" w:rsidRDefault="0097090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634741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6DB0"/>
    <w:rsid w:val="00002037"/>
    <w:rsid w:val="00034A95"/>
    <w:rsid w:val="0006491B"/>
    <w:rsid w:val="00064DD6"/>
    <w:rsid w:val="0019550C"/>
    <w:rsid w:val="001B2A17"/>
    <w:rsid w:val="002023BA"/>
    <w:rsid w:val="00223DA8"/>
    <w:rsid w:val="00236913"/>
    <w:rsid w:val="00387986"/>
    <w:rsid w:val="003A5AD9"/>
    <w:rsid w:val="003B05F2"/>
    <w:rsid w:val="004974DF"/>
    <w:rsid w:val="004A0B51"/>
    <w:rsid w:val="004D73D7"/>
    <w:rsid w:val="00572929"/>
    <w:rsid w:val="006002C6"/>
    <w:rsid w:val="00660F32"/>
    <w:rsid w:val="00676A86"/>
    <w:rsid w:val="006817A8"/>
    <w:rsid w:val="00702897"/>
    <w:rsid w:val="00705F43"/>
    <w:rsid w:val="00754ACF"/>
    <w:rsid w:val="007E3477"/>
    <w:rsid w:val="00835118"/>
    <w:rsid w:val="00835C00"/>
    <w:rsid w:val="00887734"/>
    <w:rsid w:val="00890C38"/>
    <w:rsid w:val="008F5669"/>
    <w:rsid w:val="00970901"/>
    <w:rsid w:val="00992390"/>
    <w:rsid w:val="00A42CB9"/>
    <w:rsid w:val="00A6243D"/>
    <w:rsid w:val="00A74414"/>
    <w:rsid w:val="00A94D94"/>
    <w:rsid w:val="00AD02AF"/>
    <w:rsid w:val="00AD0789"/>
    <w:rsid w:val="00AE2E99"/>
    <w:rsid w:val="00B947F9"/>
    <w:rsid w:val="00BD5A50"/>
    <w:rsid w:val="00BE0F11"/>
    <w:rsid w:val="00C02F8E"/>
    <w:rsid w:val="00C30FC3"/>
    <w:rsid w:val="00CE6BE8"/>
    <w:rsid w:val="00D47BC8"/>
    <w:rsid w:val="00DC3034"/>
    <w:rsid w:val="00E107B3"/>
    <w:rsid w:val="00E3359D"/>
    <w:rsid w:val="00E36DB0"/>
    <w:rsid w:val="00E709F7"/>
    <w:rsid w:val="00EF63E6"/>
    <w:rsid w:val="00F03621"/>
    <w:rsid w:val="00FB258F"/>
    <w:rsid w:val="00FF6D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80766"/>
  <w15:chartTrackingRefBased/>
  <w15:docId w15:val="{36A9E3CB-E995-4380-8487-1FFB0DCB5C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6DB0"/>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36DB0"/>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E36DB0"/>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E36DB0"/>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E36DB0"/>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E36DB0"/>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E36DB0"/>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E36DB0"/>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E36DB0"/>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E36DB0"/>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6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36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36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36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36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36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36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36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36DB0"/>
    <w:rPr>
      <w:rFonts w:eastAsiaTheme="majorEastAsia" w:cstheme="majorBidi"/>
      <w:color w:val="272727" w:themeColor="text1" w:themeTint="D8"/>
    </w:rPr>
  </w:style>
  <w:style w:type="paragraph" w:styleId="Title">
    <w:name w:val="Title"/>
    <w:basedOn w:val="Normal"/>
    <w:next w:val="Normal"/>
    <w:link w:val="TitleChar"/>
    <w:uiPriority w:val="10"/>
    <w:qFormat/>
    <w:rsid w:val="00E36DB0"/>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36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36DB0"/>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E36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36DB0"/>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E36DB0"/>
    <w:rPr>
      <w:i/>
      <w:iCs/>
      <w:color w:val="404040" w:themeColor="text1" w:themeTint="BF"/>
    </w:rPr>
  </w:style>
  <w:style w:type="paragraph" w:styleId="ListParagraph">
    <w:name w:val="List Paragraph"/>
    <w:basedOn w:val="Normal"/>
    <w:uiPriority w:val="34"/>
    <w:qFormat/>
    <w:rsid w:val="00E36DB0"/>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E36DB0"/>
    <w:rPr>
      <w:i/>
      <w:iCs/>
      <w:color w:val="0F4761" w:themeColor="accent1" w:themeShade="BF"/>
    </w:rPr>
  </w:style>
  <w:style w:type="paragraph" w:styleId="IntenseQuote">
    <w:name w:val="Intense Quote"/>
    <w:basedOn w:val="Normal"/>
    <w:next w:val="Normal"/>
    <w:link w:val="IntenseQuoteChar"/>
    <w:uiPriority w:val="30"/>
    <w:qFormat/>
    <w:rsid w:val="00E36DB0"/>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E36DB0"/>
    <w:rPr>
      <w:i/>
      <w:iCs/>
      <w:color w:val="0F4761" w:themeColor="accent1" w:themeShade="BF"/>
    </w:rPr>
  </w:style>
  <w:style w:type="character" w:styleId="IntenseReference">
    <w:name w:val="Intense Reference"/>
    <w:basedOn w:val="DefaultParagraphFont"/>
    <w:uiPriority w:val="32"/>
    <w:qFormat/>
    <w:rsid w:val="00E36DB0"/>
    <w:rPr>
      <w:b/>
      <w:bCs/>
      <w:smallCaps/>
      <w:color w:val="0F4761" w:themeColor="accent1" w:themeShade="BF"/>
      <w:spacing w:val="5"/>
    </w:rPr>
  </w:style>
  <w:style w:type="paragraph" w:styleId="Header">
    <w:name w:val="header"/>
    <w:basedOn w:val="Normal"/>
    <w:link w:val="HeaderChar"/>
    <w:rsid w:val="00E36DB0"/>
    <w:pPr>
      <w:tabs>
        <w:tab w:val="center" w:pos="4320"/>
        <w:tab w:val="right" w:pos="8640"/>
      </w:tabs>
    </w:pPr>
  </w:style>
  <w:style w:type="character" w:customStyle="1" w:styleId="HeaderChar">
    <w:name w:val="Header Char"/>
    <w:basedOn w:val="DefaultParagraphFont"/>
    <w:link w:val="Header"/>
    <w:rsid w:val="00E36DB0"/>
    <w:rPr>
      <w:rFonts w:ascii="Times New Roman" w:eastAsia="Times New Roman" w:hAnsi="Times New Roman" w:cs="Times New Roman"/>
      <w:kern w:val="0"/>
      <w:szCs w:val="20"/>
      <w14:ligatures w14:val="none"/>
    </w:rPr>
  </w:style>
  <w:style w:type="character" w:styleId="PageNumber">
    <w:name w:val="page number"/>
    <w:basedOn w:val="DefaultParagraphFont"/>
    <w:rsid w:val="00E36DB0"/>
  </w:style>
  <w:style w:type="character" w:styleId="LineNumber">
    <w:name w:val="line number"/>
    <w:basedOn w:val="DefaultParagraphFont"/>
    <w:uiPriority w:val="99"/>
    <w:semiHidden/>
    <w:unhideWhenUsed/>
    <w:rsid w:val="00E36DB0"/>
  </w:style>
  <w:style w:type="paragraph" w:styleId="Footer">
    <w:name w:val="footer"/>
    <w:basedOn w:val="Normal"/>
    <w:link w:val="FooterChar"/>
    <w:uiPriority w:val="99"/>
    <w:unhideWhenUsed/>
    <w:rsid w:val="00EF63E6"/>
    <w:pPr>
      <w:tabs>
        <w:tab w:val="center" w:pos="4680"/>
        <w:tab w:val="right" w:pos="9360"/>
      </w:tabs>
    </w:pPr>
  </w:style>
  <w:style w:type="character" w:customStyle="1" w:styleId="FooterChar">
    <w:name w:val="Footer Char"/>
    <w:basedOn w:val="DefaultParagraphFont"/>
    <w:link w:val="Footer"/>
    <w:uiPriority w:val="99"/>
    <w:rsid w:val="00EF63E6"/>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2121</Words>
  <Characters>12091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Victor E. Vélez Cucuta</cp:lastModifiedBy>
  <cp:revision>2</cp:revision>
  <dcterms:created xsi:type="dcterms:W3CDTF">2025-09-09T14:19:00Z</dcterms:created>
  <dcterms:modified xsi:type="dcterms:W3CDTF">2025-09-09T14:19:00Z</dcterms:modified>
</cp:coreProperties>
</file>