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0209E" w14:textId="6C40582E" w:rsidR="00E36DB0" w:rsidRDefault="00E36DB0" w:rsidP="00E36DB0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>
        <w:rPr>
          <w:rFonts w:ascii="Book Antiqua" w:hAnsi="Book Antiqua"/>
          <w:i/>
          <w:sz w:val="28"/>
          <w:szCs w:val="28"/>
          <w:lang w:val="es-ES_tradnl"/>
        </w:rPr>
        <w:t xml:space="preserve"> </w:t>
      </w:r>
      <w:r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15D02C7C" w14:textId="77777777" w:rsidR="00E36DB0" w:rsidRPr="00D74117" w:rsidRDefault="00E36DB0" w:rsidP="00E36DB0">
      <w:pPr>
        <w:jc w:val="center"/>
        <w:rPr>
          <w:rFonts w:ascii="Book Antiqua" w:hAnsi="Book Antiqua"/>
          <w:szCs w:val="24"/>
          <w:lang w:val="es-ES_tradnl"/>
        </w:rPr>
      </w:pPr>
    </w:p>
    <w:p w14:paraId="6E4757C7" w14:textId="6856DCB8" w:rsidR="00E36DB0" w:rsidRDefault="00E36DB0" w:rsidP="00E36DB0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 Asamblea</w:t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1ra. Sesión</w:t>
      </w:r>
    </w:p>
    <w:p w14:paraId="41FF591D" w14:textId="0C50F406" w:rsidR="00E36DB0" w:rsidRDefault="00E36DB0" w:rsidP="00E36DB0">
      <w:pPr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</w:t>
      </w:r>
      <w:r w:rsidR="00DC73D6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Ordinaria</w:t>
      </w:r>
    </w:p>
    <w:p w14:paraId="7C0A960F" w14:textId="77777777" w:rsidR="00E36DB0" w:rsidRPr="00D74117" w:rsidRDefault="00E36DB0" w:rsidP="00E36DB0">
      <w:pPr>
        <w:rPr>
          <w:szCs w:val="24"/>
          <w:lang w:val="es-ES_tradnl"/>
        </w:rPr>
      </w:pPr>
    </w:p>
    <w:p w14:paraId="3D2BA633" w14:textId="77777777" w:rsidR="00E36DB0" w:rsidRDefault="00E36DB0" w:rsidP="00E36DB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E93C9F8" w14:textId="77777777" w:rsidR="00E36DB0" w:rsidRPr="00140376" w:rsidRDefault="00E36DB0" w:rsidP="00E36DB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6B807F6" w14:textId="47058D3E" w:rsidR="00E36DB0" w:rsidRDefault="00E36DB0" w:rsidP="00E36DB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5A625D">
        <w:rPr>
          <w:rFonts w:ascii="Book Antiqua" w:hAnsi="Book Antiqua"/>
          <w:b/>
          <w:sz w:val="52"/>
          <w:lang w:val="es-ES_tradnl"/>
        </w:rPr>
        <w:t>377</w:t>
      </w:r>
    </w:p>
    <w:p w14:paraId="2D162C2E" w14:textId="77777777" w:rsidR="00E36DB0" w:rsidRPr="00140376" w:rsidRDefault="00E36DB0" w:rsidP="00E36DB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A9A2F3" w14:textId="441E20A2" w:rsidR="00E36DB0" w:rsidRDefault="004D73D7" w:rsidP="00E36DB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</w:t>
      </w:r>
      <w:r w:rsidR="00E00C36">
        <w:rPr>
          <w:rFonts w:ascii="Book Antiqua" w:hAnsi="Book Antiqua"/>
          <w:lang w:val="es-ES_tradnl"/>
        </w:rPr>
        <w:t>0</w:t>
      </w:r>
      <w:r w:rsidR="00E36DB0">
        <w:rPr>
          <w:rFonts w:ascii="Book Antiqua" w:hAnsi="Book Antiqua"/>
          <w:lang w:val="es-ES_tradnl"/>
        </w:rPr>
        <w:t xml:space="preserve"> DE </w:t>
      </w:r>
      <w:r w:rsidR="00705F43">
        <w:rPr>
          <w:rFonts w:ascii="Book Antiqua" w:hAnsi="Book Antiqua"/>
          <w:lang w:val="es-ES_tradnl"/>
        </w:rPr>
        <w:t>JUNIO</w:t>
      </w:r>
      <w:r w:rsidR="00E36DB0">
        <w:rPr>
          <w:rFonts w:ascii="Book Antiqua" w:hAnsi="Book Antiqua"/>
          <w:lang w:val="es-ES_tradnl"/>
        </w:rPr>
        <w:t xml:space="preserve"> DE 202</w:t>
      </w:r>
      <w:r w:rsidR="00A74414">
        <w:rPr>
          <w:rFonts w:ascii="Book Antiqua" w:hAnsi="Book Antiqua"/>
          <w:lang w:val="es-ES_tradnl"/>
        </w:rPr>
        <w:t>5</w:t>
      </w:r>
    </w:p>
    <w:p w14:paraId="74DD0DA1" w14:textId="77777777" w:rsidR="00E36DB0" w:rsidRDefault="00E36DB0" w:rsidP="00E36DB0">
      <w:pPr>
        <w:jc w:val="center"/>
        <w:rPr>
          <w:rFonts w:ascii="Book Antiqua" w:hAnsi="Book Antiqua"/>
          <w:lang w:val="es-ES_tradnl"/>
        </w:rPr>
      </w:pPr>
    </w:p>
    <w:p w14:paraId="2CEB1A54" w14:textId="77777777" w:rsidR="007D7275" w:rsidRDefault="00E36DB0" w:rsidP="00E36DB0">
      <w:pPr>
        <w:jc w:val="center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la representante </w:t>
      </w:r>
      <w:r>
        <w:rPr>
          <w:rFonts w:ascii="Book Antiqua" w:hAnsi="Book Antiqua"/>
          <w:i/>
          <w:lang w:val="es-ES_tradnl"/>
        </w:rPr>
        <w:t>Medina Calderón</w:t>
      </w:r>
      <w:r w:rsidR="00E00C36">
        <w:rPr>
          <w:rFonts w:ascii="Book Antiqua" w:hAnsi="Book Antiqua"/>
          <w:iCs/>
          <w:lang w:val="es-ES_tradnl"/>
        </w:rPr>
        <w:t xml:space="preserve"> </w:t>
      </w:r>
    </w:p>
    <w:p w14:paraId="5F60D305" w14:textId="5DAF660E" w:rsidR="00E36DB0" w:rsidRPr="00E00C36" w:rsidRDefault="00E00C36" w:rsidP="00E36DB0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Cs/>
          <w:lang w:val="es-ES_tradnl"/>
        </w:rPr>
        <w:t xml:space="preserve">y los representantes </w:t>
      </w:r>
      <w:r>
        <w:rPr>
          <w:rFonts w:ascii="Book Antiqua" w:hAnsi="Book Antiqua"/>
          <w:i/>
          <w:lang w:val="es-ES_tradnl"/>
        </w:rPr>
        <w:t>Peña Ramírez</w:t>
      </w:r>
      <w:r>
        <w:rPr>
          <w:rFonts w:ascii="Book Antiqua" w:hAnsi="Book Antiqua"/>
          <w:iCs/>
          <w:lang w:val="es-ES_tradnl"/>
        </w:rPr>
        <w:t xml:space="preserve"> </w:t>
      </w:r>
      <w:r w:rsidRPr="00DC73D6">
        <w:rPr>
          <w:rFonts w:ascii="Book Antiqua" w:hAnsi="Book Antiqua"/>
          <w:iCs/>
          <w:lang w:val="es-ES_tradnl"/>
        </w:rPr>
        <w:t>y</w:t>
      </w:r>
      <w:r>
        <w:rPr>
          <w:rFonts w:ascii="Book Antiqua" w:hAnsi="Book Antiqua"/>
          <w:i/>
          <w:lang w:val="es-ES_tradnl"/>
        </w:rPr>
        <w:t xml:space="preserve"> Muriel Sánchez</w:t>
      </w:r>
    </w:p>
    <w:p w14:paraId="2F0CDD1F" w14:textId="77777777" w:rsidR="006817A8" w:rsidRDefault="006817A8" w:rsidP="00E36DB0">
      <w:pPr>
        <w:jc w:val="center"/>
        <w:rPr>
          <w:rFonts w:ascii="Book Antiqua" w:hAnsi="Book Antiqua"/>
          <w:i/>
          <w:lang w:val="es-ES_tradnl"/>
        </w:rPr>
      </w:pPr>
    </w:p>
    <w:p w14:paraId="43311552" w14:textId="33584DDA" w:rsidR="00E36DB0" w:rsidRDefault="00E36DB0" w:rsidP="00E36DB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7D7275">
        <w:rPr>
          <w:rFonts w:ascii="Book Antiqua" w:hAnsi="Book Antiqua"/>
          <w:lang w:val="es-ES_tradnl"/>
        </w:rPr>
        <w:t>la Comisión de Asuntos Internos</w:t>
      </w:r>
    </w:p>
    <w:p w14:paraId="4D0BB5CB" w14:textId="77777777" w:rsidR="00E36DB0" w:rsidRDefault="00E36DB0" w:rsidP="00E36DB0">
      <w:pPr>
        <w:jc w:val="both"/>
        <w:rPr>
          <w:rFonts w:ascii="Book Antiqua" w:hAnsi="Book Antiqua"/>
          <w:lang w:val="es-ES_tradnl"/>
        </w:rPr>
      </w:pPr>
    </w:p>
    <w:p w14:paraId="5549FFC4" w14:textId="77777777" w:rsidR="00E36DB0" w:rsidRDefault="00E36DB0" w:rsidP="00E36DB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12E5E5F0" w14:textId="77777777" w:rsidR="00E36DB0" w:rsidRDefault="00E36DB0" w:rsidP="00E36DB0">
      <w:pPr>
        <w:jc w:val="both"/>
        <w:rPr>
          <w:rFonts w:ascii="Book Antiqua" w:hAnsi="Book Antiqua"/>
          <w:lang w:val="es-ES_tradnl"/>
        </w:rPr>
      </w:pPr>
    </w:p>
    <w:p w14:paraId="18B2D29A" w14:textId="3E8BF0E1" w:rsidR="00E36DB0" w:rsidRPr="00CC232C" w:rsidRDefault="00E36DB0" w:rsidP="00E36DB0">
      <w:pPr>
        <w:ind w:left="720" w:hanging="720"/>
        <w:jc w:val="both"/>
        <w:rPr>
          <w:rFonts w:ascii="Book Antiqua" w:hAnsi="Book Antiqua"/>
          <w:lang w:val="es-ES_tradnl"/>
        </w:rPr>
      </w:pPr>
      <w:r w:rsidRPr="00754ACF">
        <w:rPr>
          <w:rFonts w:ascii="Book Antiqua" w:hAnsi="Book Antiqua"/>
          <w:lang w:val="es-ES_tradnl"/>
        </w:rPr>
        <w:t xml:space="preserve">Para </w:t>
      </w:r>
      <w:r w:rsidR="00705F43">
        <w:rPr>
          <w:rFonts w:ascii="Book Antiqua" w:hAnsi="Book Antiqua"/>
          <w:szCs w:val="24"/>
          <w:lang w:val="es-ES_tradnl"/>
        </w:rPr>
        <w:t>enmendar el Título</w:t>
      </w:r>
      <w:r w:rsidR="00E00C36">
        <w:rPr>
          <w:rFonts w:ascii="Book Antiqua" w:hAnsi="Book Antiqua"/>
          <w:szCs w:val="24"/>
          <w:lang w:val="es-ES_tradnl"/>
        </w:rPr>
        <w:t xml:space="preserve"> </w:t>
      </w:r>
      <w:r w:rsidR="00705F43">
        <w:rPr>
          <w:rFonts w:ascii="Book Antiqua" w:hAnsi="Book Antiqua"/>
          <w:szCs w:val="24"/>
          <w:lang w:val="es-ES_tradnl"/>
        </w:rPr>
        <w:t>y la Secci</w:t>
      </w:r>
      <w:r w:rsidR="00E00C36">
        <w:rPr>
          <w:rFonts w:ascii="Book Antiqua" w:hAnsi="Book Antiqua"/>
          <w:szCs w:val="24"/>
          <w:lang w:val="es-ES_tradnl"/>
        </w:rPr>
        <w:t>ó</w:t>
      </w:r>
      <w:r w:rsidR="00705F43">
        <w:rPr>
          <w:rFonts w:ascii="Book Antiqua" w:hAnsi="Book Antiqua"/>
          <w:szCs w:val="24"/>
          <w:lang w:val="es-ES_tradnl"/>
        </w:rPr>
        <w:t xml:space="preserve">n 1 de la Resolución de la Cámara </w:t>
      </w:r>
      <w:r w:rsidR="00E00C36">
        <w:rPr>
          <w:rFonts w:ascii="Book Antiqua" w:hAnsi="Book Antiqua"/>
          <w:szCs w:val="24"/>
          <w:lang w:val="es-ES_tradnl"/>
        </w:rPr>
        <w:t>200</w:t>
      </w:r>
      <w:r w:rsidR="00705F43">
        <w:rPr>
          <w:rFonts w:ascii="Book Antiqua" w:hAnsi="Book Antiqua"/>
          <w:szCs w:val="24"/>
          <w:lang w:val="es-ES_tradnl"/>
        </w:rPr>
        <w:t xml:space="preserve">, aprobada por la Cámara de Representantes de Puerto Rico, el 28 de </w:t>
      </w:r>
      <w:r w:rsidR="00E00C36">
        <w:rPr>
          <w:rFonts w:ascii="Book Antiqua" w:hAnsi="Book Antiqua"/>
          <w:szCs w:val="24"/>
          <w:lang w:val="es-ES_tradnl"/>
        </w:rPr>
        <w:t>abril</w:t>
      </w:r>
      <w:r w:rsidR="00705F43">
        <w:rPr>
          <w:rFonts w:ascii="Book Antiqua" w:hAnsi="Book Antiqua"/>
          <w:szCs w:val="24"/>
          <w:lang w:val="es-ES_tradnl"/>
        </w:rPr>
        <w:t xml:space="preserve"> de 2025, </w:t>
      </w:r>
      <w:r w:rsidR="00705F43" w:rsidRPr="000E437A">
        <w:rPr>
          <w:rFonts w:ascii="Book Antiqua" w:hAnsi="Book Antiqua"/>
          <w:strike/>
          <w:szCs w:val="24"/>
          <w:lang w:val="es-ES_tradnl"/>
        </w:rPr>
        <w:t>para realizarle</w:t>
      </w:r>
      <w:r w:rsidR="00705F43" w:rsidRPr="000E437A">
        <w:rPr>
          <w:rFonts w:ascii="Book Antiqua" w:hAnsi="Book Antiqua"/>
          <w:szCs w:val="24"/>
          <w:lang w:val="es-ES_tradnl"/>
        </w:rPr>
        <w:t xml:space="preserve"> </w:t>
      </w:r>
      <w:r w:rsidR="000E437A">
        <w:rPr>
          <w:rFonts w:ascii="Book Antiqua" w:hAnsi="Book Antiqua"/>
          <w:i/>
          <w:szCs w:val="24"/>
          <w:u w:val="single"/>
          <w:lang w:val="es-ES_tradnl"/>
        </w:rPr>
        <w:t>con el fin de incorporar</w:t>
      </w:r>
      <w:r w:rsidR="000E437A">
        <w:rPr>
          <w:rFonts w:ascii="Book Antiqua" w:hAnsi="Book Antiqua"/>
          <w:szCs w:val="24"/>
          <w:lang w:val="es-ES_tradnl"/>
        </w:rPr>
        <w:t xml:space="preserve"> </w:t>
      </w:r>
      <w:r w:rsidR="00705F43">
        <w:rPr>
          <w:rFonts w:ascii="Book Antiqua" w:hAnsi="Book Antiqua"/>
          <w:szCs w:val="24"/>
          <w:lang w:val="es-ES_tradnl"/>
        </w:rPr>
        <w:t>enmiendas técnicas; y para otros fines relacionados.</w:t>
      </w:r>
    </w:p>
    <w:p w14:paraId="58F53ED6" w14:textId="77777777" w:rsidR="00E36DB0" w:rsidRDefault="00E36DB0" w:rsidP="007D7275">
      <w:pPr>
        <w:jc w:val="center"/>
        <w:rPr>
          <w:rFonts w:ascii="Book Antiqua" w:hAnsi="Book Antiqua"/>
          <w:lang w:val="es-ES_tradnl"/>
        </w:rPr>
      </w:pPr>
    </w:p>
    <w:p w14:paraId="537889B6" w14:textId="77777777" w:rsidR="00E36DB0" w:rsidRPr="00CC232C" w:rsidRDefault="00E36DB0" w:rsidP="00E36DB0">
      <w:pPr>
        <w:jc w:val="center"/>
        <w:rPr>
          <w:rFonts w:ascii="Book Antiqua" w:hAnsi="Book Antiqua"/>
          <w:lang w:val="es-ES_tradnl"/>
        </w:rPr>
      </w:pPr>
      <w:r w:rsidRPr="00CC232C">
        <w:rPr>
          <w:rFonts w:ascii="Book Antiqua" w:hAnsi="Book Antiqua"/>
          <w:lang w:val="es-ES_tradnl"/>
        </w:rPr>
        <w:t>EXPOSICIÓN DE MOTIVOS</w:t>
      </w:r>
    </w:p>
    <w:p w14:paraId="5247E029" w14:textId="77777777" w:rsidR="00E36DB0" w:rsidRDefault="00E36DB0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0AFC0496" w14:textId="7B13E700" w:rsidR="00705F43" w:rsidRDefault="00705F43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La Resolución de la Cámara </w:t>
      </w:r>
      <w:r w:rsidR="00E00C36">
        <w:rPr>
          <w:rFonts w:ascii="Book Antiqua" w:hAnsi="Book Antiqua"/>
          <w:szCs w:val="24"/>
          <w:lang w:val="es-ES_tradnl"/>
        </w:rPr>
        <w:t>200,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1B3AE8" w:rsidRPr="00473F52">
        <w:rPr>
          <w:rFonts w:ascii="Book Antiqua" w:hAnsi="Book Antiqua"/>
          <w:szCs w:val="24"/>
          <w:lang w:val="es-ES_tradnl"/>
        </w:rPr>
        <w:t>ordena a la Comisión de la</w:t>
      </w:r>
      <w:r w:rsidR="001B3AE8" w:rsidRPr="00334F05">
        <w:rPr>
          <w:rFonts w:ascii="Book Antiqua" w:hAnsi="Book Antiqua"/>
          <w:szCs w:val="24"/>
          <w:lang w:val="es-ES_tradnl"/>
        </w:rPr>
        <w:t xml:space="preserve"> Región Este de la Cámara de Representantes de Puerto Rico, realizar una investigación exhaustiva sobre el estado en que se encuentran las carreteras,</w:t>
      </w:r>
      <w:r w:rsidR="001B3AE8" w:rsidRPr="00334F05">
        <w:rPr>
          <w:lang w:val="es-ES_tradnl"/>
        </w:rPr>
        <w:t xml:space="preserve"> </w:t>
      </w:r>
      <w:r w:rsidR="001B3AE8" w:rsidRPr="00334F05">
        <w:rPr>
          <w:rFonts w:ascii="Book Antiqua" w:hAnsi="Book Antiqua"/>
          <w:szCs w:val="24"/>
          <w:lang w:val="es-ES_tradnl"/>
        </w:rPr>
        <w:t xml:space="preserve">avenidas, caminos, calles, autopistas, puentes, túneles y cualquier otra infraestructura vehicular en los municipios de Yabucoa, Maunabo, Patillas y San Lorenzo que componen el Distrito Representativo Núm. 34; </w:t>
      </w:r>
      <w:r w:rsidR="001B3AE8" w:rsidRPr="00334F05">
        <w:rPr>
          <w:rFonts w:ascii="Book Antiqua" w:hAnsi="Book Antiqua"/>
          <w:bCs/>
          <w:szCs w:val="24"/>
          <w:lang w:val="es-ES_tradnl"/>
        </w:rPr>
        <w:t>evaluar posibles alternativas para su reparación y mantenimiento, incluyendo planes sostenibles de mantenimiento</w:t>
      </w:r>
      <w:r w:rsidR="001B3AE8" w:rsidRPr="00334F05">
        <w:rPr>
          <w:rFonts w:ascii="Book Antiqua" w:hAnsi="Book Antiqua"/>
          <w:szCs w:val="24"/>
          <w:lang w:val="es-ES_tradnl"/>
        </w:rPr>
        <w:t>; y para otros fines relacionados</w:t>
      </w:r>
      <w:r w:rsidR="001B3AE8">
        <w:rPr>
          <w:rFonts w:ascii="Book Antiqua" w:hAnsi="Book Antiqua"/>
          <w:szCs w:val="24"/>
          <w:lang w:val="es-ES_tradnl"/>
        </w:rPr>
        <w:t>.</w:t>
      </w:r>
    </w:p>
    <w:p w14:paraId="0797970F" w14:textId="77777777" w:rsidR="001B3AE8" w:rsidRDefault="001B3AE8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C10F37C" w14:textId="5D8ACBC0" w:rsidR="00705F43" w:rsidRDefault="00E00C36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Luego de aprobada la R. de la C. 367, las jurisdicciones de los municipios de Yabucoa, Maunabo, Patillas y San Lorenzo, pasó a la Comisión de la Región Este Central. </w:t>
      </w:r>
      <w:r w:rsidR="00705F43">
        <w:rPr>
          <w:rFonts w:ascii="Book Antiqua" w:hAnsi="Book Antiqua"/>
          <w:szCs w:val="24"/>
          <w:lang w:val="es-ES_tradnl"/>
        </w:rPr>
        <w:t xml:space="preserve">Por medio de esta Resolución proponemos realizar unas enmiendas técnicas a </w:t>
      </w:r>
      <w:r>
        <w:rPr>
          <w:rFonts w:ascii="Book Antiqua" w:hAnsi="Book Antiqua"/>
          <w:szCs w:val="24"/>
          <w:lang w:val="es-ES_tradnl"/>
        </w:rPr>
        <w:t>la R. de la C. 200, para que la comisión con jurisdicción continue la investigación correspondiente</w:t>
      </w:r>
      <w:r w:rsidR="00705F43">
        <w:rPr>
          <w:rFonts w:ascii="Book Antiqua" w:hAnsi="Book Antiqua"/>
          <w:szCs w:val="24"/>
          <w:lang w:val="es-ES_tradnl"/>
        </w:rPr>
        <w:t>.</w:t>
      </w:r>
    </w:p>
    <w:p w14:paraId="08FB4A29" w14:textId="77777777" w:rsidR="00E36DB0" w:rsidRPr="00CC232C" w:rsidRDefault="00E36DB0" w:rsidP="00E36DB0">
      <w:pPr>
        <w:ind w:firstLine="720"/>
        <w:jc w:val="both"/>
        <w:rPr>
          <w:rFonts w:ascii="Book Antiqua" w:hAnsi="Book Antiqua"/>
          <w:lang w:val="es-ES_tradnl"/>
        </w:rPr>
      </w:pPr>
    </w:p>
    <w:p w14:paraId="2B58BF51" w14:textId="77777777" w:rsidR="00E36DB0" w:rsidRDefault="00E36DB0" w:rsidP="00E36DB0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06B057A7" w14:textId="77777777" w:rsidR="00E36DB0" w:rsidRDefault="00E36DB0" w:rsidP="00E36DB0">
      <w:pPr>
        <w:spacing w:line="480" w:lineRule="auto"/>
        <w:jc w:val="both"/>
        <w:rPr>
          <w:rFonts w:ascii="Book Antiqua" w:hAnsi="Book Antiqua"/>
          <w:lang w:val="es-ES_tradnl"/>
        </w:rPr>
        <w:sectPr w:rsidR="00E36DB0" w:rsidSect="006817A8">
          <w:headerReference w:type="default" r:id="rId6"/>
          <w:headerReference w:type="first" r:id="rId7"/>
          <w:pgSz w:w="12240" w:h="15840" w:code="1"/>
          <w:pgMar w:top="1152" w:right="1440" w:bottom="1440" w:left="1440" w:header="720" w:footer="720" w:gutter="0"/>
          <w:cols w:space="720"/>
          <w:titlePg/>
        </w:sectPr>
      </w:pPr>
    </w:p>
    <w:p w14:paraId="702C1C55" w14:textId="7CCFCAAA" w:rsidR="00705F43" w:rsidRDefault="00E36DB0" w:rsidP="00E36DB0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CC232C">
        <w:rPr>
          <w:rFonts w:ascii="Book Antiqua" w:hAnsi="Book Antiqua"/>
          <w:szCs w:val="24"/>
          <w:lang w:val="es-ES_tradnl"/>
        </w:rPr>
        <w:t xml:space="preserve">Sección 1.-Se </w:t>
      </w:r>
      <w:r w:rsidR="00705F43">
        <w:rPr>
          <w:rFonts w:ascii="Book Antiqua" w:hAnsi="Book Antiqua"/>
          <w:szCs w:val="24"/>
          <w:lang w:val="es-ES_tradnl"/>
        </w:rPr>
        <w:t xml:space="preserve">enmienda el Título de la Resolución de la Cámara </w:t>
      </w:r>
      <w:r w:rsidR="00E00C36">
        <w:rPr>
          <w:rFonts w:ascii="Book Antiqua" w:hAnsi="Book Antiqua"/>
          <w:szCs w:val="24"/>
          <w:lang w:val="es-ES_tradnl"/>
        </w:rPr>
        <w:t>200</w:t>
      </w:r>
      <w:r w:rsidR="00705F43">
        <w:rPr>
          <w:rFonts w:ascii="Book Antiqua" w:hAnsi="Book Antiqua"/>
          <w:szCs w:val="24"/>
          <w:lang w:val="es-ES_tradnl"/>
        </w:rPr>
        <w:t xml:space="preserve">, según </w:t>
      </w:r>
      <w:r w:rsidR="00705F43">
        <w:rPr>
          <w:rFonts w:ascii="Book Antiqua" w:hAnsi="Book Antiqua"/>
          <w:szCs w:val="24"/>
          <w:lang w:val="es-ES_tradnl"/>
        </w:rPr>
        <w:lastRenderedPageBreak/>
        <w:t xml:space="preserve">aprobada por la Cámara de Representantes de Puerto Rico el 28 de </w:t>
      </w:r>
      <w:r w:rsidR="00E00C36">
        <w:rPr>
          <w:rFonts w:ascii="Book Antiqua" w:hAnsi="Book Antiqua"/>
          <w:szCs w:val="24"/>
          <w:lang w:val="es-ES_tradnl"/>
        </w:rPr>
        <w:t>abril</w:t>
      </w:r>
      <w:r w:rsidR="00705F43">
        <w:rPr>
          <w:rFonts w:ascii="Book Antiqua" w:hAnsi="Book Antiqua"/>
          <w:szCs w:val="24"/>
          <w:lang w:val="es-ES_tradnl"/>
        </w:rPr>
        <w:t xml:space="preserve"> de 2025, para que lea como sigue:</w:t>
      </w:r>
    </w:p>
    <w:p w14:paraId="23D6E9F6" w14:textId="1AE42454" w:rsidR="00A94D94" w:rsidRPr="00A94D94" w:rsidRDefault="00A94D94" w:rsidP="00A94D94">
      <w:pPr>
        <w:spacing w:line="480" w:lineRule="auto"/>
        <w:ind w:firstLine="720"/>
        <w:contextualSpacing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“</w:t>
      </w:r>
      <w:r w:rsidR="001B3AE8" w:rsidRPr="00473F52">
        <w:rPr>
          <w:rFonts w:ascii="Book Antiqua" w:hAnsi="Book Antiqua"/>
          <w:szCs w:val="24"/>
          <w:lang w:val="es-ES_tradnl"/>
        </w:rPr>
        <w:t>Para ordenar a la Comisión de la</w:t>
      </w:r>
      <w:r w:rsidR="001B3AE8" w:rsidRPr="00334F05">
        <w:rPr>
          <w:rFonts w:ascii="Book Antiqua" w:hAnsi="Book Antiqua"/>
          <w:szCs w:val="24"/>
          <w:lang w:val="es-ES_tradnl"/>
        </w:rPr>
        <w:t xml:space="preserve"> Región Este </w:t>
      </w:r>
      <w:r w:rsidR="001B3AE8">
        <w:rPr>
          <w:rFonts w:ascii="Book Antiqua" w:hAnsi="Book Antiqua"/>
          <w:i/>
          <w:iCs/>
          <w:szCs w:val="24"/>
          <w:lang w:val="es-ES_tradnl"/>
        </w:rPr>
        <w:t xml:space="preserve">Central </w:t>
      </w:r>
      <w:r w:rsidR="001B3AE8" w:rsidRPr="00334F05">
        <w:rPr>
          <w:rFonts w:ascii="Book Antiqua" w:hAnsi="Book Antiqua"/>
          <w:szCs w:val="24"/>
          <w:lang w:val="es-ES_tradnl"/>
        </w:rPr>
        <w:t>de la Cámara de Representantes de Puerto Rico, realizar una investigación exhaustiva sobre el estado en que se encuentran las carreteras,</w:t>
      </w:r>
      <w:r w:rsidR="001B3AE8" w:rsidRPr="00334F05">
        <w:rPr>
          <w:lang w:val="es-ES_tradnl"/>
        </w:rPr>
        <w:t xml:space="preserve"> </w:t>
      </w:r>
      <w:r w:rsidR="001B3AE8" w:rsidRPr="00334F05">
        <w:rPr>
          <w:rFonts w:ascii="Book Antiqua" w:hAnsi="Book Antiqua"/>
          <w:szCs w:val="24"/>
          <w:lang w:val="es-ES_tradnl"/>
        </w:rPr>
        <w:t xml:space="preserve">avenidas, caminos, calles, autopistas, puentes, túneles y cualquier otra infraestructura vehicular en los municipios de Yabucoa, Maunabo, Patillas y San Lorenzo que componen el Distrito Representativo Núm. 34; </w:t>
      </w:r>
      <w:r w:rsidR="001B3AE8" w:rsidRPr="00334F05">
        <w:rPr>
          <w:rFonts w:ascii="Book Antiqua" w:hAnsi="Book Antiqua"/>
          <w:bCs/>
          <w:szCs w:val="24"/>
          <w:lang w:val="es-ES_tradnl"/>
        </w:rPr>
        <w:t>evaluar posibles alternativas para su reparación y mantenimiento, incluyendo planes sostenibles de mantenimiento</w:t>
      </w:r>
      <w:r w:rsidR="001B3AE8" w:rsidRPr="00334F05">
        <w:rPr>
          <w:rFonts w:ascii="Book Antiqua" w:hAnsi="Book Antiqua"/>
          <w:szCs w:val="24"/>
          <w:lang w:val="es-ES_tradnl"/>
        </w:rPr>
        <w:t>; y para otros fines relacionados</w:t>
      </w:r>
      <w:r w:rsidRPr="00A94D94">
        <w:rPr>
          <w:rFonts w:ascii="Book Antiqua" w:hAnsi="Book Antiqua"/>
          <w:szCs w:val="24"/>
          <w:lang w:val="es-ES_tradnl"/>
        </w:rPr>
        <w:t>.</w:t>
      </w:r>
      <w:r>
        <w:rPr>
          <w:rFonts w:ascii="Book Antiqua" w:hAnsi="Book Antiqua"/>
          <w:szCs w:val="24"/>
          <w:lang w:val="es-ES_tradnl"/>
        </w:rPr>
        <w:t>”</w:t>
      </w:r>
      <w:r w:rsidRPr="00A94D94">
        <w:rPr>
          <w:rFonts w:ascii="Book Antiqua" w:hAnsi="Book Antiqua"/>
          <w:szCs w:val="24"/>
          <w:lang w:val="es-ES_tradnl"/>
        </w:rPr>
        <w:t xml:space="preserve"> </w:t>
      </w:r>
    </w:p>
    <w:p w14:paraId="1D518811" w14:textId="2EB9589F" w:rsidR="00A94D94" w:rsidRDefault="00E36DB0" w:rsidP="00E36DB0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B327FD">
        <w:rPr>
          <w:rFonts w:ascii="Book Antiqua" w:hAnsi="Book Antiqua"/>
          <w:szCs w:val="24"/>
          <w:lang w:val="es-ES_tradnl"/>
        </w:rPr>
        <w:t>Sección 2.</w:t>
      </w:r>
      <w:r>
        <w:rPr>
          <w:rFonts w:ascii="Book Antiqua" w:hAnsi="Book Antiqua"/>
          <w:szCs w:val="24"/>
          <w:lang w:val="es-ES_tradnl"/>
        </w:rPr>
        <w:t>-</w:t>
      </w:r>
      <w:r w:rsidR="00A94D94">
        <w:rPr>
          <w:rFonts w:ascii="Book Antiqua" w:hAnsi="Book Antiqua"/>
          <w:szCs w:val="24"/>
          <w:lang w:val="es-ES_tradnl"/>
        </w:rPr>
        <w:t xml:space="preserve">Se enmienda la Sección 1 de la Resolución de la Cámara </w:t>
      </w:r>
      <w:r w:rsidR="001B3AE8">
        <w:rPr>
          <w:rFonts w:ascii="Book Antiqua" w:hAnsi="Book Antiqua"/>
          <w:szCs w:val="24"/>
          <w:lang w:val="es-ES_tradnl"/>
        </w:rPr>
        <w:t>200</w:t>
      </w:r>
      <w:r w:rsidR="00A94D94">
        <w:rPr>
          <w:rFonts w:ascii="Book Antiqua" w:hAnsi="Book Antiqua"/>
          <w:szCs w:val="24"/>
          <w:lang w:val="es-ES_tradnl"/>
        </w:rPr>
        <w:t xml:space="preserve">, según aprobada el 28 de </w:t>
      </w:r>
      <w:r w:rsidR="001B3AE8">
        <w:rPr>
          <w:rFonts w:ascii="Book Antiqua" w:hAnsi="Book Antiqua"/>
          <w:szCs w:val="24"/>
          <w:lang w:val="es-ES_tradnl"/>
        </w:rPr>
        <w:t>abril</w:t>
      </w:r>
      <w:r w:rsidR="00A94D94">
        <w:rPr>
          <w:rFonts w:ascii="Book Antiqua" w:hAnsi="Book Antiqua"/>
          <w:szCs w:val="24"/>
          <w:lang w:val="es-ES_tradnl"/>
        </w:rPr>
        <w:t xml:space="preserve"> de 2025, para que lea como sigue:</w:t>
      </w:r>
    </w:p>
    <w:p w14:paraId="79CED195" w14:textId="132C96DF" w:rsidR="00A94D94" w:rsidRDefault="00A94D94" w:rsidP="00E36DB0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“</w:t>
      </w:r>
      <w:r w:rsidR="00A42CB9">
        <w:rPr>
          <w:rFonts w:ascii="Book Antiqua" w:hAnsi="Book Antiqua"/>
          <w:szCs w:val="24"/>
          <w:lang w:val="es-ES_tradnl"/>
        </w:rPr>
        <w:t xml:space="preserve">Sección 1.- </w:t>
      </w:r>
      <w:r w:rsidR="001B3AE8" w:rsidRPr="00334F05">
        <w:rPr>
          <w:rFonts w:ascii="Book Antiqua" w:hAnsi="Book Antiqua"/>
          <w:szCs w:val="24"/>
          <w:lang w:val="es-ES_tradnl"/>
        </w:rPr>
        <w:t xml:space="preserve">Se ordena a la Comisión de la Región Este </w:t>
      </w:r>
      <w:r w:rsidR="001B3AE8">
        <w:rPr>
          <w:rFonts w:ascii="Book Antiqua" w:hAnsi="Book Antiqua"/>
          <w:i/>
          <w:iCs/>
          <w:szCs w:val="24"/>
          <w:lang w:val="es-ES_tradnl"/>
        </w:rPr>
        <w:t xml:space="preserve">Central </w:t>
      </w:r>
      <w:r w:rsidR="001B3AE8" w:rsidRPr="00334F05">
        <w:rPr>
          <w:rFonts w:ascii="Book Antiqua" w:hAnsi="Book Antiqua"/>
          <w:szCs w:val="24"/>
          <w:lang w:val="es-ES_tradnl"/>
        </w:rPr>
        <w:t>de la Cámara de Representantes de Puerto Rico, realizar una investigación exhaustiva sobre el estado en que se encuentran las carreteras,</w:t>
      </w:r>
      <w:r w:rsidR="001B3AE8" w:rsidRPr="00334F05">
        <w:rPr>
          <w:lang w:val="es-ES_tradnl"/>
        </w:rPr>
        <w:t xml:space="preserve"> </w:t>
      </w:r>
      <w:r w:rsidR="001B3AE8" w:rsidRPr="00334F05">
        <w:rPr>
          <w:rFonts w:ascii="Book Antiqua" w:hAnsi="Book Antiqua"/>
          <w:szCs w:val="24"/>
          <w:lang w:val="es-ES_tradnl"/>
        </w:rPr>
        <w:t xml:space="preserve">avenidas, caminos, calles, autopistas, puentes, túneles y cualquier otra infraestructura vehicular en los municipios de Yabucoa, Maunabo, Patillas y San Lorenzo que componen el Distrito Representativo Núm. 34; </w:t>
      </w:r>
      <w:r w:rsidR="001B3AE8" w:rsidRPr="00334F05">
        <w:rPr>
          <w:rFonts w:ascii="Book Antiqua" w:hAnsi="Book Antiqua"/>
          <w:bCs/>
          <w:szCs w:val="24"/>
          <w:lang w:val="es-ES_tradnl"/>
        </w:rPr>
        <w:t>evaluar posibles alternativas para su reparación y mantenimiento, incluyendo planes sostenibles de mantenimiento</w:t>
      </w:r>
      <w:r w:rsidR="00A42CB9" w:rsidRPr="00D35FFE">
        <w:rPr>
          <w:rFonts w:ascii="Book Antiqua" w:hAnsi="Book Antiqua"/>
          <w:lang w:val="es-ES_tradnl"/>
        </w:rPr>
        <w:t>.</w:t>
      </w:r>
      <w:r w:rsidR="001B3AE8">
        <w:rPr>
          <w:rFonts w:ascii="Book Antiqua" w:hAnsi="Book Antiqua"/>
          <w:lang w:val="es-ES_tradnl"/>
        </w:rPr>
        <w:t>”</w:t>
      </w:r>
    </w:p>
    <w:p w14:paraId="50670080" w14:textId="582C1C33" w:rsidR="00E36DB0" w:rsidRPr="00970901" w:rsidRDefault="00E36DB0" w:rsidP="00A42CB9">
      <w:pPr>
        <w:widowControl w:val="0"/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Sección </w:t>
      </w:r>
      <w:r w:rsidR="001B3AE8">
        <w:rPr>
          <w:rFonts w:ascii="Book Antiqua" w:hAnsi="Book Antiqua"/>
          <w:szCs w:val="24"/>
          <w:lang w:val="es-ES_tradnl"/>
        </w:rPr>
        <w:t>3</w:t>
      </w:r>
      <w:r w:rsidR="00A42CB9">
        <w:rPr>
          <w:rFonts w:ascii="Book Antiqua" w:hAnsi="Book Antiqua"/>
          <w:szCs w:val="24"/>
          <w:lang w:val="es-ES_tradnl"/>
        </w:rPr>
        <w:t>.-</w:t>
      </w:r>
      <w:r w:rsidRPr="00B327FD">
        <w:rPr>
          <w:rFonts w:ascii="Book Antiqua" w:hAnsi="Book Antiqua"/>
          <w:szCs w:val="24"/>
          <w:lang w:val="es-ES_tradnl"/>
        </w:rPr>
        <w:t xml:space="preserve">Esta Resolución </w:t>
      </w:r>
      <w:r w:rsidR="00A42CB9">
        <w:rPr>
          <w:rFonts w:ascii="Book Antiqua" w:hAnsi="Book Antiqua"/>
          <w:szCs w:val="24"/>
          <w:lang w:val="es-ES_tradnl"/>
        </w:rPr>
        <w:t xml:space="preserve">entrará en vigor </w:t>
      </w:r>
      <w:r w:rsidRPr="00B327FD">
        <w:rPr>
          <w:rFonts w:ascii="Book Antiqua" w:hAnsi="Book Antiqua"/>
          <w:szCs w:val="24"/>
          <w:lang w:val="es-ES_tradnl"/>
        </w:rPr>
        <w:t>inmediatamente después de su aprobación.</w:t>
      </w:r>
      <w:r>
        <w:rPr>
          <w:rFonts w:ascii="Book Antiqua" w:hAnsi="Book Antiqua"/>
          <w:szCs w:val="24"/>
          <w:lang w:val="es-ES_tradnl"/>
        </w:rPr>
        <w:t xml:space="preserve"> </w:t>
      </w:r>
    </w:p>
    <w:sectPr w:rsidR="00E36DB0" w:rsidRPr="00970901" w:rsidSect="006817A8">
      <w:type w:val="continuous"/>
      <w:pgSz w:w="12240" w:h="15840"/>
      <w:pgMar w:top="1296" w:right="1440" w:bottom="1152" w:left="1440" w:header="720" w:footer="720" w:gutter="0"/>
      <w:lnNumType w:countBy="1"/>
      <w:pgNumType w:start="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E20A9" w14:textId="77777777" w:rsidR="002E3A8E" w:rsidRDefault="002E3A8E">
      <w:r>
        <w:separator/>
      </w:r>
    </w:p>
  </w:endnote>
  <w:endnote w:type="continuationSeparator" w:id="0">
    <w:p w14:paraId="1F4FB641" w14:textId="77777777" w:rsidR="002E3A8E" w:rsidRDefault="002E3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C6DCA" w14:textId="77777777" w:rsidR="002E3A8E" w:rsidRDefault="002E3A8E">
      <w:r>
        <w:separator/>
      </w:r>
    </w:p>
  </w:footnote>
  <w:footnote w:type="continuationSeparator" w:id="0">
    <w:p w14:paraId="6A6B2F17" w14:textId="77777777" w:rsidR="002E3A8E" w:rsidRDefault="002E3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1922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A805623" w14:textId="6C777C4A" w:rsidR="002B6C9C" w:rsidRDefault="002B6C9C">
        <w:pPr>
          <w:pStyle w:val="Header"/>
          <w:jc w:val="center"/>
        </w:pPr>
        <w:r>
          <w:t>2</w:t>
        </w:r>
      </w:p>
    </w:sdtContent>
  </w:sdt>
  <w:p w14:paraId="419EF5B8" w14:textId="706FC25D" w:rsidR="00970901" w:rsidRDefault="00970901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78607" w14:textId="4F0EDF9F" w:rsidR="000E437A" w:rsidRPr="000E437A" w:rsidRDefault="000E437A" w:rsidP="000E437A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0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6DB0"/>
    <w:rsid w:val="00034A95"/>
    <w:rsid w:val="000E437A"/>
    <w:rsid w:val="00156A10"/>
    <w:rsid w:val="001B3AE8"/>
    <w:rsid w:val="002023BA"/>
    <w:rsid w:val="00233632"/>
    <w:rsid w:val="00236913"/>
    <w:rsid w:val="002B6C9C"/>
    <w:rsid w:val="002E3A8E"/>
    <w:rsid w:val="002F0F63"/>
    <w:rsid w:val="004974DF"/>
    <w:rsid w:val="004D73D7"/>
    <w:rsid w:val="00572929"/>
    <w:rsid w:val="005A625D"/>
    <w:rsid w:val="006002C6"/>
    <w:rsid w:val="00660F32"/>
    <w:rsid w:val="006817A8"/>
    <w:rsid w:val="00702897"/>
    <w:rsid w:val="00705F43"/>
    <w:rsid w:val="00754ACF"/>
    <w:rsid w:val="007D7275"/>
    <w:rsid w:val="00835118"/>
    <w:rsid w:val="00970901"/>
    <w:rsid w:val="00992390"/>
    <w:rsid w:val="00A42CB9"/>
    <w:rsid w:val="00A6243D"/>
    <w:rsid w:val="00A74414"/>
    <w:rsid w:val="00A94D94"/>
    <w:rsid w:val="00AD0789"/>
    <w:rsid w:val="00B947F9"/>
    <w:rsid w:val="00BB513C"/>
    <w:rsid w:val="00C30FC3"/>
    <w:rsid w:val="00D534A7"/>
    <w:rsid w:val="00D74117"/>
    <w:rsid w:val="00DC3034"/>
    <w:rsid w:val="00DC73D6"/>
    <w:rsid w:val="00E00C36"/>
    <w:rsid w:val="00E107B3"/>
    <w:rsid w:val="00E3359D"/>
    <w:rsid w:val="00E36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E80766"/>
  <w15:docId w15:val="{15C4A6AC-535C-4C19-A338-3C1E9F3F2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DB0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6DB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6DB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6DB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DB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6DB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6D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D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D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D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D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6D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6D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D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6D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6D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36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6DB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36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6DB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36D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6DB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36D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6D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6D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6DB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rsid w:val="00E36D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6DB0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E36DB0"/>
  </w:style>
  <w:style w:type="character" w:styleId="LineNumber">
    <w:name w:val="line number"/>
    <w:basedOn w:val="DefaultParagraphFont"/>
    <w:uiPriority w:val="99"/>
    <w:semiHidden/>
    <w:unhideWhenUsed/>
    <w:rsid w:val="00E36DB0"/>
  </w:style>
  <w:style w:type="paragraph" w:styleId="Footer">
    <w:name w:val="footer"/>
    <w:basedOn w:val="Normal"/>
    <w:link w:val="FooterChar"/>
    <w:uiPriority w:val="99"/>
    <w:unhideWhenUsed/>
    <w:rsid w:val="002B6C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6C9C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494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Miguel A. Candelario Piñeiro</cp:lastModifiedBy>
  <cp:revision>3</cp:revision>
  <cp:lastPrinted>2025-06-30T20:48:00Z</cp:lastPrinted>
  <dcterms:created xsi:type="dcterms:W3CDTF">2025-09-12T02:02:00Z</dcterms:created>
  <dcterms:modified xsi:type="dcterms:W3CDTF">2025-09-12T13:04:00Z</dcterms:modified>
</cp:coreProperties>
</file>