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188068" w14:textId="4B081071" w:rsidR="0046670C" w:rsidRDefault="00EA53F4" w:rsidP="0046670C">
      <w:pPr>
        <w:jc w:val="center"/>
        <w:rPr>
          <w:rFonts w:ascii="Book Antiqua" w:hAnsi="Book Antiqua"/>
          <w:sz w:val="36"/>
          <w:lang w:val="es-ES_tradnl"/>
        </w:rPr>
      </w:pPr>
      <w:r>
        <w:rPr>
          <w:rFonts w:ascii="Book Antiqua" w:hAnsi="Book Antiqua"/>
          <w:sz w:val="36"/>
          <w:lang w:val="es-ES_tradnl"/>
        </w:rPr>
        <w:t>GOBIERNO</w:t>
      </w:r>
      <w:r w:rsidR="0046670C">
        <w:rPr>
          <w:rFonts w:ascii="Book Antiqua" w:hAnsi="Book Antiqua"/>
          <w:sz w:val="36"/>
          <w:lang w:val="es-ES_tradnl"/>
        </w:rPr>
        <w:t xml:space="preserve"> DE PUERTO RICO</w:t>
      </w:r>
    </w:p>
    <w:p w14:paraId="7D02D997" w14:textId="77777777" w:rsidR="0046670C" w:rsidRPr="00DD0F60" w:rsidRDefault="0046670C" w:rsidP="0046670C">
      <w:pPr>
        <w:jc w:val="center"/>
        <w:rPr>
          <w:rFonts w:ascii="Book Antiqua" w:hAnsi="Book Antiqua"/>
          <w:szCs w:val="14"/>
          <w:lang w:val="es-ES_tradnl"/>
        </w:rPr>
      </w:pPr>
    </w:p>
    <w:p w14:paraId="71625E74" w14:textId="1C144AEA" w:rsidR="0046670C" w:rsidRDefault="00143C4A" w:rsidP="0046670C">
      <w:pPr>
        <w:pStyle w:val="Title2"/>
        <w:rPr>
          <w:rFonts w:ascii="Book Antiqua" w:hAnsi="Book Antiqua"/>
          <w:lang w:val="es-ES_tradnl"/>
        </w:rPr>
      </w:pPr>
      <w:r>
        <w:rPr>
          <w:rFonts w:ascii="Book Antiqua" w:hAnsi="Book Antiqua"/>
          <w:lang w:val="es-ES_tradnl"/>
        </w:rPr>
        <w:t>20</w:t>
      </w:r>
      <w:r>
        <w:rPr>
          <w:rFonts w:ascii="Book Antiqua" w:hAnsi="Book Antiqua"/>
          <w:vertAlign w:val="superscript"/>
          <w:lang w:val="es-ES_tradnl"/>
        </w:rPr>
        <w:t>m</w:t>
      </w:r>
      <w:r w:rsidR="0046670C" w:rsidRPr="00DD0F60">
        <w:rPr>
          <w:rFonts w:ascii="Book Antiqua" w:hAnsi="Book Antiqua"/>
          <w:vertAlign w:val="superscript"/>
          <w:lang w:val="es-ES_tradnl"/>
        </w:rPr>
        <w:t>a.</w:t>
      </w:r>
      <w:r w:rsidR="0046670C">
        <w:rPr>
          <w:rFonts w:ascii="Book Antiqua" w:hAnsi="Book Antiqua"/>
          <w:lang w:val="es-ES_tradnl"/>
        </w:rPr>
        <w:t xml:space="preserve"> Asamblea</w:t>
      </w:r>
      <w:r w:rsidR="0046670C">
        <w:rPr>
          <w:rFonts w:ascii="Book Antiqua" w:hAnsi="Book Antiqua"/>
          <w:lang w:val="es-ES_tradnl"/>
        </w:rPr>
        <w:tab/>
        <w:t xml:space="preserve"> </w:t>
      </w:r>
      <w:r w:rsidR="0046670C">
        <w:rPr>
          <w:rFonts w:ascii="Book Antiqua" w:hAnsi="Book Antiqua"/>
          <w:lang w:val="es-ES_tradnl"/>
        </w:rPr>
        <w:tab/>
        <w:t xml:space="preserve">      </w:t>
      </w:r>
      <w:r w:rsidR="004A2D8F">
        <w:rPr>
          <w:rFonts w:ascii="Book Antiqua" w:hAnsi="Book Antiqua"/>
          <w:lang w:val="es-ES_tradnl"/>
        </w:rPr>
        <w:t>2</w:t>
      </w:r>
      <w:r w:rsidR="004A2D8F">
        <w:rPr>
          <w:rFonts w:ascii="Book Antiqua" w:hAnsi="Book Antiqua"/>
          <w:vertAlign w:val="superscript"/>
          <w:lang w:val="es-ES_tradnl"/>
        </w:rPr>
        <w:t>d</w:t>
      </w:r>
      <w:r w:rsidR="0046670C" w:rsidRPr="00DD0F60">
        <w:rPr>
          <w:rFonts w:ascii="Book Antiqua" w:hAnsi="Book Antiqua"/>
          <w:vertAlign w:val="superscript"/>
          <w:lang w:val="es-ES_tradnl"/>
        </w:rPr>
        <w:t>a.</w:t>
      </w:r>
      <w:r w:rsidR="0046670C">
        <w:rPr>
          <w:rFonts w:ascii="Book Antiqua" w:hAnsi="Book Antiqua"/>
          <w:vertAlign w:val="superscript"/>
          <w:lang w:val="es-ES_tradnl"/>
        </w:rPr>
        <w:t xml:space="preserve"> </w:t>
      </w:r>
      <w:r w:rsidR="0046670C">
        <w:rPr>
          <w:rFonts w:ascii="Book Antiqua" w:hAnsi="Book Antiqua"/>
          <w:lang w:val="es-ES_tradnl"/>
        </w:rPr>
        <w:t>Sesión</w:t>
      </w:r>
    </w:p>
    <w:p w14:paraId="65CE77DB" w14:textId="77777777" w:rsidR="0046670C" w:rsidRDefault="0046670C" w:rsidP="0046670C">
      <w:pPr>
        <w:pStyle w:val="Title2"/>
        <w:rPr>
          <w:rFonts w:ascii="Book Antiqua" w:hAnsi="Book Antiqua"/>
          <w:lang w:val="es-ES_tradnl"/>
        </w:rPr>
      </w:pPr>
      <w:r>
        <w:rPr>
          <w:rFonts w:ascii="Book Antiqua" w:hAnsi="Book Antiqua"/>
          <w:lang w:val="es-ES_tradnl"/>
        </w:rPr>
        <w:t xml:space="preserve">        Legislativa</w:t>
      </w:r>
      <w:r>
        <w:rPr>
          <w:rFonts w:ascii="Book Antiqua" w:hAnsi="Book Antiqua"/>
          <w:lang w:val="es-ES_tradnl"/>
        </w:rPr>
        <w:tab/>
      </w:r>
      <w:r>
        <w:rPr>
          <w:rFonts w:ascii="Book Antiqua" w:hAnsi="Book Antiqua"/>
          <w:lang w:val="es-ES_tradnl"/>
        </w:rPr>
        <w:tab/>
        <w:t xml:space="preserve">       Ordinaria</w:t>
      </w:r>
    </w:p>
    <w:p w14:paraId="3CD9062B" w14:textId="77777777" w:rsidR="0046670C" w:rsidRDefault="0046670C" w:rsidP="0046670C">
      <w:pPr>
        <w:rPr>
          <w:lang w:val="es-ES_tradnl"/>
        </w:rPr>
      </w:pPr>
    </w:p>
    <w:p w14:paraId="6CCE71E4" w14:textId="77777777" w:rsidR="0046670C" w:rsidRDefault="0046670C" w:rsidP="0046670C">
      <w:pPr>
        <w:spacing w:after="360"/>
        <w:jc w:val="center"/>
        <w:rPr>
          <w:rFonts w:ascii="Book Antiqua" w:hAnsi="Book Antiqua"/>
          <w:b/>
          <w:sz w:val="36"/>
          <w:lang w:val="es-ES_tradnl"/>
        </w:rPr>
      </w:pPr>
      <w:r>
        <w:rPr>
          <w:rFonts w:ascii="Book Antiqua" w:hAnsi="Book Antiqua"/>
          <w:b/>
          <w:sz w:val="36"/>
          <w:lang w:val="es-ES_tradnl"/>
        </w:rPr>
        <w:t>SENADO DE PUERTO RICO</w:t>
      </w:r>
    </w:p>
    <w:p w14:paraId="46F4229A" w14:textId="10B855EF" w:rsidR="0046670C" w:rsidRPr="00DD0F60" w:rsidRDefault="0046670C" w:rsidP="0046670C">
      <w:pPr>
        <w:spacing w:after="360"/>
        <w:jc w:val="center"/>
        <w:rPr>
          <w:rFonts w:ascii="Book Antiqua" w:hAnsi="Book Antiqua"/>
          <w:bCs/>
          <w:sz w:val="52"/>
          <w:lang w:val="es-ES_tradnl"/>
        </w:rPr>
      </w:pPr>
      <w:r>
        <w:rPr>
          <w:rFonts w:ascii="Book Antiqua" w:hAnsi="Book Antiqua"/>
          <w:bCs/>
          <w:sz w:val="52"/>
          <w:lang w:val="es-ES_tradnl"/>
        </w:rPr>
        <w:t>P. de</w:t>
      </w:r>
      <w:r w:rsidR="004A2D8F">
        <w:rPr>
          <w:rFonts w:ascii="Book Antiqua" w:hAnsi="Book Antiqua"/>
          <w:bCs/>
          <w:sz w:val="52"/>
          <w:lang w:val="es-ES_tradnl"/>
        </w:rPr>
        <w:t>l S. 679</w:t>
      </w:r>
    </w:p>
    <w:p w14:paraId="1EE041A4" w14:textId="6FE41CB5" w:rsidR="0046670C" w:rsidRPr="00DD47EF" w:rsidRDefault="0046670C" w:rsidP="0046670C">
      <w:pPr>
        <w:spacing w:after="360"/>
        <w:jc w:val="center"/>
        <w:rPr>
          <w:rFonts w:ascii="Book Antiqua" w:hAnsi="Book Antiqua"/>
          <w:b/>
          <w:bCs/>
          <w:lang w:val="es-ES_tradnl"/>
        </w:rPr>
      </w:pPr>
      <w:r>
        <w:rPr>
          <w:rFonts w:ascii="Book Antiqua" w:hAnsi="Book Antiqua"/>
          <w:lang w:val="es-ES_tradnl"/>
        </w:rPr>
        <w:t xml:space="preserve">  </w:t>
      </w:r>
      <w:r w:rsidRPr="00DD47EF">
        <w:rPr>
          <w:rFonts w:ascii="Book Antiqua" w:hAnsi="Book Antiqua"/>
          <w:b/>
          <w:bCs/>
          <w:lang w:val="es-ES_tradnl"/>
        </w:rPr>
        <w:t>INFORME POSITIVO</w:t>
      </w:r>
      <w:r w:rsidR="00DD47EF" w:rsidRPr="00DD47EF">
        <w:rPr>
          <w:rFonts w:ascii="Book Antiqua" w:hAnsi="Book Antiqua"/>
          <w:b/>
          <w:bCs/>
          <w:lang w:val="es-ES_tradnl"/>
        </w:rPr>
        <w:t xml:space="preserve"> CONJUNTO</w:t>
      </w:r>
    </w:p>
    <w:p w14:paraId="1C43064C" w14:textId="65758890" w:rsidR="0046670C" w:rsidRPr="00E30290" w:rsidRDefault="00497E2E" w:rsidP="0039668F">
      <w:pPr>
        <w:spacing w:after="360"/>
        <w:jc w:val="center"/>
        <w:rPr>
          <w:rFonts w:ascii="Book Antiqua" w:hAnsi="Book Antiqua"/>
          <w:lang w:val="es-PR"/>
        </w:rPr>
      </w:pPr>
      <w:r>
        <w:rPr>
          <w:rFonts w:ascii="Book Antiqua" w:hAnsi="Book Antiqua"/>
          <w:lang w:val="es-PR"/>
        </w:rPr>
        <w:t>2</w:t>
      </w:r>
      <w:r w:rsidR="00EF12D9">
        <w:rPr>
          <w:rFonts w:ascii="Book Antiqua" w:hAnsi="Book Antiqua"/>
          <w:lang w:val="es-PR"/>
        </w:rPr>
        <w:t>6</w:t>
      </w:r>
      <w:r w:rsidR="0039668F">
        <w:rPr>
          <w:rFonts w:ascii="Book Antiqua" w:hAnsi="Book Antiqua"/>
          <w:lang w:val="es-PR"/>
        </w:rPr>
        <w:t xml:space="preserve"> </w:t>
      </w:r>
      <w:r w:rsidR="006F5D0B">
        <w:rPr>
          <w:rFonts w:ascii="Book Antiqua" w:hAnsi="Book Antiqua"/>
          <w:lang w:val="es-PR"/>
        </w:rPr>
        <w:t>de septiembre</w:t>
      </w:r>
      <w:r w:rsidR="0046670C">
        <w:rPr>
          <w:rFonts w:ascii="Book Antiqua" w:hAnsi="Book Antiqua"/>
          <w:lang w:val="es-ES_tradnl"/>
        </w:rPr>
        <w:t xml:space="preserve"> de 202</w:t>
      </w:r>
      <w:r w:rsidR="00143C4A">
        <w:rPr>
          <w:rFonts w:ascii="Book Antiqua" w:hAnsi="Book Antiqua"/>
          <w:lang w:val="es-ES_tradnl"/>
        </w:rPr>
        <w:t>5</w:t>
      </w:r>
    </w:p>
    <w:p w14:paraId="525563A8" w14:textId="77777777" w:rsidR="0046670C" w:rsidRPr="00AC03CD" w:rsidRDefault="0046670C" w:rsidP="00B44032">
      <w:pPr>
        <w:spacing w:line="360" w:lineRule="auto"/>
        <w:jc w:val="both"/>
        <w:rPr>
          <w:rFonts w:ascii="Book Antiqua" w:hAnsi="Book Antiqua"/>
          <w:b/>
          <w:bCs/>
          <w:szCs w:val="24"/>
          <w:lang w:val="es-ES_tradnl"/>
        </w:rPr>
      </w:pPr>
      <w:r w:rsidRPr="00AC03CD">
        <w:rPr>
          <w:rFonts w:ascii="Book Antiqua" w:hAnsi="Book Antiqua"/>
          <w:b/>
          <w:bCs/>
          <w:szCs w:val="24"/>
          <w:lang w:val="es-ES_tradnl"/>
        </w:rPr>
        <w:t>AL SENADO DE PUERTO RICO:</w:t>
      </w:r>
    </w:p>
    <w:p w14:paraId="2CD3F980" w14:textId="219EFE4B" w:rsidR="00F41E0C" w:rsidRDefault="00F41E0C" w:rsidP="006F5D0B">
      <w:pPr>
        <w:pStyle w:val="BodyText"/>
        <w:spacing w:after="0" w:line="360" w:lineRule="auto"/>
        <w:ind w:firstLine="432"/>
        <w:jc w:val="both"/>
        <w:rPr>
          <w:rFonts w:ascii="Book Antiqua" w:hAnsi="Book Antiqua"/>
          <w:szCs w:val="24"/>
          <w:lang w:val="es-PR"/>
        </w:rPr>
      </w:pPr>
      <w:bookmarkStart w:id="0" w:name="_Hlk201842159"/>
      <w:r w:rsidRPr="00AC03CD">
        <w:rPr>
          <w:rFonts w:ascii="Book Antiqua" w:hAnsi="Book Antiqua"/>
          <w:szCs w:val="24"/>
          <w:lang w:val="es-PR"/>
        </w:rPr>
        <w:t>La</w:t>
      </w:r>
      <w:r w:rsidR="00DD47EF">
        <w:rPr>
          <w:rFonts w:ascii="Book Antiqua" w:hAnsi="Book Antiqua"/>
          <w:szCs w:val="24"/>
          <w:lang w:val="es-PR"/>
        </w:rPr>
        <w:t>s</w:t>
      </w:r>
      <w:r w:rsidRPr="00AC03CD">
        <w:rPr>
          <w:rFonts w:ascii="Book Antiqua" w:hAnsi="Book Antiqua"/>
          <w:szCs w:val="24"/>
          <w:lang w:val="es-PR"/>
        </w:rPr>
        <w:t xml:space="preserve"> Comisi</w:t>
      </w:r>
      <w:r w:rsidR="00DD47EF">
        <w:rPr>
          <w:rFonts w:ascii="Book Antiqua" w:hAnsi="Book Antiqua"/>
          <w:szCs w:val="24"/>
          <w:lang w:val="es-PR"/>
        </w:rPr>
        <w:t>ones</w:t>
      </w:r>
      <w:r w:rsidRPr="00AC03CD">
        <w:rPr>
          <w:rFonts w:ascii="Book Antiqua" w:hAnsi="Book Antiqua"/>
          <w:szCs w:val="24"/>
          <w:lang w:val="es-PR"/>
        </w:rPr>
        <w:t xml:space="preserve"> de Relaciones Federales y Viabilización del Mandato del Pueblo para la Solución del Estatus</w:t>
      </w:r>
      <w:r w:rsidR="00DD47EF">
        <w:rPr>
          <w:rFonts w:ascii="Book Antiqua" w:hAnsi="Book Antiqua"/>
          <w:szCs w:val="24"/>
          <w:lang w:val="es-PR"/>
        </w:rPr>
        <w:t>; y de Vivienda y Bienestar Social</w:t>
      </w:r>
      <w:r w:rsidRPr="00AC03CD">
        <w:rPr>
          <w:rFonts w:ascii="Book Antiqua" w:hAnsi="Book Antiqua"/>
          <w:szCs w:val="24"/>
          <w:lang w:val="es-PR"/>
        </w:rPr>
        <w:t xml:space="preserve"> del Senado, previo estudio y consideración,</w:t>
      </w:r>
      <w:r w:rsidRPr="00AC03CD">
        <w:rPr>
          <w:rFonts w:ascii="Book Antiqua" w:hAnsi="Book Antiqua"/>
          <w:b/>
          <w:bCs/>
          <w:szCs w:val="24"/>
          <w:lang w:val="es-PR"/>
        </w:rPr>
        <w:t xml:space="preserve"> recomienda </w:t>
      </w:r>
      <w:r w:rsidRPr="00AC03CD">
        <w:rPr>
          <w:rFonts w:ascii="Book Antiqua" w:hAnsi="Book Antiqua"/>
          <w:bCs/>
          <w:szCs w:val="24"/>
          <w:lang w:val="es-PR"/>
        </w:rPr>
        <w:t>la aprobación del</w:t>
      </w:r>
      <w:r w:rsidRPr="00AC03CD">
        <w:rPr>
          <w:rFonts w:ascii="Book Antiqua" w:hAnsi="Book Antiqua"/>
          <w:szCs w:val="24"/>
          <w:lang w:val="es-PR"/>
        </w:rPr>
        <w:t xml:space="preserve"> Proyecto de</w:t>
      </w:r>
      <w:r w:rsidR="004A2D8F" w:rsidRPr="00AC03CD">
        <w:rPr>
          <w:rFonts w:ascii="Book Antiqua" w:hAnsi="Book Antiqua"/>
          <w:szCs w:val="24"/>
          <w:lang w:val="es-PR"/>
        </w:rPr>
        <w:t>l Senado 679</w:t>
      </w:r>
      <w:r w:rsidR="001E7510" w:rsidRPr="00AC03CD">
        <w:rPr>
          <w:rFonts w:ascii="Book Antiqua" w:hAnsi="Book Antiqua"/>
          <w:szCs w:val="24"/>
          <w:lang w:val="es-PR"/>
        </w:rPr>
        <w:t xml:space="preserve"> con las enmiendas contenidas en el entirillado electrónico que se acompaña. </w:t>
      </w:r>
    </w:p>
    <w:p w14:paraId="0F68682F" w14:textId="77777777" w:rsidR="00220BC1" w:rsidRDefault="00220BC1" w:rsidP="00B44032">
      <w:pPr>
        <w:pStyle w:val="BodyText"/>
        <w:spacing w:after="0"/>
        <w:ind w:firstLine="432"/>
        <w:jc w:val="both"/>
        <w:rPr>
          <w:rFonts w:ascii="Book Antiqua" w:hAnsi="Book Antiqua"/>
          <w:szCs w:val="24"/>
          <w:lang w:val="es-PR"/>
        </w:rPr>
      </w:pPr>
    </w:p>
    <w:p w14:paraId="3C922A05" w14:textId="1C6C8840" w:rsidR="00220BC1" w:rsidRPr="00220BC1" w:rsidRDefault="00220BC1" w:rsidP="00220BC1">
      <w:pPr>
        <w:pStyle w:val="BodyText"/>
        <w:spacing w:after="0" w:line="360" w:lineRule="auto"/>
        <w:ind w:firstLine="432"/>
        <w:jc w:val="center"/>
        <w:rPr>
          <w:rFonts w:ascii="Book Antiqua" w:hAnsi="Book Antiqua"/>
          <w:b/>
          <w:bCs/>
          <w:szCs w:val="24"/>
          <w:lang w:val="es-PR"/>
        </w:rPr>
      </w:pPr>
      <w:r w:rsidRPr="00220BC1">
        <w:rPr>
          <w:rFonts w:ascii="Book Antiqua" w:hAnsi="Book Antiqua"/>
          <w:b/>
          <w:bCs/>
          <w:szCs w:val="24"/>
          <w:lang w:val="es-PR"/>
        </w:rPr>
        <w:t>ALCANCE DE LA MEDIDA</w:t>
      </w:r>
    </w:p>
    <w:p w14:paraId="30F3CC24" w14:textId="77777777" w:rsidR="00220BC1" w:rsidRPr="003F1E17" w:rsidRDefault="00220BC1" w:rsidP="00220BC1">
      <w:pPr>
        <w:spacing w:line="360" w:lineRule="auto"/>
        <w:ind w:firstLine="432"/>
        <w:jc w:val="both"/>
        <w:rPr>
          <w:rFonts w:ascii="Book Antiqua" w:hAnsi="Book Antiqua"/>
          <w:szCs w:val="24"/>
          <w:lang w:val="es-PR"/>
        </w:rPr>
      </w:pPr>
      <w:r w:rsidRPr="003F1E17">
        <w:rPr>
          <w:rFonts w:ascii="Book Antiqua" w:hAnsi="Book Antiqua"/>
          <w:szCs w:val="24"/>
          <w:lang w:val="es-PR"/>
        </w:rPr>
        <w:t>El Proyecto del Senado 679 propone</w:t>
      </w:r>
      <w:r w:rsidRPr="003F1E17">
        <w:rPr>
          <w:rFonts w:ascii="Book Antiqua" w:hAnsi="Book Antiqua"/>
          <w:b/>
          <w:bCs/>
          <w:szCs w:val="24"/>
          <w:lang w:val="es-PR"/>
        </w:rPr>
        <w:t xml:space="preserve"> </w:t>
      </w:r>
      <w:r w:rsidRPr="003F1E17">
        <w:rPr>
          <w:rFonts w:ascii="Book Antiqua" w:hAnsi="Book Antiqua"/>
          <w:szCs w:val="24"/>
          <w:lang w:val="es-PR"/>
        </w:rPr>
        <w:t>crear la “</w:t>
      </w:r>
      <w:bookmarkStart w:id="1" w:name="_Hlk201934756"/>
      <w:r w:rsidRPr="003F1E17">
        <w:rPr>
          <w:rFonts w:ascii="Book Antiqua" w:hAnsi="Book Antiqua"/>
          <w:szCs w:val="24"/>
          <w:lang w:val="es-PR"/>
        </w:rPr>
        <w:t>Ley para</w:t>
      </w:r>
      <w:r>
        <w:rPr>
          <w:rFonts w:ascii="Book Antiqua" w:hAnsi="Book Antiqua"/>
          <w:szCs w:val="24"/>
          <w:lang w:val="es-PR"/>
        </w:rPr>
        <w:t xml:space="preserve"> la </w:t>
      </w:r>
      <w:r w:rsidRPr="003F1E17">
        <w:rPr>
          <w:rFonts w:ascii="Book Antiqua" w:hAnsi="Book Antiqua"/>
          <w:szCs w:val="24"/>
          <w:lang w:val="es-PR"/>
        </w:rPr>
        <w:t>Gestión de Fondos de Recuperación Destinados a la Compra de Viviendas y la Repoblación de Municipios</w:t>
      </w:r>
      <w:bookmarkEnd w:id="1"/>
      <w:r w:rsidRPr="003F1E17">
        <w:rPr>
          <w:rFonts w:ascii="Book Antiqua" w:hAnsi="Book Antiqua"/>
          <w:szCs w:val="24"/>
          <w:lang w:val="es-PR"/>
        </w:rPr>
        <w:t>”, a los fines de garantizar la adquisición de vivienda libre de discriminación para todas l</w:t>
      </w:r>
      <w:r>
        <w:rPr>
          <w:rFonts w:ascii="Book Antiqua" w:hAnsi="Book Antiqua"/>
          <w:szCs w:val="24"/>
          <w:lang w:val="es-PR"/>
        </w:rPr>
        <w:t>as</w:t>
      </w:r>
      <w:r w:rsidRPr="003F1E17">
        <w:rPr>
          <w:rFonts w:ascii="Book Antiqua" w:hAnsi="Book Antiqua"/>
          <w:szCs w:val="24"/>
          <w:lang w:val="es-PR"/>
        </w:rPr>
        <w:t xml:space="preserve"> personas participantes de los programas de recuperación tras desastres subsidiados con fondos federales, incluyendo la subvención en bloque para desarrollo comunitario por desastre (CDBG); estabilizar la población de los municipios durante los procesos de reconstrucción tras desastre; establecer las prácticas discriminatorias en el acceso a una vivienda que se pretenden erradicar; los mecanismos procesales para alcanzar los propósitos de la medida; enmendar la Sección 1022.04 de la Ley 1-2011, según enmendada, conocida como “Código de Rentas Internas para un Nuevo Puerto Rico”, a los fines de establecer la contribución sobre la ganancia de capital producto de la venta de una propiedad inmueble a una persona, que sea beneficiar</w:t>
      </w:r>
      <w:r>
        <w:rPr>
          <w:rFonts w:ascii="Book Antiqua" w:hAnsi="Book Antiqua"/>
          <w:szCs w:val="24"/>
          <w:lang w:val="es-PR"/>
        </w:rPr>
        <w:t xml:space="preserve">ia </w:t>
      </w:r>
      <w:r w:rsidRPr="003F1E17">
        <w:rPr>
          <w:rFonts w:ascii="Book Antiqua" w:hAnsi="Book Antiqua"/>
          <w:szCs w:val="24"/>
          <w:lang w:val="es-PR"/>
        </w:rPr>
        <w:t xml:space="preserve">de algún programa de </w:t>
      </w:r>
      <w:r w:rsidRPr="003F1E17">
        <w:rPr>
          <w:rFonts w:ascii="Book Antiqua" w:hAnsi="Book Antiqua"/>
          <w:szCs w:val="24"/>
          <w:lang w:val="es-PR"/>
        </w:rPr>
        <w:lastRenderedPageBreak/>
        <w:t>recuperación tras desastres subsidiados con fondos federales, incluyendo el programa de Subvención en Bloque para Desarrollo Comunitario por Desastre (CDBG, por sus siglas en inglés), y para otros fines relacionados.</w:t>
      </w:r>
    </w:p>
    <w:p w14:paraId="45914422" w14:textId="77777777" w:rsidR="000C58C8" w:rsidRPr="00AC03CD" w:rsidRDefault="000C58C8" w:rsidP="00DD47EF">
      <w:pPr>
        <w:pStyle w:val="BodyText"/>
        <w:spacing w:after="0"/>
        <w:ind w:firstLine="432"/>
        <w:jc w:val="both"/>
        <w:rPr>
          <w:rFonts w:ascii="Book Antiqua" w:hAnsi="Book Antiqua"/>
          <w:szCs w:val="24"/>
          <w:lang w:val="es-PR"/>
        </w:rPr>
      </w:pPr>
    </w:p>
    <w:bookmarkEnd w:id="0"/>
    <w:p w14:paraId="52AF3E0A" w14:textId="77777777" w:rsidR="003453A5" w:rsidRPr="00AC03CD" w:rsidRDefault="008E0AB0" w:rsidP="00DD47EF">
      <w:pPr>
        <w:spacing w:line="360" w:lineRule="auto"/>
        <w:jc w:val="center"/>
        <w:rPr>
          <w:rFonts w:ascii="Book Antiqua" w:hAnsi="Book Antiqua"/>
          <w:b/>
          <w:bCs/>
          <w:szCs w:val="24"/>
          <w:lang w:val="es-ES_tradnl"/>
        </w:rPr>
      </w:pPr>
      <w:r w:rsidRPr="00AC03CD">
        <w:rPr>
          <w:rFonts w:ascii="Book Antiqua" w:hAnsi="Book Antiqua"/>
          <w:b/>
          <w:bCs/>
          <w:szCs w:val="24"/>
          <w:lang w:val="es-ES_tradnl"/>
        </w:rPr>
        <w:t>INTRODUCCIÓN</w:t>
      </w:r>
    </w:p>
    <w:p w14:paraId="7F334477" w14:textId="77777777" w:rsidR="00E708D0" w:rsidRPr="00AC03CD" w:rsidRDefault="00E708D0" w:rsidP="006F5D0B">
      <w:pPr>
        <w:spacing w:line="360" w:lineRule="auto"/>
        <w:ind w:firstLine="432"/>
        <w:jc w:val="both"/>
        <w:rPr>
          <w:rFonts w:ascii="Book Antiqua" w:hAnsi="Book Antiqua"/>
          <w:szCs w:val="24"/>
          <w:lang w:val="es-PR"/>
        </w:rPr>
      </w:pPr>
      <w:r w:rsidRPr="00AC03CD">
        <w:rPr>
          <w:rFonts w:ascii="Book Antiqua" w:hAnsi="Book Antiqua"/>
          <w:szCs w:val="24"/>
          <w:lang w:val="es-PR"/>
        </w:rPr>
        <w:t>Según la exposición de motivos de la medida, el acceso a una vivienda segura y accesible constituye un derecho fundamental que, lamentablemente, sigue siendo inalcanzable para miles de familias puertorriqueñas. El texto expositivo resalta que solo el 54% de las familias en Puerto Rico cuentan con los ingresos necesarios para calificar para un préstamo hipotecario, cifra que ha disminuido significativamente desde el 62% registrado en 2010. Esta problemática ha sido agravada por desastres naturales como los huracanes Irma y María, la pandemia de COVID-19 y los terremotos, los cuales han profundizado las desigualdades sociales y económicas en la isla.</w:t>
      </w:r>
    </w:p>
    <w:p w14:paraId="6CD696EB" w14:textId="75792714" w:rsidR="00E708D0" w:rsidRPr="00AC03CD" w:rsidRDefault="00E708D0" w:rsidP="006F5D0B">
      <w:pPr>
        <w:spacing w:line="360" w:lineRule="auto"/>
        <w:ind w:firstLine="432"/>
        <w:jc w:val="both"/>
        <w:rPr>
          <w:rFonts w:ascii="Book Antiqua" w:hAnsi="Book Antiqua"/>
          <w:szCs w:val="24"/>
          <w:lang w:val="es-PR"/>
        </w:rPr>
      </w:pPr>
      <w:r w:rsidRPr="00AC03CD">
        <w:rPr>
          <w:rFonts w:ascii="Book Antiqua" w:hAnsi="Book Antiqua"/>
          <w:szCs w:val="24"/>
          <w:lang w:val="es-PR"/>
        </w:rPr>
        <w:t xml:space="preserve">Tal como reza la medida, tras estos eventos Puerto Rico recibió una asignación histórica de fondos federales a través del programa </w:t>
      </w:r>
      <w:proofErr w:type="spellStart"/>
      <w:r w:rsidRPr="00AC03CD">
        <w:rPr>
          <w:rFonts w:ascii="Book Antiqua" w:hAnsi="Book Antiqua"/>
          <w:szCs w:val="24"/>
          <w:lang w:val="es-PR"/>
        </w:rPr>
        <w:t>Community</w:t>
      </w:r>
      <w:proofErr w:type="spellEnd"/>
      <w:r w:rsidRPr="00AC03CD">
        <w:rPr>
          <w:rFonts w:ascii="Book Antiqua" w:hAnsi="Book Antiqua"/>
          <w:szCs w:val="24"/>
          <w:lang w:val="es-PR"/>
        </w:rPr>
        <w:t xml:space="preserve"> </w:t>
      </w:r>
      <w:proofErr w:type="spellStart"/>
      <w:r w:rsidRPr="00AC03CD">
        <w:rPr>
          <w:rFonts w:ascii="Book Antiqua" w:hAnsi="Book Antiqua"/>
          <w:szCs w:val="24"/>
          <w:lang w:val="es-PR"/>
        </w:rPr>
        <w:t>Development</w:t>
      </w:r>
      <w:proofErr w:type="spellEnd"/>
      <w:r w:rsidRPr="00AC03CD">
        <w:rPr>
          <w:rFonts w:ascii="Book Antiqua" w:hAnsi="Book Antiqua"/>
          <w:szCs w:val="24"/>
          <w:lang w:val="es-PR"/>
        </w:rPr>
        <w:t xml:space="preserve"> Block Grant-</w:t>
      </w:r>
      <w:proofErr w:type="spellStart"/>
      <w:r w:rsidRPr="00AC03CD">
        <w:rPr>
          <w:rFonts w:ascii="Book Antiqua" w:hAnsi="Book Antiqua"/>
          <w:szCs w:val="24"/>
          <w:lang w:val="es-PR"/>
        </w:rPr>
        <w:t>Disaster</w:t>
      </w:r>
      <w:proofErr w:type="spellEnd"/>
      <w:r w:rsidRPr="00AC03CD">
        <w:rPr>
          <w:rFonts w:ascii="Book Antiqua" w:hAnsi="Book Antiqua"/>
          <w:szCs w:val="24"/>
          <w:lang w:val="es-PR"/>
        </w:rPr>
        <w:t xml:space="preserve"> </w:t>
      </w:r>
      <w:proofErr w:type="spellStart"/>
      <w:r w:rsidRPr="00AC03CD">
        <w:rPr>
          <w:rFonts w:ascii="Book Antiqua" w:hAnsi="Book Antiqua"/>
          <w:szCs w:val="24"/>
          <w:lang w:val="es-PR"/>
        </w:rPr>
        <w:t>Recovery</w:t>
      </w:r>
      <w:proofErr w:type="spellEnd"/>
      <w:r w:rsidRPr="00AC03CD">
        <w:rPr>
          <w:rFonts w:ascii="Book Antiqua" w:hAnsi="Book Antiqua"/>
          <w:szCs w:val="24"/>
          <w:lang w:val="es-PR"/>
        </w:rPr>
        <w:t xml:space="preserve"> (CDBG-DR), cuyo objetivo principal es la reparación, reconstrucción y reubicación de viviendas en zonas seguras. Sin embargo, a pesar de haberse asignado $2,175 millones para estas necesidades a través del Programa de Reparación, Reconstrucción y Reubicación (R3), el 66% de las familias beneficiarias no han logrado adquirir viviendas principalmente por el rechazo explícito de vendedores a aceptar vales federales como método de pago, perpetuando así ciclos de desigualdad. Señala el texto expositivo que esta práctica discriminatoria se basa en prejuicios sobre los procesos administrativos y en la falta de información sobre la garantía financiera que ofrecen estos fondos.</w:t>
      </w:r>
    </w:p>
    <w:p w14:paraId="7F68A1CA" w14:textId="6105E5D7" w:rsidR="00E708D0" w:rsidRPr="00AC03CD" w:rsidRDefault="00CD1472" w:rsidP="006F5D0B">
      <w:pPr>
        <w:spacing w:line="360" w:lineRule="auto"/>
        <w:ind w:firstLine="432"/>
        <w:jc w:val="both"/>
        <w:rPr>
          <w:rFonts w:ascii="Book Antiqua" w:hAnsi="Book Antiqua"/>
          <w:szCs w:val="24"/>
          <w:lang w:val="es-PR"/>
        </w:rPr>
      </w:pPr>
      <w:r w:rsidRPr="00AC03CD">
        <w:rPr>
          <w:rFonts w:ascii="Book Antiqua" w:hAnsi="Book Antiqua"/>
          <w:szCs w:val="24"/>
          <w:lang w:val="es-PR"/>
        </w:rPr>
        <w:t xml:space="preserve">A su vez, </w:t>
      </w:r>
      <w:r w:rsidR="00E708D0" w:rsidRPr="00AC03CD">
        <w:rPr>
          <w:rFonts w:ascii="Book Antiqua" w:hAnsi="Book Antiqua"/>
          <w:szCs w:val="24"/>
          <w:lang w:val="es-PR"/>
        </w:rPr>
        <w:t xml:space="preserve">subraya </w:t>
      </w:r>
      <w:r w:rsidR="003518F1" w:rsidRPr="00AC03CD">
        <w:rPr>
          <w:rFonts w:ascii="Book Antiqua" w:hAnsi="Book Antiqua"/>
          <w:szCs w:val="24"/>
          <w:lang w:val="es-PR"/>
        </w:rPr>
        <w:t xml:space="preserve">la exposición de motivos de la medida </w:t>
      </w:r>
      <w:r w:rsidR="00E708D0" w:rsidRPr="00AC03CD">
        <w:rPr>
          <w:rFonts w:ascii="Book Antiqua" w:hAnsi="Book Antiqua"/>
          <w:szCs w:val="24"/>
          <w:lang w:val="es-PR"/>
        </w:rPr>
        <w:t xml:space="preserve">que la discriminación basada en la fuente de fondos constituye una barrera injustificada que socava los objetivos del programa CDBG-DR y pone en riesgo el uso efectivo de los recursos asignados. Además, destaca que estos fondos federales tienen un plazo definido, ya que </w:t>
      </w:r>
      <w:r w:rsidR="00E708D0" w:rsidRPr="00AC03CD">
        <w:rPr>
          <w:rFonts w:ascii="Book Antiqua" w:hAnsi="Book Antiqua"/>
          <w:szCs w:val="24"/>
          <w:lang w:val="es-PR"/>
        </w:rPr>
        <w:lastRenderedPageBreak/>
        <w:t xml:space="preserve">estarán disponibles únicamente hasta el año 2029, acentuando la urgencia de intervención legislativa. La medida también detalla cómo el éxodo poblacional y la caída de la base contributiva debilitan a los municipios, y remite a lecciones internacionales donde la implementación de salvaguardas legales logró un aumento significativo en el éxito de reubicaciones </w:t>
      </w:r>
      <w:proofErr w:type="spellStart"/>
      <w:r w:rsidR="00E708D0" w:rsidRPr="00AC03CD">
        <w:rPr>
          <w:rFonts w:ascii="Book Antiqua" w:hAnsi="Book Antiqua"/>
          <w:szCs w:val="24"/>
          <w:lang w:val="es-PR"/>
        </w:rPr>
        <w:t>post-desastre</w:t>
      </w:r>
      <w:proofErr w:type="spellEnd"/>
      <w:r w:rsidR="00E708D0" w:rsidRPr="00AC03CD">
        <w:rPr>
          <w:rFonts w:ascii="Book Antiqua" w:hAnsi="Book Antiqua"/>
          <w:szCs w:val="24"/>
          <w:lang w:val="es-PR"/>
        </w:rPr>
        <w:t>.</w:t>
      </w:r>
    </w:p>
    <w:p w14:paraId="6C13BC4A" w14:textId="61C8AB15" w:rsidR="00E708D0" w:rsidRPr="00AC03CD" w:rsidRDefault="00E708D0" w:rsidP="006F5D0B">
      <w:pPr>
        <w:spacing w:line="360" w:lineRule="auto"/>
        <w:ind w:firstLine="432"/>
        <w:jc w:val="both"/>
        <w:rPr>
          <w:rFonts w:ascii="Book Antiqua" w:hAnsi="Book Antiqua"/>
          <w:szCs w:val="24"/>
          <w:lang w:val="es-PR"/>
        </w:rPr>
      </w:pPr>
      <w:r w:rsidRPr="00AC03CD">
        <w:rPr>
          <w:rFonts w:ascii="Book Antiqua" w:hAnsi="Book Antiqua"/>
          <w:szCs w:val="24"/>
          <w:lang w:val="es-PR"/>
        </w:rPr>
        <w:t xml:space="preserve">Por tanto, el propósito principal del </w:t>
      </w:r>
      <w:r w:rsidR="0039668F" w:rsidRPr="00AC03CD">
        <w:rPr>
          <w:rFonts w:ascii="Book Antiqua" w:hAnsi="Book Antiqua"/>
          <w:szCs w:val="24"/>
          <w:lang w:val="es-PR"/>
        </w:rPr>
        <w:t xml:space="preserve">P. del S. 679 </w:t>
      </w:r>
      <w:r w:rsidRPr="00AC03CD">
        <w:rPr>
          <w:rFonts w:ascii="Book Antiqua" w:hAnsi="Book Antiqua"/>
          <w:szCs w:val="24"/>
          <w:lang w:val="es-PR"/>
        </w:rPr>
        <w:t>es establecer salvaguardas para evitar el discrimen contra las personas que utilicen fondos provenientes de programas de asistencia gubernamental para adquirir una vivienda segura luego de que ocurra un desastre, reconociendo que la discriminación por el origen de los fondos atenta contra la recuperación socioeconómica de Puerto Rico y la dignidad de las personas sobrevivientes de desastres.</w:t>
      </w:r>
    </w:p>
    <w:p w14:paraId="4C2B511A" w14:textId="4B65B41F" w:rsidR="00E708D0" w:rsidRPr="00AC03CD" w:rsidRDefault="00E708D0" w:rsidP="006F5D0B">
      <w:pPr>
        <w:spacing w:line="360" w:lineRule="auto"/>
        <w:ind w:firstLine="432"/>
        <w:jc w:val="both"/>
        <w:rPr>
          <w:rFonts w:ascii="Book Antiqua" w:hAnsi="Book Antiqua"/>
          <w:szCs w:val="24"/>
          <w:lang w:val="es-PR"/>
        </w:rPr>
      </w:pPr>
      <w:r w:rsidRPr="00AC03CD">
        <w:rPr>
          <w:rFonts w:ascii="Book Antiqua" w:hAnsi="Book Antiqua"/>
          <w:szCs w:val="24"/>
          <w:lang w:val="es-PR"/>
        </w:rPr>
        <w:t xml:space="preserve">El </w:t>
      </w:r>
      <w:r w:rsidR="006D6C1C" w:rsidRPr="00AC03CD">
        <w:rPr>
          <w:rFonts w:ascii="Book Antiqua" w:hAnsi="Book Antiqua"/>
          <w:szCs w:val="24"/>
          <w:lang w:val="es-PR"/>
        </w:rPr>
        <w:t>P. del S. 679</w:t>
      </w:r>
      <w:r w:rsidRPr="00AC03CD">
        <w:rPr>
          <w:rFonts w:ascii="Book Antiqua" w:hAnsi="Book Antiqua"/>
          <w:szCs w:val="24"/>
          <w:lang w:val="es-PR"/>
        </w:rPr>
        <w:t xml:space="preserve"> articula la prohibición expresa de prácticas discriminatorias en el mercado de vivienda cuando se trate de participantes de</w:t>
      </w:r>
      <w:r w:rsidR="0039668F">
        <w:rPr>
          <w:rFonts w:ascii="Book Antiqua" w:hAnsi="Book Antiqua"/>
          <w:szCs w:val="24"/>
          <w:lang w:val="es-PR"/>
        </w:rPr>
        <w:t xml:space="preserve"> </w:t>
      </w:r>
      <w:r w:rsidRPr="00AC03CD">
        <w:rPr>
          <w:rFonts w:ascii="Book Antiqua" w:hAnsi="Book Antiqua"/>
          <w:szCs w:val="24"/>
          <w:lang w:val="es-PR"/>
        </w:rPr>
        <w:t>programa</w:t>
      </w:r>
      <w:r w:rsidR="0039668F">
        <w:rPr>
          <w:rFonts w:ascii="Book Antiqua" w:hAnsi="Book Antiqua"/>
          <w:szCs w:val="24"/>
          <w:lang w:val="es-PR"/>
        </w:rPr>
        <w:t>s federales</w:t>
      </w:r>
      <w:r w:rsidRPr="00AC03CD">
        <w:rPr>
          <w:rFonts w:ascii="Book Antiqua" w:hAnsi="Book Antiqua"/>
          <w:szCs w:val="24"/>
          <w:lang w:val="es-PR"/>
        </w:rPr>
        <w:t xml:space="preserve"> </w:t>
      </w:r>
      <w:r w:rsidR="0039668F">
        <w:rPr>
          <w:rFonts w:ascii="Book Antiqua" w:hAnsi="Book Antiqua"/>
          <w:szCs w:val="24"/>
          <w:lang w:val="es-PR"/>
        </w:rPr>
        <w:t xml:space="preserve">de recuperación </w:t>
      </w:r>
      <w:proofErr w:type="spellStart"/>
      <w:r w:rsidR="0039668F">
        <w:rPr>
          <w:rFonts w:ascii="Book Antiqua" w:hAnsi="Book Antiqua"/>
          <w:szCs w:val="24"/>
          <w:lang w:val="es-PR"/>
        </w:rPr>
        <w:t>post-desastre</w:t>
      </w:r>
      <w:proofErr w:type="spellEnd"/>
      <w:r w:rsidRPr="00AC03CD">
        <w:rPr>
          <w:rFonts w:ascii="Book Antiqua" w:hAnsi="Book Antiqua"/>
          <w:szCs w:val="24"/>
          <w:lang w:val="es-PR"/>
        </w:rPr>
        <w:t xml:space="preserve">, establece un </w:t>
      </w:r>
      <w:r w:rsidR="00AF606B" w:rsidRPr="00AC03CD">
        <w:rPr>
          <w:rFonts w:ascii="Book Antiqua" w:hAnsi="Book Antiqua"/>
          <w:szCs w:val="24"/>
          <w:lang w:val="es-PR"/>
        </w:rPr>
        <w:t>procedimiento</w:t>
      </w:r>
      <w:r w:rsidRPr="00AC03CD">
        <w:rPr>
          <w:rFonts w:ascii="Book Antiqua" w:hAnsi="Book Antiqua"/>
          <w:szCs w:val="24"/>
          <w:lang w:val="es-PR"/>
        </w:rPr>
        <w:t xml:space="preserve"> claro </w:t>
      </w:r>
      <w:r w:rsidR="00AF606B" w:rsidRPr="00AC03CD">
        <w:rPr>
          <w:rFonts w:ascii="Book Antiqua" w:hAnsi="Book Antiqua"/>
          <w:szCs w:val="24"/>
          <w:lang w:val="es-PR"/>
        </w:rPr>
        <w:t>para el referido de</w:t>
      </w:r>
      <w:r w:rsidRPr="00AC03CD">
        <w:rPr>
          <w:rFonts w:ascii="Book Antiqua" w:hAnsi="Book Antiqua"/>
          <w:szCs w:val="24"/>
          <w:lang w:val="es-PR"/>
        </w:rPr>
        <w:t xml:space="preserve"> querellas por violaciones, y crea un incentivo contributivo especial de solo 2% sobre la ganancia de capital para ventas de propiedades a beneficiarios de programas de recuperación, incentivando así la colaboración del sector privado en la reconstrucción y repoblación segura de los municipios de Puerto Rico. </w:t>
      </w:r>
    </w:p>
    <w:p w14:paraId="64BDE992" w14:textId="77777777" w:rsidR="000C58C8" w:rsidRPr="00AC03CD" w:rsidRDefault="000C58C8" w:rsidP="001247B6">
      <w:pPr>
        <w:ind w:firstLine="432"/>
        <w:jc w:val="both"/>
        <w:rPr>
          <w:rFonts w:ascii="Book Antiqua" w:hAnsi="Book Antiqua"/>
          <w:szCs w:val="24"/>
          <w:lang w:val="es-PR"/>
        </w:rPr>
      </w:pPr>
    </w:p>
    <w:p w14:paraId="0A724318" w14:textId="2841F631" w:rsidR="00BB5861" w:rsidRPr="00AC03CD" w:rsidRDefault="00BB5861" w:rsidP="00DD47EF">
      <w:pPr>
        <w:spacing w:line="360" w:lineRule="auto"/>
        <w:jc w:val="center"/>
        <w:rPr>
          <w:rFonts w:ascii="Book Antiqua" w:hAnsi="Book Antiqua"/>
          <w:b/>
          <w:bCs/>
          <w:szCs w:val="24"/>
          <w:lang w:val="es-PR"/>
        </w:rPr>
      </w:pPr>
      <w:r w:rsidRPr="00AC03CD">
        <w:rPr>
          <w:rFonts w:ascii="Book Antiqua" w:hAnsi="Book Antiqua"/>
          <w:b/>
          <w:bCs/>
          <w:szCs w:val="24"/>
          <w:lang w:val="es-PR"/>
        </w:rPr>
        <w:t>ANÁLISIS</w:t>
      </w:r>
      <w:r w:rsidR="00CC39FF" w:rsidRPr="00AC03CD">
        <w:rPr>
          <w:rFonts w:ascii="Book Antiqua" w:hAnsi="Book Antiqua"/>
          <w:b/>
          <w:bCs/>
          <w:szCs w:val="24"/>
          <w:lang w:val="es-PR"/>
        </w:rPr>
        <w:t xml:space="preserve"> Y DISCUSIÓN</w:t>
      </w:r>
    </w:p>
    <w:p w14:paraId="520002F4" w14:textId="5C75BC0A" w:rsidR="002A7364" w:rsidRPr="00AC03CD" w:rsidRDefault="0046670C" w:rsidP="006F5D0B">
      <w:pPr>
        <w:spacing w:line="360" w:lineRule="auto"/>
        <w:jc w:val="both"/>
        <w:rPr>
          <w:rFonts w:ascii="Book Antiqua" w:hAnsi="Book Antiqua"/>
          <w:szCs w:val="24"/>
          <w:lang w:val="es-ES_tradnl"/>
        </w:rPr>
      </w:pPr>
      <w:r w:rsidRPr="00AC03CD">
        <w:rPr>
          <w:rFonts w:ascii="Book Antiqua" w:hAnsi="Book Antiqua"/>
          <w:szCs w:val="24"/>
          <w:lang w:val="es-ES_tradnl"/>
        </w:rPr>
        <w:tab/>
      </w:r>
      <w:r w:rsidR="0046198D" w:rsidRPr="00AC03CD">
        <w:rPr>
          <w:rFonts w:ascii="Book Antiqua" w:hAnsi="Book Antiqua"/>
          <w:szCs w:val="24"/>
          <w:lang w:val="es-PR"/>
        </w:rPr>
        <w:t>La</w:t>
      </w:r>
      <w:r w:rsidR="00DD47EF">
        <w:rPr>
          <w:rFonts w:ascii="Book Antiqua" w:hAnsi="Book Antiqua"/>
          <w:szCs w:val="24"/>
          <w:lang w:val="es-PR"/>
        </w:rPr>
        <w:t>s</w:t>
      </w:r>
      <w:r w:rsidR="0046198D" w:rsidRPr="00AC03CD">
        <w:rPr>
          <w:rFonts w:ascii="Book Antiqua" w:hAnsi="Book Antiqua"/>
          <w:szCs w:val="24"/>
          <w:lang w:val="es-PR"/>
        </w:rPr>
        <w:t xml:space="preserve"> Comisi</w:t>
      </w:r>
      <w:r w:rsidR="00DD47EF">
        <w:rPr>
          <w:rFonts w:ascii="Book Antiqua" w:hAnsi="Book Antiqua"/>
          <w:szCs w:val="24"/>
          <w:lang w:val="es-PR"/>
        </w:rPr>
        <w:t>ones</w:t>
      </w:r>
      <w:r w:rsidR="0046198D" w:rsidRPr="00AC03CD">
        <w:rPr>
          <w:rFonts w:ascii="Book Antiqua" w:hAnsi="Book Antiqua"/>
          <w:szCs w:val="24"/>
          <w:lang w:val="es-PR"/>
        </w:rPr>
        <w:t xml:space="preserve"> de Relaciones Federales y Viabilización del Mandato del Pueblo para la Solución del Estatus del Senado</w:t>
      </w:r>
      <w:r w:rsidR="00DD47EF">
        <w:rPr>
          <w:rFonts w:ascii="Book Antiqua" w:hAnsi="Book Antiqua"/>
          <w:szCs w:val="24"/>
          <w:lang w:val="es-PR"/>
        </w:rPr>
        <w:t>; y de Vivienda y Bienestar Social del Senado</w:t>
      </w:r>
      <w:r w:rsidR="00C9577F" w:rsidRPr="00AC03CD">
        <w:rPr>
          <w:rFonts w:ascii="Book Antiqua" w:hAnsi="Book Antiqua"/>
          <w:szCs w:val="24"/>
          <w:lang w:val="es-ES_tradnl"/>
        </w:rPr>
        <w:t xml:space="preserve">, </w:t>
      </w:r>
      <w:r w:rsidR="00C15CE7" w:rsidRPr="00AC03CD">
        <w:rPr>
          <w:rFonts w:ascii="Book Antiqua" w:hAnsi="Book Antiqua"/>
          <w:szCs w:val="24"/>
          <w:lang w:val="es-ES_tradnl"/>
        </w:rPr>
        <w:t>solicit</w:t>
      </w:r>
      <w:r w:rsidR="00DD47EF">
        <w:rPr>
          <w:rFonts w:ascii="Book Antiqua" w:hAnsi="Book Antiqua"/>
          <w:szCs w:val="24"/>
          <w:lang w:val="es-ES_tradnl"/>
        </w:rPr>
        <w:t>aron y obtuvieron</w:t>
      </w:r>
      <w:r w:rsidR="00C15CE7" w:rsidRPr="00AC03CD">
        <w:rPr>
          <w:rFonts w:ascii="Book Antiqua" w:hAnsi="Book Antiqua"/>
          <w:szCs w:val="24"/>
          <w:lang w:val="es-ES_tradnl"/>
        </w:rPr>
        <w:t xml:space="preserve"> </w:t>
      </w:r>
      <w:r w:rsidR="00E708D0" w:rsidRPr="00AC03CD">
        <w:rPr>
          <w:rFonts w:ascii="Book Antiqua" w:hAnsi="Book Antiqua"/>
          <w:szCs w:val="24"/>
          <w:lang w:val="es-ES_tradnl"/>
        </w:rPr>
        <w:t xml:space="preserve">memoriales explicativos y </w:t>
      </w:r>
      <w:r w:rsidR="00E708D0" w:rsidRPr="005647A7">
        <w:rPr>
          <w:rFonts w:ascii="Book Antiqua" w:hAnsi="Book Antiqua"/>
          <w:szCs w:val="24"/>
          <w:lang w:val="es-ES_tradnl"/>
        </w:rPr>
        <w:t xml:space="preserve">ponencias al </w:t>
      </w:r>
      <w:bookmarkStart w:id="2" w:name="_Hlk209084671"/>
      <w:r w:rsidR="00E708D0" w:rsidRPr="005647A7">
        <w:rPr>
          <w:rFonts w:ascii="Book Antiqua" w:hAnsi="Book Antiqua"/>
          <w:szCs w:val="24"/>
          <w:lang w:val="es-ES_tradnl"/>
        </w:rPr>
        <w:t xml:space="preserve">Departamento de la Vivienda, </w:t>
      </w:r>
      <w:bookmarkStart w:id="3" w:name="_Hlk205284051"/>
      <w:r w:rsidR="00E708D0" w:rsidRPr="005647A7">
        <w:rPr>
          <w:rFonts w:ascii="Book Antiqua" w:hAnsi="Book Antiqua"/>
          <w:szCs w:val="24"/>
          <w:lang w:val="es-ES_tradnl"/>
        </w:rPr>
        <w:t xml:space="preserve">Asociación de </w:t>
      </w:r>
      <w:proofErr w:type="gramStart"/>
      <w:r w:rsidR="00E708D0" w:rsidRPr="005647A7">
        <w:rPr>
          <w:rFonts w:ascii="Book Antiqua" w:hAnsi="Book Antiqua"/>
          <w:szCs w:val="24"/>
          <w:lang w:val="es-ES_tradnl"/>
        </w:rPr>
        <w:t>Alcaldes</w:t>
      </w:r>
      <w:proofErr w:type="gramEnd"/>
      <w:r w:rsidR="00E708D0" w:rsidRPr="005647A7">
        <w:rPr>
          <w:rFonts w:ascii="Book Antiqua" w:hAnsi="Book Antiqua"/>
          <w:szCs w:val="24"/>
          <w:lang w:val="es-ES_tradnl"/>
        </w:rPr>
        <w:t>, Departamento de Hacienda, Oficina de Gerencia y Presupuesto</w:t>
      </w:r>
      <w:r w:rsidR="00825A3B">
        <w:rPr>
          <w:rFonts w:ascii="Book Antiqua" w:hAnsi="Book Antiqua"/>
          <w:szCs w:val="24"/>
          <w:lang w:val="es-ES_tradnl"/>
        </w:rPr>
        <w:t xml:space="preserve"> (OGP)</w:t>
      </w:r>
      <w:r w:rsidR="00E708D0" w:rsidRPr="005647A7">
        <w:rPr>
          <w:rFonts w:ascii="Book Antiqua" w:hAnsi="Book Antiqua"/>
          <w:szCs w:val="24"/>
          <w:lang w:val="es-ES_tradnl"/>
        </w:rPr>
        <w:t xml:space="preserve">, Autoridad de Asesoría Financiera y Agencia Fiscal de Puerto Rico </w:t>
      </w:r>
      <w:r w:rsidR="00825A3B">
        <w:rPr>
          <w:rFonts w:ascii="Book Antiqua" w:hAnsi="Book Antiqua"/>
          <w:szCs w:val="24"/>
          <w:lang w:val="es-ES_tradnl"/>
        </w:rPr>
        <w:t xml:space="preserve">(AAFAF) </w:t>
      </w:r>
      <w:r w:rsidR="00E708D0" w:rsidRPr="005647A7">
        <w:rPr>
          <w:rFonts w:ascii="Book Antiqua" w:hAnsi="Book Antiqua"/>
          <w:szCs w:val="24"/>
          <w:lang w:val="es-ES_tradnl"/>
        </w:rPr>
        <w:t xml:space="preserve">y Asociación de </w:t>
      </w:r>
      <w:proofErr w:type="spellStart"/>
      <w:r w:rsidR="00E708D0" w:rsidRPr="005647A7">
        <w:rPr>
          <w:rFonts w:ascii="Book Antiqua" w:hAnsi="Book Antiqua"/>
          <w:szCs w:val="24"/>
          <w:lang w:val="es-ES_tradnl"/>
        </w:rPr>
        <w:t>Realtors</w:t>
      </w:r>
      <w:bookmarkEnd w:id="2"/>
      <w:proofErr w:type="spellEnd"/>
      <w:r w:rsidR="00E708D0" w:rsidRPr="005647A7">
        <w:rPr>
          <w:rFonts w:ascii="Book Antiqua" w:hAnsi="Book Antiqua"/>
          <w:szCs w:val="24"/>
          <w:lang w:val="es-ES_tradnl"/>
        </w:rPr>
        <w:t xml:space="preserve">. </w:t>
      </w:r>
      <w:bookmarkEnd w:id="3"/>
      <w:r w:rsidR="00E708D0" w:rsidRPr="00AC03CD">
        <w:rPr>
          <w:rFonts w:ascii="Book Antiqua" w:hAnsi="Book Antiqua"/>
          <w:szCs w:val="24"/>
          <w:lang w:val="es-ES_tradnl"/>
        </w:rPr>
        <w:t>Al momento de la redacción de este informe no se ha</w:t>
      </w:r>
      <w:r w:rsidR="00825A3B">
        <w:rPr>
          <w:rFonts w:ascii="Book Antiqua" w:hAnsi="Book Antiqua"/>
          <w:szCs w:val="24"/>
          <w:lang w:val="es-ES_tradnl"/>
        </w:rPr>
        <w:t>n</w:t>
      </w:r>
      <w:r w:rsidR="00E708D0" w:rsidRPr="00AC03CD">
        <w:rPr>
          <w:rFonts w:ascii="Book Antiqua" w:hAnsi="Book Antiqua"/>
          <w:szCs w:val="24"/>
          <w:lang w:val="es-ES_tradnl"/>
        </w:rPr>
        <w:t xml:space="preserve"> recibido memorial</w:t>
      </w:r>
      <w:r w:rsidR="00825A3B">
        <w:rPr>
          <w:rFonts w:ascii="Book Antiqua" w:hAnsi="Book Antiqua"/>
          <w:szCs w:val="24"/>
          <w:lang w:val="es-ES_tradnl"/>
        </w:rPr>
        <w:t xml:space="preserve">es </w:t>
      </w:r>
      <w:r w:rsidR="00E708D0" w:rsidRPr="00AC03CD">
        <w:rPr>
          <w:rFonts w:ascii="Book Antiqua" w:hAnsi="Book Antiqua"/>
          <w:szCs w:val="24"/>
          <w:lang w:val="es-ES_tradnl"/>
        </w:rPr>
        <w:t>explicativo</w:t>
      </w:r>
      <w:r w:rsidR="00825A3B">
        <w:rPr>
          <w:rFonts w:ascii="Book Antiqua" w:hAnsi="Book Antiqua"/>
          <w:szCs w:val="24"/>
          <w:lang w:val="es-ES_tradnl"/>
        </w:rPr>
        <w:t>s</w:t>
      </w:r>
      <w:r w:rsidR="00E708D0" w:rsidRPr="00AC03CD">
        <w:rPr>
          <w:rFonts w:ascii="Book Antiqua" w:hAnsi="Book Antiqua"/>
          <w:szCs w:val="24"/>
          <w:lang w:val="es-ES_tradnl"/>
        </w:rPr>
        <w:t xml:space="preserve"> de</w:t>
      </w:r>
      <w:r w:rsidR="00695713" w:rsidRPr="00AC03CD">
        <w:rPr>
          <w:rFonts w:ascii="Book Antiqua" w:hAnsi="Book Antiqua"/>
          <w:szCs w:val="24"/>
          <w:lang w:val="es-ES_tradnl"/>
        </w:rPr>
        <w:t xml:space="preserve"> la</w:t>
      </w:r>
      <w:r w:rsidR="00E708D0" w:rsidRPr="00AC03CD">
        <w:rPr>
          <w:rFonts w:ascii="Book Antiqua" w:hAnsi="Book Antiqua"/>
          <w:szCs w:val="24"/>
          <w:lang w:val="es-ES_tradnl"/>
        </w:rPr>
        <w:t xml:space="preserve"> Federación de </w:t>
      </w:r>
      <w:proofErr w:type="gramStart"/>
      <w:r w:rsidR="00E708D0" w:rsidRPr="00AC03CD">
        <w:rPr>
          <w:rFonts w:ascii="Book Antiqua" w:hAnsi="Book Antiqua"/>
          <w:szCs w:val="24"/>
          <w:lang w:val="es-ES_tradnl"/>
        </w:rPr>
        <w:t>Alcaldes</w:t>
      </w:r>
      <w:proofErr w:type="gramEnd"/>
      <w:r w:rsidR="00825A3B">
        <w:rPr>
          <w:rFonts w:ascii="Book Antiqua" w:hAnsi="Book Antiqua"/>
          <w:szCs w:val="24"/>
          <w:lang w:val="es-ES_tradnl"/>
        </w:rPr>
        <w:t xml:space="preserve"> y la Oficina de Presupuesto de la Asamblea Legislativa (OPAL)</w:t>
      </w:r>
      <w:r w:rsidR="0039668F">
        <w:rPr>
          <w:rFonts w:ascii="Book Antiqua" w:hAnsi="Book Antiqua"/>
          <w:szCs w:val="24"/>
          <w:lang w:val="es-ES_tradnl"/>
        </w:rPr>
        <w:t>.</w:t>
      </w:r>
    </w:p>
    <w:p w14:paraId="3AF8933B" w14:textId="77777777" w:rsidR="0061060A" w:rsidRPr="00AC03CD" w:rsidRDefault="0061060A" w:rsidP="006F5D0B">
      <w:pPr>
        <w:jc w:val="both"/>
        <w:rPr>
          <w:rFonts w:ascii="Book Antiqua" w:hAnsi="Book Antiqua"/>
          <w:szCs w:val="24"/>
          <w:lang w:val="es-ES_tradnl"/>
        </w:rPr>
      </w:pPr>
    </w:p>
    <w:p w14:paraId="5567ECF2" w14:textId="2919CF48" w:rsidR="004C0161" w:rsidRPr="00AC03CD" w:rsidRDefault="004C0161" w:rsidP="00DD47EF">
      <w:pPr>
        <w:pStyle w:val="ListParagraph"/>
        <w:numPr>
          <w:ilvl w:val="0"/>
          <w:numId w:val="11"/>
        </w:numPr>
        <w:spacing w:after="0" w:line="360" w:lineRule="auto"/>
        <w:jc w:val="both"/>
        <w:rPr>
          <w:rFonts w:ascii="Book Antiqua" w:hAnsi="Book Antiqua"/>
          <w:b/>
          <w:bCs/>
          <w:lang w:val="es-PR"/>
        </w:rPr>
      </w:pPr>
      <w:r w:rsidRPr="00AC03CD">
        <w:rPr>
          <w:rFonts w:ascii="Book Antiqua" w:hAnsi="Book Antiqua"/>
          <w:b/>
          <w:bCs/>
          <w:lang w:val="es-PR"/>
        </w:rPr>
        <w:t xml:space="preserve">Departamento de </w:t>
      </w:r>
      <w:r w:rsidR="001B12C5" w:rsidRPr="00AC03CD">
        <w:rPr>
          <w:rFonts w:ascii="Book Antiqua" w:hAnsi="Book Antiqua"/>
          <w:b/>
          <w:bCs/>
          <w:lang w:val="es-PR"/>
        </w:rPr>
        <w:t>la Vivienda de Puerto Rico</w:t>
      </w:r>
    </w:p>
    <w:p w14:paraId="7D42246A" w14:textId="1C0B055D" w:rsidR="001B12C5" w:rsidRPr="00AC03CD" w:rsidRDefault="001B12C5" w:rsidP="006F5D0B">
      <w:pPr>
        <w:spacing w:line="360" w:lineRule="auto"/>
        <w:ind w:firstLine="360"/>
        <w:jc w:val="both"/>
        <w:rPr>
          <w:rFonts w:ascii="Book Antiqua" w:hAnsi="Book Antiqua"/>
          <w:szCs w:val="24"/>
          <w:lang w:val="es-PR"/>
        </w:rPr>
      </w:pPr>
      <w:bookmarkStart w:id="4" w:name="_Hlk205284439"/>
      <w:r w:rsidRPr="00AC03CD">
        <w:rPr>
          <w:rFonts w:ascii="Book Antiqua" w:hAnsi="Book Antiqua"/>
          <w:szCs w:val="24"/>
          <w:lang w:val="es-PR"/>
        </w:rPr>
        <w:t xml:space="preserve">El Departamento de la Vivienda del Gobierno de Puerto Rico </w:t>
      </w:r>
      <w:r w:rsidR="00CE7D74" w:rsidRPr="00AC03CD">
        <w:rPr>
          <w:rFonts w:ascii="Book Antiqua" w:hAnsi="Book Antiqua"/>
          <w:szCs w:val="24"/>
          <w:lang w:val="es-PR"/>
        </w:rPr>
        <w:t xml:space="preserve">presentó un memorial explicativo, suscrito por su </w:t>
      </w:r>
      <w:proofErr w:type="gramStart"/>
      <w:r w:rsidR="00CE7D74" w:rsidRPr="00AC03CD">
        <w:rPr>
          <w:rFonts w:ascii="Book Antiqua" w:hAnsi="Book Antiqua"/>
          <w:szCs w:val="24"/>
          <w:lang w:val="es-PR"/>
        </w:rPr>
        <w:t>Secretaria</w:t>
      </w:r>
      <w:proofErr w:type="gramEnd"/>
      <w:r w:rsidR="00CE7D74" w:rsidRPr="00AC03CD">
        <w:rPr>
          <w:rFonts w:ascii="Book Antiqua" w:hAnsi="Book Antiqua"/>
          <w:szCs w:val="24"/>
          <w:lang w:val="es-PR"/>
        </w:rPr>
        <w:t xml:space="preserve">, </w:t>
      </w:r>
      <w:proofErr w:type="spellStart"/>
      <w:r w:rsidR="00CE7D74" w:rsidRPr="00AC03CD">
        <w:rPr>
          <w:rFonts w:ascii="Book Antiqua" w:hAnsi="Book Antiqua"/>
          <w:szCs w:val="24"/>
          <w:lang w:val="es-PR"/>
        </w:rPr>
        <w:t>Ciary</w:t>
      </w:r>
      <w:proofErr w:type="spellEnd"/>
      <w:r w:rsidR="00CE7D74" w:rsidRPr="00AC03CD">
        <w:rPr>
          <w:rFonts w:ascii="Book Antiqua" w:hAnsi="Book Antiqua"/>
          <w:szCs w:val="24"/>
          <w:lang w:val="es-PR"/>
        </w:rPr>
        <w:t xml:space="preserve"> Y. Pérez </w:t>
      </w:r>
      <w:r w:rsidR="00610CA4" w:rsidRPr="00AC03CD">
        <w:rPr>
          <w:rFonts w:ascii="Book Antiqua" w:hAnsi="Book Antiqua"/>
          <w:szCs w:val="24"/>
          <w:lang w:val="es-PR"/>
        </w:rPr>
        <w:t>Peña, en</w:t>
      </w:r>
      <w:r w:rsidR="00D94CB1" w:rsidRPr="00AC03CD">
        <w:rPr>
          <w:rFonts w:ascii="Book Antiqua" w:hAnsi="Book Antiqua"/>
          <w:szCs w:val="24"/>
          <w:lang w:val="es-PR"/>
        </w:rPr>
        <w:t xml:space="preserve"> el que expresó que la </w:t>
      </w:r>
      <w:r w:rsidRPr="00AC03CD">
        <w:rPr>
          <w:rFonts w:ascii="Book Antiqua" w:hAnsi="Book Antiqua"/>
          <w:szCs w:val="24"/>
          <w:lang w:val="es-PR"/>
        </w:rPr>
        <w:t>medida procura garantizar el acceso equitativo y libre de discriminación a viviendas para participantes de programas de recuperación tras desastres financiados con fondos federales, incluyendo CDBG-DR y CDBG-MIT. Además, persigue estabilizar la población en municipios afectados por desastres y establecer mecanismos procesales para erradicar prácticas discriminatorias en el acceso a la vivienda.</w:t>
      </w:r>
    </w:p>
    <w:p w14:paraId="6D7BFEF3" w14:textId="63AB522F" w:rsidR="001B12C5" w:rsidRPr="00AC03CD" w:rsidRDefault="001B12C5" w:rsidP="006F5D0B">
      <w:pPr>
        <w:spacing w:line="360" w:lineRule="auto"/>
        <w:ind w:firstLine="360"/>
        <w:jc w:val="both"/>
        <w:rPr>
          <w:rFonts w:ascii="Book Antiqua" w:hAnsi="Book Antiqua"/>
          <w:szCs w:val="24"/>
          <w:lang w:val="es-PR"/>
        </w:rPr>
      </w:pPr>
      <w:r w:rsidRPr="00AC03CD">
        <w:rPr>
          <w:rFonts w:ascii="Book Antiqua" w:hAnsi="Book Antiqua"/>
          <w:szCs w:val="24"/>
          <w:lang w:val="es-PR"/>
        </w:rPr>
        <w:t>El mem</w:t>
      </w:r>
      <w:r w:rsidR="00C5369C" w:rsidRPr="00AC03CD">
        <w:rPr>
          <w:rFonts w:ascii="Book Antiqua" w:hAnsi="Book Antiqua"/>
          <w:szCs w:val="24"/>
          <w:lang w:val="es-PR"/>
        </w:rPr>
        <w:t>orial explicativo</w:t>
      </w:r>
      <w:r w:rsidRPr="00AC03CD">
        <w:rPr>
          <w:rFonts w:ascii="Book Antiqua" w:hAnsi="Book Antiqua"/>
          <w:szCs w:val="24"/>
          <w:lang w:val="es-PR"/>
        </w:rPr>
        <w:t xml:space="preserve"> detalla el trasfondo y el funcionamiento de los principales programas involucrados: el Programa R3, dirigido a personas y familias afectadas por huracanes y terremotos; el Programa SFM, enfocado en mitigación para viviendas unifamiliares, y el Programa </w:t>
      </w:r>
      <w:proofErr w:type="spellStart"/>
      <w:r w:rsidRPr="00AC03CD">
        <w:rPr>
          <w:rFonts w:ascii="Book Antiqua" w:hAnsi="Book Antiqua"/>
          <w:szCs w:val="24"/>
          <w:lang w:val="es-PR"/>
        </w:rPr>
        <w:t>ReSURge</w:t>
      </w:r>
      <w:proofErr w:type="spellEnd"/>
      <w:r w:rsidRPr="00AC03CD">
        <w:rPr>
          <w:rFonts w:ascii="Book Antiqua" w:hAnsi="Book Antiqua"/>
          <w:szCs w:val="24"/>
          <w:lang w:val="es-PR"/>
        </w:rPr>
        <w:t>, que brinda asistencia por los terremotos de 2019 y 2020. Se resalta que los programas ofrecen alternativas de reubicación hasta un máximo de $200,000 para la adquisición de vivienda de reemplazo, sin limitar el precio de compra, permitiendo a los beneficiarios obtener fondos adicionales de otras fuentes elegibles. Además, se proveen servicios de asesoría y asistencia a través de agentes de bienes raíces autorizados, cubriendo comisiones razonables para facilitar la búsqueda de vivienda idónea.</w:t>
      </w:r>
    </w:p>
    <w:p w14:paraId="48F0A7A3" w14:textId="6A9484A5" w:rsidR="001B12C5" w:rsidRPr="00AC03CD" w:rsidRDefault="001B12C5" w:rsidP="006F5D0B">
      <w:pPr>
        <w:spacing w:line="360" w:lineRule="auto"/>
        <w:ind w:firstLine="360"/>
        <w:jc w:val="both"/>
        <w:rPr>
          <w:rFonts w:ascii="Book Antiqua" w:hAnsi="Book Antiqua"/>
          <w:szCs w:val="24"/>
          <w:lang w:val="es-PR"/>
        </w:rPr>
      </w:pPr>
      <w:r w:rsidRPr="00AC03CD">
        <w:rPr>
          <w:rFonts w:ascii="Book Antiqua" w:hAnsi="Book Antiqua"/>
          <w:szCs w:val="24"/>
          <w:lang w:val="es-PR"/>
        </w:rPr>
        <w:t xml:space="preserve">El proceso de reubicación que siguen los participantes, al recibir su vale, implica la selección y evaluación rigurosa de la propiedad propuesta, asegurando su cumplimiento con estándares federales, legales y ambientales. El </w:t>
      </w:r>
      <w:r w:rsidR="00035116" w:rsidRPr="00AC03CD">
        <w:rPr>
          <w:rFonts w:ascii="Book Antiqua" w:hAnsi="Book Antiqua"/>
          <w:szCs w:val="24"/>
          <w:lang w:val="es-PR"/>
        </w:rPr>
        <w:t>D</w:t>
      </w:r>
      <w:r w:rsidRPr="00AC03CD">
        <w:rPr>
          <w:rFonts w:ascii="Book Antiqua" w:hAnsi="Book Antiqua"/>
          <w:szCs w:val="24"/>
          <w:lang w:val="es-PR"/>
        </w:rPr>
        <w:t>epartamento indica que ya ha facilitado que 1,752 de 4,346 familias culminen exitosamente el proceso de adquisición de viviendas bajo estos programas.</w:t>
      </w:r>
    </w:p>
    <w:p w14:paraId="535BFFB1" w14:textId="6055FFEA" w:rsidR="001B12C5" w:rsidRPr="00AC03CD" w:rsidRDefault="001B12C5" w:rsidP="006F5D0B">
      <w:pPr>
        <w:spacing w:line="360" w:lineRule="auto"/>
        <w:ind w:firstLine="360"/>
        <w:jc w:val="both"/>
        <w:rPr>
          <w:rFonts w:ascii="Book Antiqua" w:hAnsi="Book Antiqua"/>
          <w:szCs w:val="24"/>
          <w:lang w:val="es-PR"/>
        </w:rPr>
      </w:pPr>
      <w:r w:rsidRPr="00AC03CD">
        <w:rPr>
          <w:rFonts w:ascii="Book Antiqua" w:hAnsi="Book Antiqua"/>
          <w:szCs w:val="24"/>
          <w:lang w:val="es-PR"/>
        </w:rPr>
        <w:t>Se subraya el compromiso de</w:t>
      </w:r>
      <w:r w:rsidR="00035116" w:rsidRPr="00AC03CD">
        <w:rPr>
          <w:rFonts w:ascii="Book Antiqua" w:hAnsi="Book Antiqua"/>
          <w:szCs w:val="24"/>
          <w:lang w:val="es-PR"/>
        </w:rPr>
        <w:t>l Departamento de la</w:t>
      </w:r>
      <w:r w:rsidRPr="00AC03CD">
        <w:rPr>
          <w:rFonts w:ascii="Book Antiqua" w:hAnsi="Book Antiqua"/>
          <w:szCs w:val="24"/>
          <w:lang w:val="es-PR"/>
        </w:rPr>
        <w:t xml:space="preserve"> Vivienda en facilitar el acceso a la vivienda equitativa y en asegurar que no haya discriminación alguna por razones de raza, credo, nacionalidad, género, orientación sexual, discapacidad, entre otras. De igual modo, se explica que la Política de Equidad de Vivienda y Oportunidades Iguales </w:t>
      </w:r>
      <w:r w:rsidRPr="00AC03CD">
        <w:rPr>
          <w:rFonts w:ascii="Book Antiqua" w:hAnsi="Book Antiqua"/>
          <w:szCs w:val="24"/>
          <w:lang w:val="es-PR"/>
        </w:rPr>
        <w:lastRenderedPageBreak/>
        <w:t>establece los protocolos para atender quejas de discriminación, los cuales requieren referir estos casos a la Oficina de Vivienda Justa y Oportunidad Equitativa del Departamento de Vivienda y Desarrollo Urbano federal (HUD FHEO), ya que Vivienda no puede adjudicar formalmente este tipo de querellas conforme a sus reglamentos internos.</w:t>
      </w:r>
    </w:p>
    <w:p w14:paraId="0B6CFD39" w14:textId="40E6C5E1" w:rsidR="001B12C5" w:rsidRPr="00AC03CD" w:rsidRDefault="001B12C5" w:rsidP="006F5D0B">
      <w:pPr>
        <w:spacing w:line="360" w:lineRule="auto"/>
        <w:ind w:firstLine="360"/>
        <w:jc w:val="both"/>
        <w:rPr>
          <w:rFonts w:ascii="Book Antiqua" w:hAnsi="Book Antiqua"/>
          <w:szCs w:val="24"/>
          <w:lang w:val="es-PR"/>
        </w:rPr>
      </w:pPr>
      <w:r w:rsidRPr="00AC03CD">
        <w:rPr>
          <w:rFonts w:ascii="Book Antiqua" w:hAnsi="Book Antiqua"/>
          <w:szCs w:val="24"/>
          <w:lang w:val="es-PR"/>
        </w:rPr>
        <w:t>En cuanto a las disposiciones fiscales que propone el Artículo 9 del P</w:t>
      </w:r>
      <w:r w:rsidR="00AA6540" w:rsidRPr="00AC03CD">
        <w:rPr>
          <w:rFonts w:ascii="Book Antiqua" w:hAnsi="Book Antiqua"/>
          <w:szCs w:val="24"/>
          <w:lang w:val="es-PR"/>
        </w:rPr>
        <w:t>. del S.</w:t>
      </w:r>
      <w:r w:rsidRPr="00AC03CD">
        <w:rPr>
          <w:rFonts w:ascii="Book Antiqua" w:hAnsi="Book Antiqua"/>
          <w:szCs w:val="24"/>
          <w:lang w:val="es-PR"/>
        </w:rPr>
        <w:t xml:space="preserve"> 679, el Departamento respalda la implementación de una exención contributiva sobre la ganancia de capital para la venta de inmuebles a beneficiarios de programas de recuperación, al reconocer que esto puede incentivar la participación de vendedores en el proceso de reconstrucción y agilizar la reubicación de las familias afectadas. El Departamento recomienda además que dicha exención no excluya a inversionistas, pues su participación puede contribuir al objetivo de recuperación y repoblación, alineándose con la política pública de estabilización poblacional.</w:t>
      </w:r>
    </w:p>
    <w:p w14:paraId="6F3B37F7" w14:textId="6289E1B9" w:rsidR="001B12C5" w:rsidRPr="00AC03CD" w:rsidRDefault="001B12C5" w:rsidP="006F5D0B">
      <w:pPr>
        <w:spacing w:line="360" w:lineRule="auto"/>
        <w:ind w:firstLine="360"/>
        <w:jc w:val="both"/>
        <w:rPr>
          <w:rFonts w:ascii="Book Antiqua" w:hAnsi="Book Antiqua"/>
          <w:szCs w:val="24"/>
          <w:lang w:val="es-PR"/>
        </w:rPr>
      </w:pPr>
      <w:r w:rsidRPr="00AC03CD">
        <w:rPr>
          <w:rFonts w:ascii="Book Antiqua" w:hAnsi="Book Antiqua"/>
          <w:szCs w:val="24"/>
          <w:lang w:val="es-PR"/>
        </w:rPr>
        <w:t>Finalmente, el Departamento de la Vivienda avala la aprobación de la medida propuesta, condicionada a que se acepte su recomendación de referir las quejas de discriminación directamente al HUD FHEO, y considera positivo el alcance contributivo previsto, solicitando la inclusión de los inversionistas entre los beneficiarios de la exención fiscal. El Departamento reitera su disposición a colaborar con la Comisión del Senado en este y otros temas relacionados.</w:t>
      </w:r>
    </w:p>
    <w:p w14:paraId="24DB6A20" w14:textId="167F2ECD" w:rsidR="00022F60" w:rsidRPr="00AC03CD" w:rsidRDefault="00022F60" w:rsidP="006F5D0B">
      <w:pPr>
        <w:spacing w:line="360" w:lineRule="auto"/>
        <w:ind w:firstLine="360"/>
        <w:jc w:val="both"/>
        <w:rPr>
          <w:rFonts w:ascii="Book Antiqua" w:hAnsi="Book Antiqua"/>
          <w:szCs w:val="24"/>
          <w:lang w:val="es-PR"/>
        </w:rPr>
      </w:pPr>
      <w:r w:rsidRPr="00AC03CD">
        <w:rPr>
          <w:rFonts w:ascii="Book Antiqua" w:hAnsi="Book Antiqua"/>
          <w:szCs w:val="24"/>
          <w:lang w:val="es-PR"/>
        </w:rPr>
        <w:t>Cabe destacar que</w:t>
      </w:r>
      <w:r w:rsidR="00D25C89" w:rsidRPr="00AC03CD">
        <w:rPr>
          <w:rFonts w:ascii="Book Antiqua" w:hAnsi="Book Antiqua"/>
          <w:szCs w:val="24"/>
          <w:lang w:val="es-PR"/>
        </w:rPr>
        <w:t xml:space="preserve">, </w:t>
      </w:r>
      <w:r w:rsidR="0033298C" w:rsidRPr="00AC03CD">
        <w:rPr>
          <w:rFonts w:ascii="Book Antiqua" w:hAnsi="Book Antiqua"/>
          <w:szCs w:val="24"/>
          <w:lang w:val="es-PR"/>
        </w:rPr>
        <w:t>luego de considerar</w:t>
      </w:r>
      <w:r w:rsidRPr="00AC03CD">
        <w:rPr>
          <w:rFonts w:ascii="Book Antiqua" w:hAnsi="Book Antiqua"/>
          <w:szCs w:val="24"/>
          <w:lang w:val="es-PR"/>
        </w:rPr>
        <w:t xml:space="preserve"> las enmiendas propuestas por el Departamento de la Vivienda</w:t>
      </w:r>
      <w:r w:rsidR="0033298C" w:rsidRPr="00AC03CD">
        <w:rPr>
          <w:rFonts w:ascii="Book Antiqua" w:hAnsi="Book Antiqua"/>
          <w:szCs w:val="24"/>
          <w:lang w:val="es-PR"/>
        </w:rPr>
        <w:t>, estas</w:t>
      </w:r>
      <w:r w:rsidRPr="00AC03CD">
        <w:rPr>
          <w:rFonts w:ascii="Book Antiqua" w:hAnsi="Book Antiqua"/>
          <w:szCs w:val="24"/>
          <w:lang w:val="es-PR"/>
        </w:rPr>
        <w:t xml:space="preserve"> fueron acogidas </w:t>
      </w:r>
      <w:r w:rsidR="00D25C89" w:rsidRPr="00AC03CD">
        <w:rPr>
          <w:rFonts w:ascii="Book Antiqua" w:hAnsi="Book Antiqua"/>
          <w:szCs w:val="24"/>
          <w:lang w:val="es-PR"/>
        </w:rPr>
        <w:t xml:space="preserve">e integradas en el entirillado electrónico que acompaña este informe. </w:t>
      </w:r>
    </w:p>
    <w:bookmarkEnd w:id="4"/>
    <w:p w14:paraId="44C81E0E" w14:textId="77777777" w:rsidR="000C58C8" w:rsidRPr="00AC03CD" w:rsidRDefault="000C58C8" w:rsidP="00DD47EF">
      <w:pPr>
        <w:ind w:firstLine="720"/>
        <w:jc w:val="both"/>
        <w:rPr>
          <w:rFonts w:ascii="Book Antiqua" w:hAnsi="Book Antiqua"/>
          <w:szCs w:val="24"/>
          <w:lang w:val="es-PR"/>
        </w:rPr>
      </w:pPr>
    </w:p>
    <w:p w14:paraId="2613E8C4" w14:textId="1F3E7CEF" w:rsidR="004F30B5" w:rsidRPr="00AC03CD" w:rsidRDefault="006D24BE" w:rsidP="00DD47EF">
      <w:pPr>
        <w:pStyle w:val="ListParagraph"/>
        <w:numPr>
          <w:ilvl w:val="0"/>
          <w:numId w:val="11"/>
        </w:numPr>
        <w:spacing w:after="0" w:line="360" w:lineRule="auto"/>
        <w:jc w:val="both"/>
        <w:rPr>
          <w:rFonts w:ascii="Book Antiqua" w:hAnsi="Book Antiqua"/>
          <w:lang w:val="es-PR"/>
        </w:rPr>
      </w:pPr>
      <w:r w:rsidRPr="00AC03CD">
        <w:rPr>
          <w:rFonts w:ascii="Book Antiqua" w:hAnsi="Book Antiqua" w:cs="Segoe UI"/>
          <w:b/>
          <w:bCs/>
          <w:lang w:val="es-PR"/>
        </w:rPr>
        <w:t xml:space="preserve">Asociación de </w:t>
      </w:r>
      <w:proofErr w:type="gramStart"/>
      <w:r w:rsidRPr="00AC03CD">
        <w:rPr>
          <w:rFonts w:ascii="Book Antiqua" w:hAnsi="Book Antiqua" w:cs="Segoe UI"/>
          <w:b/>
          <w:bCs/>
          <w:lang w:val="es-PR"/>
        </w:rPr>
        <w:t>Alcaldes</w:t>
      </w:r>
      <w:proofErr w:type="gramEnd"/>
      <w:r w:rsidRPr="00AC03CD">
        <w:rPr>
          <w:rFonts w:ascii="Book Antiqua" w:hAnsi="Book Antiqua" w:cs="Segoe UI"/>
          <w:b/>
          <w:bCs/>
          <w:lang w:val="es-PR"/>
        </w:rPr>
        <w:t xml:space="preserve"> de Puerto Rico</w:t>
      </w:r>
    </w:p>
    <w:p w14:paraId="185E660A" w14:textId="489A2F85" w:rsidR="00201FFA" w:rsidRPr="00AC03CD" w:rsidRDefault="001C11B5" w:rsidP="006F5D0B">
      <w:pPr>
        <w:spacing w:line="360" w:lineRule="auto"/>
        <w:ind w:firstLine="360"/>
        <w:jc w:val="both"/>
        <w:rPr>
          <w:rFonts w:ascii="Book Antiqua" w:hAnsi="Book Antiqua"/>
          <w:szCs w:val="24"/>
          <w:lang w:val="es-PR"/>
        </w:rPr>
      </w:pPr>
      <w:r w:rsidRPr="00AC03CD">
        <w:rPr>
          <w:rFonts w:ascii="Book Antiqua" w:hAnsi="Book Antiqua"/>
          <w:szCs w:val="24"/>
          <w:lang w:val="es-PR"/>
        </w:rPr>
        <w:t>Por su parte, la</w:t>
      </w:r>
      <w:r w:rsidR="001B12C5" w:rsidRPr="00AC03CD">
        <w:rPr>
          <w:rFonts w:ascii="Book Antiqua" w:hAnsi="Book Antiqua"/>
          <w:szCs w:val="24"/>
          <w:lang w:val="es-PR"/>
        </w:rPr>
        <w:t xml:space="preserve"> Asociación de Alcaldes de Puerto Rico, </w:t>
      </w:r>
      <w:r w:rsidRPr="00AC03CD">
        <w:rPr>
          <w:rFonts w:ascii="Book Antiqua" w:hAnsi="Book Antiqua"/>
          <w:szCs w:val="24"/>
          <w:lang w:val="es-PR"/>
        </w:rPr>
        <w:t xml:space="preserve">presentó un memorial </w:t>
      </w:r>
      <w:r w:rsidR="00F51CA4" w:rsidRPr="00AC03CD">
        <w:rPr>
          <w:rFonts w:ascii="Book Antiqua" w:hAnsi="Book Antiqua"/>
          <w:szCs w:val="24"/>
          <w:lang w:val="es-PR"/>
        </w:rPr>
        <w:t>explicativo</w:t>
      </w:r>
      <w:r w:rsidR="001B12C5" w:rsidRPr="00AC03CD">
        <w:rPr>
          <w:rFonts w:ascii="Book Antiqua" w:hAnsi="Book Antiqua"/>
          <w:szCs w:val="24"/>
          <w:lang w:val="es-PR"/>
        </w:rPr>
        <w:t xml:space="preserve"> </w:t>
      </w:r>
      <w:r w:rsidR="000B09D4" w:rsidRPr="00AC03CD">
        <w:rPr>
          <w:rFonts w:ascii="Book Antiqua" w:hAnsi="Book Antiqua"/>
          <w:szCs w:val="24"/>
          <w:lang w:val="es-PR"/>
        </w:rPr>
        <w:t>suscrito</w:t>
      </w:r>
      <w:r w:rsidR="00F51CA4" w:rsidRPr="00AC03CD">
        <w:rPr>
          <w:rFonts w:ascii="Book Antiqua" w:hAnsi="Book Antiqua"/>
          <w:szCs w:val="24"/>
          <w:lang w:val="es-PR"/>
        </w:rPr>
        <w:t xml:space="preserve"> </w:t>
      </w:r>
      <w:r w:rsidR="000B09D4" w:rsidRPr="00AC03CD">
        <w:rPr>
          <w:rFonts w:ascii="Book Antiqua" w:hAnsi="Book Antiqua"/>
          <w:szCs w:val="24"/>
          <w:lang w:val="es-PR"/>
        </w:rPr>
        <w:t xml:space="preserve">por su Directora Ejecutiva, </w:t>
      </w:r>
      <w:r w:rsidR="00EB332A" w:rsidRPr="00AC03CD">
        <w:rPr>
          <w:rFonts w:ascii="Book Antiqua" w:hAnsi="Book Antiqua"/>
          <w:szCs w:val="24"/>
          <w:lang w:val="es-PR"/>
        </w:rPr>
        <w:t>Verónica</w:t>
      </w:r>
      <w:r w:rsidR="000B09D4" w:rsidRPr="00AC03CD">
        <w:rPr>
          <w:rFonts w:ascii="Book Antiqua" w:hAnsi="Book Antiqua"/>
          <w:szCs w:val="24"/>
          <w:lang w:val="es-PR"/>
        </w:rPr>
        <w:t xml:space="preserve"> </w:t>
      </w:r>
      <w:r w:rsidR="00EB332A" w:rsidRPr="00AC03CD">
        <w:rPr>
          <w:rFonts w:ascii="Book Antiqua" w:hAnsi="Book Antiqua"/>
          <w:szCs w:val="24"/>
          <w:lang w:val="es-PR"/>
        </w:rPr>
        <w:t>Rodríguez</w:t>
      </w:r>
      <w:r w:rsidR="000B09D4" w:rsidRPr="00AC03CD">
        <w:rPr>
          <w:rFonts w:ascii="Book Antiqua" w:hAnsi="Book Antiqua"/>
          <w:szCs w:val="24"/>
          <w:lang w:val="es-PR"/>
        </w:rPr>
        <w:t xml:space="preserve"> Irizarry, en el cual se</w:t>
      </w:r>
      <w:r w:rsidR="001B12C5" w:rsidRPr="00AC03CD">
        <w:rPr>
          <w:rFonts w:ascii="Book Antiqua" w:hAnsi="Book Antiqua"/>
          <w:szCs w:val="24"/>
          <w:lang w:val="es-PR"/>
        </w:rPr>
        <w:t xml:space="preserve"> destaca la importancia de esta medida para garantizar la adquisición de viviendas libre de discriminación a personas beneficiarias de programas de recuperación tras desastres </w:t>
      </w:r>
      <w:r w:rsidR="001B12C5" w:rsidRPr="00AC03CD">
        <w:rPr>
          <w:rFonts w:ascii="Book Antiqua" w:hAnsi="Book Antiqua"/>
          <w:szCs w:val="24"/>
          <w:lang w:val="es-PR"/>
        </w:rPr>
        <w:lastRenderedPageBreak/>
        <w:t xml:space="preserve">financiados por fondos federales, como los CDBG-DR. </w:t>
      </w:r>
      <w:r w:rsidR="00EB332A" w:rsidRPr="00AC03CD">
        <w:rPr>
          <w:rFonts w:ascii="Book Antiqua" w:hAnsi="Book Antiqua"/>
          <w:szCs w:val="24"/>
          <w:lang w:val="es-PR"/>
        </w:rPr>
        <w:t>S</w:t>
      </w:r>
      <w:r w:rsidR="001B12C5" w:rsidRPr="00AC03CD">
        <w:rPr>
          <w:rFonts w:ascii="Book Antiqua" w:hAnsi="Book Antiqua"/>
          <w:szCs w:val="24"/>
          <w:lang w:val="es-PR"/>
        </w:rPr>
        <w:t xml:space="preserve">eñala que, aunque se han asignado más de $2,175 millones para atender las necesidades de vivienda de familias afectadas, cerca del 66% de los beneficiarios no han conseguido adquirir una vivienda, en gran parte debido al rechazo de vendedores a aceptar vales federales, situación atribuida a prejuicios sobre los procesos y a la escasa información sobre las garantías financieras que ofrecen estos fondos. </w:t>
      </w:r>
    </w:p>
    <w:p w14:paraId="20BFC07D" w14:textId="00C8FCEE" w:rsidR="00146DFD" w:rsidRDefault="001B12C5" w:rsidP="006F5D0B">
      <w:pPr>
        <w:spacing w:line="360" w:lineRule="auto"/>
        <w:ind w:firstLine="360"/>
        <w:jc w:val="both"/>
        <w:rPr>
          <w:rFonts w:ascii="Book Antiqua" w:hAnsi="Book Antiqua"/>
          <w:szCs w:val="24"/>
          <w:lang w:val="es-PR"/>
        </w:rPr>
      </w:pPr>
      <w:r w:rsidRPr="00AC03CD">
        <w:rPr>
          <w:rFonts w:ascii="Book Antiqua" w:hAnsi="Book Antiqua"/>
          <w:szCs w:val="24"/>
          <w:lang w:val="es-PR"/>
        </w:rPr>
        <w:t xml:space="preserve">La Asociación respalda la propuesta de atacar esta crisis demográfica y de vivienda mediante una combinación de incentivos contributivos y regulaciones </w:t>
      </w:r>
      <w:proofErr w:type="spellStart"/>
      <w:r w:rsidRPr="00AC03CD">
        <w:rPr>
          <w:rFonts w:ascii="Book Antiqua" w:hAnsi="Book Antiqua"/>
          <w:szCs w:val="24"/>
          <w:lang w:val="es-PR"/>
        </w:rPr>
        <w:t>anti-discriminación</w:t>
      </w:r>
      <w:proofErr w:type="spellEnd"/>
      <w:r w:rsidRPr="00AC03CD">
        <w:rPr>
          <w:rFonts w:ascii="Book Antiqua" w:hAnsi="Book Antiqua"/>
          <w:szCs w:val="24"/>
          <w:lang w:val="es-PR"/>
        </w:rPr>
        <w:t>, considerando positiva la enmienda que crea una tasa preferencial sobre la ganancia de capital para quienes venden propiedades a beneficiarios certificados, pues fortalecerá la recuperación, la resiliencia comunitaria y ayudará a mitigar el éxodo poblacional en los municipios afectados por desastres. El memorial afirma que las disposiciones sobre prácticas discriminatorias recogidas en el Artículo 4 del proyecto son necesarias y justas, y concluye que la entidad no tiene objeción a la medida, considerándola loable porque favorece el acceso equitativo a la vivienda, la revitalización comunitaria y la estabilidad económica de las comunidades impactadas.</w:t>
      </w:r>
    </w:p>
    <w:p w14:paraId="2EBE272D" w14:textId="77777777" w:rsidR="00DD47EF" w:rsidRPr="00AC03CD" w:rsidRDefault="00DD47EF" w:rsidP="001247B6">
      <w:pPr>
        <w:jc w:val="both"/>
        <w:rPr>
          <w:rFonts w:ascii="Book Antiqua" w:hAnsi="Book Antiqua"/>
          <w:szCs w:val="24"/>
          <w:lang w:val="es-PR"/>
        </w:rPr>
      </w:pPr>
    </w:p>
    <w:p w14:paraId="228CCEBD" w14:textId="5664C1AD" w:rsidR="009710C4" w:rsidRPr="00AC03CD" w:rsidRDefault="00665184" w:rsidP="00DD47EF">
      <w:pPr>
        <w:pStyle w:val="ListParagraph"/>
        <w:numPr>
          <w:ilvl w:val="0"/>
          <w:numId w:val="11"/>
        </w:numPr>
        <w:spacing w:after="0" w:line="360" w:lineRule="auto"/>
        <w:jc w:val="both"/>
        <w:rPr>
          <w:rFonts w:ascii="Book Antiqua" w:hAnsi="Book Antiqua"/>
          <w:b/>
          <w:bCs/>
        </w:rPr>
      </w:pPr>
      <w:r w:rsidRPr="00AC03CD">
        <w:rPr>
          <w:rFonts w:ascii="Book Antiqua" w:hAnsi="Book Antiqua"/>
          <w:b/>
          <w:bCs/>
        </w:rPr>
        <w:t>Puerto Rico Association of Realtors</w:t>
      </w:r>
    </w:p>
    <w:p w14:paraId="11E015B2" w14:textId="62BF1B0A" w:rsidR="00912085" w:rsidRPr="00AC03CD" w:rsidRDefault="009710C4" w:rsidP="006F5D0B">
      <w:pPr>
        <w:pStyle w:val="my-0"/>
        <w:spacing w:before="0" w:beforeAutospacing="0" w:after="0" w:afterAutospacing="0" w:line="360" w:lineRule="auto"/>
        <w:ind w:firstLine="360"/>
        <w:jc w:val="both"/>
        <w:rPr>
          <w:rFonts w:ascii="Book Antiqua" w:hAnsi="Book Antiqua"/>
          <w:lang w:val="es-PR"/>
        </w:rPr>
      </w:pPr>
      <w:r w:rsidRPr="00AC03CD">
        <w:rPr>
          <w:rFonts w:ascii="Book Antiqua" w:hAnsi="Book Antiqua"/>
          <w:lang w:val="es-PR"/>
        </w:rPr>
        <w:t xml:space="preserve">El memorial sometido por la Puerto Rico </w:t>
      </w:r>
      <w:proofErr w:type="spellStart"/>
      <w:r w:rsidRPr="00AC03CD">
        <w:rPr>
          <w:rFonts w:ascii="Book Antiqua" w:hAnsi="Book Antiqua"/>
          <w:lang w:val="es-PR"/>
        </w:rPr>
        <w:t>Association</w:t>
      </w:r>
      <w:proofErr w:type="spellEnd"/>
      <w:r w:rsidRPr="00AC03CD">
        <w:rPr>
          <w:rFonts w:ascii="Book Antiqua" w:hAnsi="Book Antiqua"/>
          <w:lang w:val="es-PR"/>
        </w:rPr>
        <w:t xml:space="preserve"> </w:t>
      </w:r>
      <w:proofErr w:type="spellStart"/>
      <w:r w:rsidRPr="00AC03CD">
        <w:rPr>
          <w:rFonts w:ascii="Book Antiqua" w:hAnsi="Book Antiqua"/>
          <w:lang w:val="es-PR"/>
        </w:rPr>
        <w:t>of</w:t>
      </w:r>
      <w:proofErr w:type="spellEnd"/>
      <w:r w:rsidRPr="00AC03CD">
        <w:rPr>
          <w:rFonts w:ascii="Book Antiqua" w:hAnsi="Book Antiqua"/>
          <w:lang w:val="es-PR"/>
        </w:rPr>
        <w:t xml:space="preserve"> </w:t>
      </w:r>
      <w:proofErr w:type="spellStart"/>
      <w:r w:rsidRPr="00AC03CD">
        <w:rPr>
          <w:rFonts w:ascii="Book Antiqua" w:hAnsi="Book Antiqua"/>
          <w:lang w:val="es-PR"/>
        </w:rPr>
        <w:t>Realtors</w:t>
      </w:r>
      <w:proofErr w:type="spellEnd"/>
      <w:r w:rsidRPr="00AC03CD">
        <w:rPr>
          <w:rFonts w:ascii="Book Antiqua" w:hAnsi="Book Antiqua"/>
          <w:lang w:val="es-PR"/>
        </w:rPr>
        <w:t xml:space="preserve"> (PRAR) expresa su apoyo general a los principios del </w:t>
      </w:r>
      <w:r w:rsidR="00273FD1">
        <w:rPr>
          <w:rFonts w:ascii="Book Antiqua" w:hAnsi="Book Antiqua"/>
          <w:lang w:val="es-PR"/>
        </w:rPr>
        <w:t>P. del S. 679</w:t>
      </w:r>
      <w:r w:rsidRPr="00AC03CD">
        <w:rPr>
          <w:rFonts w:ascii="Book Antiqua" w:hAnsi="Book Antiqua"/>
          <w:lang w:val="es-PR"/>
        </w:rPr>
        <w:t xml:space="preserve">, cuyo fin es crear la “Ley para </w:t>
      </w:r>
      <w:r w:rsidR="00273FD1">
        <w:rPr>
          <w:rFonts w:ascii="Book Antiqua" w:hAnsi="Book Antiqua"/>
          <w:lang w:val="es-PR"/>
        </w:rPr>
        <w:t>la</w:t>
      </w:r>
      <w:r w:rsidRPr="00AC03CD">
        <w:rPr>
          <w:rFonts w:ascii="Book Antiqua" w:hAnsi="Book Antiqua"/>
          <w:lang w:val="es-PR"/>
        </w:rPr>
        <w:t xml:space="preserve"> Gestión de Fondos de Recuperación Destinados a la Compra de Viviendas y la Repoblación de Municipios” y garantizar el acceso sin discrimen a los programas de compra y rehabilitación de vivienda subvencionados con fondos federales como el CDBG. </w:t>
      </w:r>
    </w:p>
    <w:p w14:paraId="39626327" w14:textId="77777777" w:rsidR="00912085" w:rsidRPr="00AC03CD" w:rsidRDefault="009710C4" w:rsidP="006F5D0B">
      <w:pPr>
        <w:pStyle w:val="my-0"/>
        <w:spacing w:before="0" w:beforeAutospacing="0" w:after="0" w:afterAutospacing="0" w:line="360" w:lineRule="auto"/>
        <w:ind w:firstLine="360"/>
        <w:jc w:val="both"/>
        <w:rPr>
          <w:rFonts w:ascii="Book Antiqua" w:hAnsi="Book Antiqua"/>
          <w:lang w:val="es-PR"/>
        </w:rPr>
      </w:pPr>
      <w:r w:rsidRPr="00AC03CD">
        <w:rPr>
          <w:rFonts w:ascii="Book Antiqua" w:hAnsi="Book Antiqua"/>
          <w:lang w:val="es-PR"/>
        </w:rPr>
        <w:t xml:space="preserve">La PRAR manifiesta su rechazo a toda forma de discriminación en el acceso a la vivienda y reitera su compromiso ético con la protección del interés público, además de ofrecer su colaboración con las agencias gubernamentales involucradas. No obstante, la PRAR señala que no todas las dificultades en los procesos de compra pueden considerarse discriminación, explicando que existen atrasos y trabas ajenas tanto al </w:t>
      </w:r>
      <w:r w:rsidRPr="00AC03CD">
        <w:rPr>
          <w:rFonts w:ascii="Book Antiqua" w:hAnsi="Book Antiqua"/>
          <w:lang w:val="es-PR"/>
        </w:rPr>
        <w:lastRenderedPageBreak/>
        <w:t>comprador como al corredor de bienes raíces, como demoras administrativas, problemas judiciales pendientes o discrepancias en la tasación, por lo que sugieren que la ley detalle claramente las circunstancias que no constituyen un acto discriminatorio ni base para imponer responsabilidad a los corredores. Recomiendan también que la responsabilidad por omisiones atribuibles a los propietarios no recaiga sobre los corredores y que se consulte a otras agencias pertinentes antes de aprobar la medida.</w:t>
      </w:r>
    </w:p>
    <w:p w14:paraId="1CFBAA33" w14:textId="087F70A8" w:rsidR="00D60B45" w:rsidRDefault="00C901BE" w:rsidP="006F5D0B">
      <w:pPr>
        <w:pStyle w:val="my-0"/>
        <w:spacing w:before="0" w:beforeAutospacing="0" w:after="0" w:afterAutospacing="0" w:line="360" w:lineRule="auto"/>
        <w:ind w:firstLine="360"/>
        <w:jc w:val="both"/>
        <w:rPr>
          <w:rFonts w:ascii="Book Antiqua" w:hAnsi="Book Antiqua"/>
          <w:lang w:val="es-PR"/>
        </w:rPr>
      </w:pPr>
      <w:r w:rsidRPr="00AC03CD">
        <w:rPr>
          <w:rFonts w:ascii="Book Antiqua" w:hAnsi="Book Antiqua"/>
          <w:lang w:val="es-PR"/>
        </w:rPr>
        <w:t>A su vez, l</w:t>
      </w:r>
      <w:r w:rsidR="009710C4" w:rsidRPr="00AC03CD">
        <w:rPr>
          <w:rFonts w:ascii="Book Antiqua" w:hAnsi="Book Antiqua"/>
          <w:lang w:val="es-PR"/>
        </w:rPr>
        <w:t>a PRAR apoya mayor capacitación para todas las partes involucradas y solicita que la aplicación de la ley sea uniforme, sin eximir a quienes venden una sola propiedad fuera del marco profesional. Solicita que las obligaciones del Departamento de la Vivienda sean más específicas respecto a la notificación y trámite expedito. Asimismo, considera razonable que las multas tengan un rango mínimo y máximo según la gravedad y existan atenuantes. Finalmente, la PRAR pide ser incluida formalmente en futuros procesos regulatorios y reafirma su disposición a colaborar con la Asamblea Legislativa.</w:t>
      </w:r>
    </w:p>
    <w:p w14:paraId="544CFE37" w14:textId="77777777" w:rsidR="00273FD1" w:rsidRPr="00AC03CD" w:rsidRDefault="00273FD1" w:rsidP="00465348">
      <w:pPr>
        <w:pStyle w:val="my-0"/>
        <w:spacing w:before="0" w:beforeAutospacing="0" w:after="0" w:afterAutospacing="0"/>
        <w:ind w:firstLine="360"/>
        <w:jc w:val="both"/>
        <w:rPr>
          <w:rFonts w:ascii="Book Antiqua" w:hAnsi="Book Antiqua"/>
          <w:lang w:val="es-PR"/>
        </w:rPr>
      </w:pPr>
    </w:p>
    <w:p w14:paraId="5FAE6DBE" w14:textId="57C6226A" w:rsidR="004B6202" w:rsidRPr="00AC03CD" w:rsidRDefault="0099535B" w:rsidP="00465348">
      <w:pPr>
        <w:pStyle w:val="my-0"/>
        <w:numPr>
          <w:ilvl w:val="0"/>
          <w:numId w:val="11"/>
        </w:numPr>
        <w:spacing w:before="0" w:beforeAutospacing="0" w:after="0" w:afterAutospacing="0" w:line="360" w:lineRule="auto"/>
        <w:jc w:val="both"/>
        <w:rPr>
          <w:rFonts w:ascii="Book Antiqua" w:hAnsi="Book Antiqua"/>
          <w:b/>
          <w:bCs/>
          <w:lang w:val="es-PR"/>
        </w:rPr>
      </w:pPr>
      <w:r w:rsidRPr="00AC03CD">
        <w:rPr>
          <w:rFonts w:ascii="Book Antiqua" w:hAnsi="Book Antiqua"/>
          <w:b/>
          <w:bCs/>
          <w:lang w:val="es-PR"/>
        </w:rPr>
        <w:t>Autoridad de Asesoría Financiera y Agencia Fiscal de Puerto Rico</w:t>
      </w:r>
      <w:r w:rsidR="00825A3B">
        <w:rPr>
          <w:rFonts w:ascii="Book Antiqua" w:hAnsi="Book Antiqua"/>
          <w:b/>
          <w:bCs/>
          <w:lang w:val="es-PR"/>
        </w:rPr>
        <w:t xml:space="preserve"> (AAFAF)</w:t>
      </w:r>
    </w:p>
    <w:p w14:paraId="00C79D19" w14:textId="0032B9F5" w:rsidR="00D60B45" w:rsidRPr="00AC03CD" w:rsidRDefault="00871A63" w:rsidP="006F5D0B">
      <w:pPr>
        <w:pStyle w:val="my-0"/>
        <w:spacing w:before="0" w:beforeAutospacing="0" w:after="0" w:afterAutospacing="0" w:line="360" w:lineRule="auto"/>
        <w:ind w:firstLine="360"/>
        <w:jc w:val="both"/>
        <w:rPr>
          <w:rFonts w:ascii="Book Antiqua" w:hAnsi="Book Antiqua"/>
          <w:lang w:val="es-PR"/>
        </w:rPr>
      </w:pPr>
      <w:r w:rsidRPr="00AC03CD">
        <w:rPr>
          <w:rFonts w:ascii="Book Antiqua" w:hAnsi="Book Antiqua"/>
          <w:lang w:val="es-PR"/>
        </w:rPr>
        <w:t>L</w:t>
      </w:r>
      <w:r w:rsidR="00D60B45" w:rsidRPr="00AC03CD">
        <w:rPr>
          <w:rFonts w:ascii="Book Antiqua" w:hAnsi="Book Antiqua"/>
          <w:lang w:val="es-PR"/>
        </w:rPr>
        <w:t>a Autoridad de Asesoría Financiera y Agencia Fiscal de Puerto Rico (AAFAF) subray</w:t>
      </w:r>
      <w:r w:rsidR="003354A0" w:rsidRPr="00AC03CD">
        <w:rPr>
          <w:rFonts w:ascii="Book Antiqua" w:hAnsi="Book Antiqua"/>
          <w:lang w:val="es-PR"/>
        </w:rPr>
        <w:t>ó en su memorial explicativo</w:t>
      </w:r>
      <w:r w:rsidR="00D60B45" w:rsidRPr="00AC03CD">
        <w:rPr>
          <w:rFonts w:ascii="Book Antiqua" w:hAnsi="Book Antiqua"/>
          <w:lang w:val="es-PR"/>
        </w:rPr>
        <w:t xml:space="preserve"> la importancia de que cualquier medida legislativa con impacto fiscal o económico cumpla con los requisitos establecidos por la Ley PROMESA y el Plan Fiscal certificado para Puerto Rico, especialmente en cuanto al “Principio de Neutralidad Fiscal”. Observa que el P</w:t>
      </w:r>
      <w:r w:rsidR="00633E11" w:rsidRPr="00AC03CD">
        <w:rPr>
          <w:rFonts w:ascii="Book Antiqua" w:hAnsi="Book Antiqua"/>
          <w:lang w:val="es-PR"/>
        </w:rPr>
        <w:t xml:space="preserve">. del S. </w:t>
      </w:r>
      <w:r w:rsidR="00D60B45" w:rsidRPr="00AC03CD">
        <w:rPr>
          <w:rFonts w:ascii="Book Antiqua" w:hAnsi="Book Antiqua"/>
          <w:lang w:val="es-PR"/>
        </w:rPr>
        <w:t>679 introduce una contribución preferencial de 2% sobre las ganancias de capital producto de la venta de propiedades a beneficiarios de programas federales, lo cual podría implicar una reducción indirecta en los recaudos contributivos. Por tal razón, la AAFAF advierte que es indispensable realizar un análisis riguroso de impacto fiscal, presupuestario y económico antes de la aprobación del proyecto y que el mismo debe ser preparado por la Oficina de Presupuesto de la Asamblea Legislativa (OPAL).</w:t>
      </w:r>
    </w:p>
    <w:p w14:paraId="04E2805B" w14:textId="3AEEF56C" w:rsidR="00D60B45" w:rsidRPr="00AC03CD" w:rsidRDefault="00A16C5D" w:rsidP="00BB31F4">
      <w:pPr>
        <w:pStyle w:val="my-0"/>
        <w:spacing w:before="0" w:beforeAutospacing="0" w:after="0" w:afterAutospacing="0" w:line="360" w:lineRule="auto"/>
        <w:jc w:val="both"/>
        <w:rPr>
          <w:rFonts w:ascii="Book Antiqua" w:hAnsi="Book Antiqua"/>
          <w:lang w:val="es-PR"/>
        </w:rPr>
      </w:pPr>
      <w:r w:rsidRPr="00AC03CD">
        <w:rPr>
          <w:rFonts w:ascii="Book Antiqua" w:hAnsi="Book Antiqua"/>
          <w:lang w:val="es-PR"/>
        </w:rPr>
        <w:lastRenderedPageBreak/>
        <w:t xml:space="preserve"> </w:t>
      </w:r>
      <w:r w:rsidRPr="00AC03CD">
        <w:rPr>
          <w:rFonts w:ascii="Book Antiqua" w:hAnsi="Book Antiqua"/>
          <w:lang w:val="es-PR"/>
        </w:rPr>
        <w:tab/>
        <w:t xml:space="preserve">A su vez, </w:t>
      </w:r>
      <w:r w:rsidR="00EA66AF" w:rsidRPr="00AC03CD">
        <w:rPr>
          <w:rFonts w:ascii="Book Antiqua" w:hAnsi="Book Antiqua"/>
          <w:lang w:val="es-PR"/>
        </w:rPr>
        <w:t xml:space="preserve">la AAFAF </w:t>
      </w:r>
      <w:r w:rsidR="00D60B45" w:rsidRPr="00AC03CD">
        <w:rPr>
          <w:rFonts w:ascii="Book Antiqua" w:hAnsi="Book Antiqua"/>
          <w:lang w:val="es-PR"/>
        </w:rPr>
        <w:t>señala que la legislación no implica gastos directos del Fondo General ni creación de nuevos puestos financiados con recursos estatales; sin embargo, implica nuevas responsabilidades administrativas para el Departamento de la Vivienda en gestión de querellas y certificaciones, lo que podría requerir reasignación de recursos. Asimismo, la AAFAF recomienda solicitar insumos adicionales del Departamento de la Vivienda, la Oficina de Gerencia y Presupuesto (OGP) y el Departamento de Hacienda sobre la viabilidad y las implicaciones fiscales de la medida.</w:t>
      </w:r>
    </w:p>
    <w:p w14:paraId="39BE7DEB" w14:textId="27DE2D34" w:rsidR="00837CA9" w:rsidRPr="00AC03CD" w:rsidRDefault="009C4B3B" w:rsidP="006F5D0B">
      <w:pPr>
        <w:pStyle w:val="my-0"/>
        <w:spacing w:before="0" w:beforeAutospacing="0" w:after="0" w:afterAutospacing="0" w:line="360" w:lineRule="auto"/>
        <w:ind w:firstLine="432"/>
        <w:jc w:val="both"/>
        <w:rPr>
          <w:rFonts w:ascii="Book Antiqua" w:hAnsi="Book Antiqua"/>
          <w:lang w:val="es-PR"/>
        </w:rPr>
      </w:pPr>
      <w:r w:rsidRPr="00AC03CD">
        <w:rPr>
          <w:rFonts w:ascii="Book Antiqua" w:hAnsi="Book Antiqua"/>
          <w:lang w:val="es-PR"/>
        </w:rPr>
        <w:t>Finalmente</w:t>
      </w:r>
      <w:r w:rsidR="00D60B45" w:rsidRPr="00AC03CD">
        <w:rPr>
          <w:rFonts w:ascii="Book Antiqua" w:hAnsi="Book Antiqua"/>
          <w:lang w:val="es-PR"/>
        </w:rPr>
        <w:t>, la AAFAF expresa preocupación sobre posibles efectos fiscales y programáticos que deben aclararse antes de que la medida sea aprobada. Reitera su disposición para colaborar en la búsqueda de alternativas viables que garanticen el cumplimiento del marco fiscal vigente y la sostenibilidad financiera a largo plazo, resaltando la necesidad de cumplir estrictamente con los procesos de análisis y certificación fiscal requeridos por la ley.</w:t>
      </w:r>
    </w:p>
    <w:p w14:paraId="2CA9D687" w14:textId="77777777" w:rsidR="00837CA9" w:rsidRPr="00AC03CD" w:rsidRDefault="00837CA9" w:rsidP="00465348">
      <w:pPr>
        <w:pStyle w:val="my-0"/>
        <w:spacing w:before="0" w:beforeAutospacing="0" w:after="0" w:afterAutospacing="0"/>
        <w:ind w:firstLine="432"/>
        <w:jc w:val="both"/>
        <w:rPr>
          <w:rFonts w:ascii="Book Antiqua" w:hAnsi="Book Antiqua"/>
          <w:lang w:val="es-PR"/>
        </w:rPr>
      </w:pPr>
    </w:p>
    <w:p w14:paraId="7792771C" w14:textId="77777777" w:rsidR="00465348" w:rsidRDefault="004B6202" w:rsidP="00465348">
      <w:pPr>
        <w:pStyle w:val="ListParagraph"/>
        <w:numPr>
          <w:ilvl w:val="0"/>
          <w:numId w:val="11"/>
        </w:numPr>
        <w:spacing w:after="0" w:line="360" w:lineRule="auto"/>
        <w:jc w:val="both"/>
        <w:rPr>
          <w:rFonts w:ascii="Book Antiqua" w:hAnsi="Book Antiqua"/>
          <w:b/>
          <w:bCs/>
          <w:lang w:val="es-PR"/>
        </w:rPr>
      </w:pPr>
      <w:r w:rsidRPr="006F5D0B">
        <w:rPr>
          <w:rFonts w:ascii="Book Antiqua" w:hAnsi="Book Antiqua"/>
          <w:b/>
          <w:bCs/>
          <w:lang w:val="es-PR"/>
        </w:rPr>
        <w:t>Departamento de Hacienda de Puerto Rico</w:t>
      </w:r>
    </w:p>
    <w:p w14:paraId="400C56FE" w14:textId="0C496ACA" w:rsidR="006F5D0B" w:rsidRPr="00465348" w:rsidRDefault="004B6202" w:rsidP="00465348">
      <w:pPr>
        <w:spacing w:line="360" w:lineRule="auto"/>
        <w:ind w:firstLine="360"/>
        <w:jc w:val="both"/>
        <w:rPr>
          <w:rFonts w:ascii="Book Antiqua" w:hAnsi="Book Antiqua"/>
          <w:b/>
          <w:bCs/>
          <w:lang w:val="es-PR"/>
        </w:rPr>
      </w:pPr>
      <w:r w:rsidRPr="00465348">
        <w:rPr>
          <w:rFonts w:ascii="Book Antiqua" w:hAnsi="Book Antiqua"/>
          <w:lang w:val="es-PR"/>
        </w:rPr>
        <w:t xml:space="preserve">El memorial presentado por el Departamento de </w:t>
      </w:r>
      <w:proofErr w:type="gramStart"/>
      <w:r w:rsidRPr="00465348">
        <w:rPr>
          <w:rFonts w:ascii="Book Antiqua" w:hAnsi="Book Antiqua"/>
          <w:lang w:val="es-PR"/>
        </w:rPr>
        <w:t>Hacienda,</w:t>
      </w:r>
      <w:proofErr w:type="gramEnd"/>
      <w:r w:rsidRPr="00465348">
        <w:rPr>
          <w:rFonts w:ascii="Book Antiqua" w:hAnsi="Book Antiqua"/>
          <w:lang w:val="es-PR"/>
        </w:rPr>
        <w:t xml:space="preserve"> contextualiza su función constitucional y legal como administrador de la política fiscal y recaudador principal del Gobierno, enfatizando que toda iniciativa legislativa debe evaluarse a la luz del Plan Fiscal certificado y bajo el principio de neutralidad fiscal. También resalta la importancia de conocer el insumo de la Oficina de Presupuesto de la Asamblea Legislativa (OPAL) antes de continuar con el trámite de la medida, en cumplimiento con la Ley 1-2023, para evitar la aprobación de mandatos sin identificar fuentes de financiamiento. La agencia señala que, dado que la administración y ejecución de la propuesta recaería principalmente en el Departamento de la Vivienda, corresponde a éste ofrecer comentarios de fondo sobre su viabilidad. Finalmente, Hacienda solicita ser excusada de comparecer a la vista pública y reitera su disposición para proveer información adicional que requiera la Comisión.</w:t>
      </w:r>
    </w:p>
    <w:p w14:paraId="4373B1F0" w14:textId="77777777" w:rsidR="00465348" w:rsidRPr="00AC03CD" w:rsidRDefault="00465348" w:rsidP="00465348">
      <w:pPr>
        <w:pStyle w:val="my-2"/>
        <w:spacing w:before="0" w:beforeAutospacing="0" w:after="0" w:afterAutospacing="0"/>
        <w:ind w:firstLine="360"/>
        <w:jc w:val="both"/>
        <w:rPr>
          <w:rFonts w:ascii="Book Antiqua" w:hAnsi="Book Antiqua"/>
          <w:lang w:val="es-PR"/>
        </w:rPr>
      </w:pPr>
    </w:p>
    <w:p w14:paraId="310BD1EE" w14:textId="212CE474" w:rsidR="004B6202" w:rsidRPr="006F5D0B" w:rsidRDefault="004B6202" w:rsidP="00465348">
      <w:pPr>
        <w:pStyle w:val="my-2"/>
        <w:numPr>
          <w:ilvl w:val="0"/>
          <w:numId w:val="11"/>
        </w:numPr>
        <w:spacing w:before="0" w:beforeAutospacing="0" w:after="0" w:afterAutospacing="0" w:line="360" w:lineRule="auto"/>
        <w:jc w:val="both"/>
        <w:rPr>
          <w:rFonts w:ascii="Book Antiqua" w:hAnsi="Book Antiqua"/>
          <w:b/>
          <w:bCs/>
          <w:lang w:val="es-PR"/>
        </w:rPr>
      </w:pPr>
      <w:r w:rsidRPr="006F5D0B">
        <w:rPr>
          <w:rFonts w:ascii="Book Antiqua" w:hAnsi="Book Antiqua"/>
          <w:b/>
          <w:bCs/>
          <w:lang w:val="es-PR"/>
        </w:rPr>
        <w:lastRenderedPageBreak/>
        <w:t>Oficina de Gerencia y Presupuesto</w:t>
      </w:r>
      <w:r w:rsidR="00825A3B">
        <w:rPr>
          <w:rFonts w:ascii="Book Antiqua" w:hAnsi="Book Antiqua"/>
          <w:b/>
          <w:bCs/>
          <w:lang w:val="es-PR"/>
        </w:rPr>
        <w:t xml:space="preserve"> (OGP)</w:t>
      </w:r>
    </w:p>
    <w:p w14:paraId="14F1F8C7" w14:textId="77777777" w:rsidR="006F5D0B" w:rsidRDefault="004B6202" w:rsidP="006F5D0B">
      <w:pPr>
        <w:pStyle w:val="my-2"/>
        <w:spacing w:before="0" w:beforeAutospacing="0" w:after="0" w:afterAutospacing="0" w:line="360" w:lineRule="auto"/>
        <w:ind w:firstLine="360"/>
        <w:jc w:val="both"/>
        <w:rPr>
          <w:rFonts w:ascii="Book Antiqua" w:hAnsi="Book Antiqua"/>
          <w:lang w:val="es-PR"/>
        </w:rPr>
      </w:pPr>
      <w:r w:rsidRPr="00AC03CD">
        <w:rPr>
          <w:rFonts w:ascii="Book Antiqua" w:hAnsi="Book Antiqua"/>
          <w:lang w:val="es-PR"/>
        </w:rPr>
        <w:t>En su memorial explicativo la Oficina de Gerencia y Presupuesto (OGP), reconoce que la propuesta persigue garantizar acceso equitativo a una vivienda, fomentar la estabilidad poblacional y sancionar prácticas discriminatorias, pero advierte que la reducción en la tasa contributiva propuesta podría representar un impacto significativo sobre los recaudos públicos, al compararse con la tasa general de 15% actualmente vigente. En cumplimiento con el principio de neutralidad fiscal y el Plan Fiscal certificado, la Oficina enfatiza que toda medida con efecto directo en los ingresos debe acompañarse de mecanismos compensatorios o identificación de fuentes alternas de financiamiento, recomendando obtener el insumo técnico del Departamento de Hacienda y de la Autoridad de Asesoría Financiera y Agencia Fiscal (AAFAF) para evaluar plenamente el impacto fiscal. Asimismo, señala que la implementación de la ley impondría responsabilidades reglamentarias y de fiscalización al Departamento de la Vivienda y al Departamento de Hacienda, por lo que entiende necesario contar con sus comentarios antes de avalar la medida</w:t>
      </w:r>
      <w:r w:rsidR="006F5D0B">
        <w:rPr>
          <w:rFonts w:ascii="Book Antiqua" w:hAnsi="Book Antiqua"/>
          <w:lang w:val="es-PR"/>
        </w:rPr>
        <w:t>.</w:t>
      </w:r>
    </w:p>
    <w:p w14:paraId="6AC51586" w14:textId="21542D5F" w:rsidR="004B6202" w:rsidRDefault="004B6202" w:rsidP="006F5D0B">
      <w:pPr>
        <w:pStyle w:val="my-2"/>
        <w:spacing w:before="0" w:beforeAutospacing="0" w:after="0" w:afterAutospacing="0" w:line="360" w:lineRule="auto"/>
        <w:ind w:firstLine="360"/>
        <w:jc w:val="both"/>
        <w:rPr>
          <w:rFonts w:ascii="Book Antiqua" w:hAnsi="Book Antiqua"/>
          <w:lang w:val="es-PR"/>
        </w:rPr>
      </w:pPr>
      <w:r w:rsidRPr="00AC03CD">
        <w:rPr>
          <w:rFonts w:ascii="Book Antiqua" w:hAnsi="Book Antiqua"/>
          <w:lang w:val="es-PR"/>
        </w:rPr>
        <w:t>Finalmente, OGP solicita ser excusada de comparecer a la vista pública señalada, pero manifiesta su disponibilidad para colaborar en el análisis legislativo cuando así se requiera.</w:t>
      </w:r>
    </w:p>
    <w:p w14:paraId="582CA12A" w14:textId="77777777" w:rsidR="00465348" w:rsidRDefault="00465348" w:rsidP="001247B6">
      <w:pPr>
        <w:rPr>
          <w:rFonts w:ascii="Book Antiqua" w:hAnsi="Book Antiqua"/>
          <w:b/>
          <w:bCs/>
          <w:szCs w:val="24"/>
          <w:lang w:val="es-PR"/>
        </w:rPr>
      </w:pPr>
    </w:p>
    <w:p w14:paraId="03181158" w14:textId="2F11C7D9" w:rsidR="00D05A4C" w:rsidRPr="006F5D0B" w:rsidRDefault="00D05A4C" w:rsidP="00465348">
      <w:pPr>
        <w:spacing w:line="360" w:lineRule="auto"/>
        <w:jc w:val="center"/>
        <w:rPr>
          <w:rFonts w:ascii="Book Antiqua" w:hAnsi="Book Antiqua"/>
          <w:b/>
          <w:bCs/>
          <w:szCs w:val="24"/>
          <w:lang w:val="es-PR"/>
        </w:rPr>
      </w:pPr>
      <w:r w:rsidRPr="00AC03CD">
        <w:rPr>
          <w:rFonts w:ascii="Book Antiqua" w:hAnsi="Book Antiqua"/>
          <w:b/>
          <w:bCs/>
          <w:szCs w:val="24"/>
          <w:lang w:val="es-PR"/>
        </w:rPr>
        <w:t>VISTA PÚBLICA</w:t>
      </w:r>
    </w:p>
    <w:p w14:paraId="04C7791F" w14:textId="43F2B4B1" w:rsidR="0040594C" w:rsidRPr="007237F4" w:rsidRDefault="0040594C" w:rsidP="006F5D0B">
      <w:pPr>
        <w:spacing w:line="360" w:lineRule="auto"/>
        <w:ind w:firstLine="360"/>
        <w:jc w:val="both"/>
        <w:rPr>
          <w:rFonts w:ascii="Book Antiqua" w:hAnsi="Book Antiqua"/>
          <w:szCs w:val="24"/>
          <w:lang w:val="es-PR"/>
        </w:rPr>
      </w:pPr>
      <w:r w:rsidRPr="007237F4">
        <w:rPr>
          <w:rFonts w:ascii="Book Antiqua" w:hAnsi="Book Antiqua"/>
          <w:szCs w:val="24"/>
          <w:lang w:val="es-PR"/>
        </w:rPr>
        <w:t xml:space="preserve">El lunes, 11 de agosto de 2025, </w:t>
      </w:r>
      <w:r w:rsidRPr="00AC03CD">
        <w:rPr>
          <w:rFonts w:ascii="Book Antiqua" w:hAnsi="Book Antiqua"/>
          <w:szCs w:val="24"/>
          <w:lang w:val="es-PR"/>
        </w:rPr>
        <w:t>entre</w:t>
      </w:r>
      <w:r w:rsidRPr="007237F4">
        <w:rPr>
          <w:rFonts w:ascii="Book Antiqua" w:hAnsi="Book Antiqua"/>
          <w:szCs w:val="24"/>
          <w:lang w:val="es-PR"/>
        </w:rPr>
        <w:t xml:space="preserve"> las 11:06 de la mañana</w:t>
      </w:r>
      <w:r w:rsidRPr="00AC03CD">
        <w:rPr>
          <w:rFonts w:ascii="Book Antiqua" w:hAnsi="Book Antiqua"/>
          <w:szCs w:val="24"/>
          <w:lang w:val="es-PR"/>
        </w:rPr>
        <w:t xml:space="preserve"> a las 12:31 de la tarde, </w:t>
      </w:r>
      <w:r w:rsidRPr="007237F4">
        <w:rPr>
          <w:rFonts w:ascii="Book Antiqua" w:hAnsi="Book Antiqua"/>
          <w:szCs w:val="24"/>
          <w:lang w:val="es-PR"/>
        </w:rPr>
        <w:t>la Comisión de Relaciones Federales y Viabilización del Mandato del Pueblo para la Solución del Estatus del Senado de Puerto Rico</w:t>
      </w:r>
      <w:r w:rsidRPr="00AC03CD">
        <w:rPr>
          <w:rFonts w:ascii="Book Antiqua" w:hAnsi="Book Antiqua"/>
          <w:szCs w:val="24"/>
          <w:lang w:val="es-PR"/>
        </w:rPr>
        <w:t>, bajo la</w:t>
      </w:r>
      <w:r w:rsidRPr="007237F4">
        <w:rPr>
          <w:rFonts w:ascii="Book Antiqua" w:hAnsi="Book Antiqua"/>
          <w:szCs w:val="24"/>
          <w:lang w:val="es-PR"/>
        </w:rPr>
        <w:t xml:space="preserve"> presid</w:t>
      </w:r>
      <w:r w:rsidRPr="00AC03CD">
        <w:rPr>
          <w:rFonts w:ascii="Book Antiqua" w:hAnsi="Book Antiqua"/>
          <w:szCs w:val="24"/>
          <w:lang w:val="es-PR"/>
        </w:rPr>
        <w:t>encia de</w:t>
      </w:r>
      <w:r w:rsidRPr="007237F4">
        <w:rPr>
          <w:rFonts w:ascii="Book Antiqua" w:hAnsi="Book Antiqua"/>
          <w:szCs w:val="24"/>
          <w:lang w:val="es-PR"/>
        </w:rPr>
        <w:t xml:space="preserve">l </w:t>
      </w:r>
      <w:proofErr w:type="spellStart"/>
      <w:r w:rsidRPr="007237F4">
        <w:rPr>
          <w:rFonts w:ascii="Book Antiqua" w:hAnsi="Book Antiqua"/>
          <w:szCs w:val="24"/>
          <w:lang w:val="es-PR"/>
        </w:rPr>
        <w:t>Hon</w:t>
      </w:r>
      <w:proofErr w:type="spellEnd"/>
      <w:r w:rsidRPr="007237F4">
        <w:rPr>
          <w:rFonts w:ascii="Book Antiqua" w:hAnsi="Book Antiqua"/>
          <w:szCs w:val="24"/>
          <w:lang w:val="es-PR"/>
        </w:rPr>
        <w:t>. Carmelo Ríos</w:t>
      </w:r>
      <w:r w:rsidRPr="00AC03CD">
        <w:rPr>
          <w:rFonts w:ascii="Book Antiqua" w:hAnsi="Book Antiqua"/>
          <w:szCs w:val="24"/>
          <w:lang w:val="es-PR"/>
        </w:rPr>
        <w:t xml:space="preserve"> Santiago, llevó a cabo una Vista Pública en el</w:t>
      </w:r>
      <w:r w:rsidRPr="007237F4">
        <w:rPr>
          <w:rFonts w:ascii="Book Antiqua" w:hAnsi="Book Antiqua"/>
          <w:szCs w:val="24"/>
          <w:lang w:val="es-PR"/>
        </w:rPr>
        <w:t xml:space="preserve"> Salón Luis A. Negrón López</w:t>
      </w:r>
      <w:r w:rsidRPr="00AC03CD">
        <w:rPr>
          <w:rFonts w:ascii="Book Antiqua" w:hAnsi="Book Antiqua"/>
          <w:szCs w:val="24"/>
          <w:lang w:val="es-PR"/>
        </w:rPr>
        <w:t xml:space="preserve"> en la que se consideró el P. del S. 679.  Estuvieron presentes los siguientes miembros de la Comisión</w:t>
      </w:r>
      <w:r w:rsidR="00273FD1">
        <w:rPr>
          <w:rFonts w:ascii="Book Antiqua" w:hAnsi="Book Antiqua"/>
          <w:szCs w:val="24"/>
          <w:lang w:val="es-PR"/>
        </w:rPr>
        <w:t>:</w:t>
      </w:r>
      <w:r w:rsidRPr="00AC03CD">
        <w:rPr>
          <w:rFonts w:ascii="Book Antiqua" w:hAnsi="Book Antiqua"/>
          <w:szCs w:val="24"/>
          <w:lang w:val="es-PR"/>
        </w:rPr>
        <w:t xml:space="preserve"> </w:t>
      </w:r>
      <w:proofErr w:type="spellStart"/>
      <w:r w:rsidRPr="00AC03CD">
        <w:rPr>
          <w:rFonts w:ascii="Book Antiqua" w:hAnsi="Book Antiqua"/>
          <w:szCs w:val="24"/>
          <w:lang w:val="es-PR"/>
        </w:rPr>
        <w:t>Hon</w:t>
      </w:r>
      <w:proofErr w:type="spellEnd"/>
      <w:r w:rsidRPr="00AC03CD">
        <w:rPr>
          <w:rFonts w:ascii="Book Antiqua" w:hAnsi="Book Antiqua"/>
          <w:szCs w:val="24"/>
          <w:lang w:val="es-PR"/>
        </w:rPr>
        <w:t xml:space="preserve">. </w:t>
      </w:r>
      <w:r w:rsidRPr="007237F4">
        <w:rPr>
          <w:rFonts w:ascii="Book Antiqua" w:hAnsi="Book Antiqua"/>
          <w:szCs w:val="24"/>
          <w:lang w:val="es-PR"/>
        </w:rPr>
        <w:t xml:space="preserve">Migdalia Padilla Alvelo y </w:t>
      </w:r>
      <w:r w:rsidRPr="00AC03CD">
        <w:rPr>
          <w:rFonts w:ascii="Book Antiqua" w:hAnsi="Book Antiqua"/>
          <w:szCs w:val="24"/>
          <w:lang w:val="es-PR"/>
        </w:rPr>
        <w:t xml:space="preserve">la </w:t>
      </w:r>
      <w:proofErr w:type="spellStart"/>
      <w:r w:rsidRPr="00AC03CD">
        <w:rPr>
          <w:rFonts w:ascii="Book Antiqua" w:hAnsi="Book Antiqua"/>
          <w:szCs w:val="24"/>
          <w:lang w:val="es-PR"/>
        </w:rPr>
        <w:t>Hon</w:t>
      </w:r>
      <w:proofErr w:type="spellEnd"/>
      <w:r w:rsidRPr="00AC03CD">
        <w:rPr>
          <w:rFonts w:ascii="Book Antiqua" w:hAnsi="Book Antiqua"/>
          <w:szCs w:val="24"/>
          <w:lang w:val="es-PR"/>
        </w:rPr>
        <w:t xml:space="preserve">. </w:t>
      </w:r>
      <w:r w:rsidRPr="007237F4">
        <w:rPr>
          <w:rFonts w:ascii="Book Antiqua" w:hAnsi="Book Antiqua"/>
          <w:szCs w:val="24"/>
          <w:lang w:val="es-PR"/>
        </w:rPr>
        <w:t>Jamie Barlucea Rodríguez</w:t>
      </w:r>
      <w:r w:rsidRPr="00AC03CD">
        <w:rPr>
          <w:rFonts w:ascii="Book Antiqua" w:hAnsi="Book Antiqua"/>
          <w:szCs w:val="24"/>
          <w:lang w:val="es-PR"/>
        </w:rPr>
        <w:t xml:space="preserve">.     </w:t>
      </w:r>
    </w:p>
    <w:p w14:paraId="737E59DF" w14:textId="68AE6C3B" w:rsidR="0040594C" w:rsidRPr="00AC03CD" w:rsidRDefault="0040594C" w:rsidP="006F5D0B">
      <w:pPr>
        <w:spacing w:line="360" w:lineRule="auto"/>
        <w:ind w:firstLine="360"/>
        <w:jc w:val="both"/>
        <w:rPr>
          <w:rFonts w:ascii="Book Antiqua" w:hAnsi="Book Antiqua"/>
          <w:szCs w:val="24"/>
          <w:lang w:val="es-PR"/>
        </w:rPr>
      </w:pPr>
      <w:r w:rsidRPr="00AC03CD">
        <w:rPr>
          <w:rFonts w:ascii="Book Antiqua" w:hAnsi="Book Antiqua"/>
          <w:szCs w:val="24"/>
          <w:lang w:val="es-PR"/>
        </w:rPr>
        <w:lastRenderedPageBreak/>
        <w:t>Comparecieron</w:t>
      </w:r>
      <w:r w:rsidRPr="007237F4">
        <w:rPr>
          <w:rFonts w:ascii="Book Antiqua" w:hAnsi="Book Antiqua"/>
          <w:szCs w:val="24"/>
          <w:lang w:val="es-PR"/>
        </w:rPr>
        <w:t xml:space="preserve"> </w:t>
      </w:r>
      <w:r w:rsidRPr="00AC03CD">
        <w:rPr>
          <w:rFonts w:ascii="Book Antiqua" w:hAnsi="Book Antiqua"/>
          <w:szCs w:val="24"/>
          <w:lang w:val="es-PR"/>
        </w:rPr>
        <w:t xml:space="preserve">a la Vista Pública, tras ser </w:t>
      </w:r>
      <w:r w:rsidRPr="007237F4">
        <w:rPr>
          <w:rFonts w:ascii="Book Antiqua" w:hAnsi="Book Antiqua"/>
          <w:szCs w:val="24"/>
          <w:lang w:val="es-PR"/>
        </w:rPr>
        <w:t xml:space="preserve">debidamente </w:t>
      </w:r>
      <w:r w:rsidRPr="00AC03CD">
        <w:rPr>
          <w:rFonts w:ascii="Book Antiqua" w:hAnsi="Book Antiqua"/>
          <w:szCs w:val="24"/>
          <w:lang w:val="es-PR"/>
        </w:rPr>
        <w:t>convocados, los siguientes deponentes, quienes fueron organizados en dos paneles de discusión para facilitar y agilizar el desarrollo de los trabajos.</w:t>
      </w:r>
    </w:p>
    <w:p w14:paraId="30C29296" w14:textId="77777777" w:rsidR="0040594C" w:rsidRPr="00AC03CD" w:rsidRDefault="0040594C" w:rsidP="006F5D0B">
      <w:pPr>
        <w:ind w:firstLine="360"/>
        <w:jc w:val="both"/>
        <w:rPr>
          <w:rFonts w:ascii="Book Antiqua" w:hAnsi="Book Antiqua"/>
          <w:szCs w:val="24"/>
          <w:lang w:val="es-PR"/>
        </w:rPr>
      </w:pPr>
    </w:p>
    <w:p w14:paraId="514AC861" w14:textId="77777777" w:rsidR="0040594C" w:rsidRPr="00AC03CD" w:rsidRDefault="0040594C" w:rsidP="006F5D0B">
      <w:pPr>
        <w:pStyle w:val="ListParagraph"/>
        <w:numPr>
          <w:ilvl w:val="2"/>
          <w:numId w:val="19"/>
        </w:numPr>
        <w:spacing w:after="0" w:line="360" w:lineRule="auto"/>
        <w:ind w:left="720"/>
        <w:jc w:val="both"/>
        <w:rPr>
          <w:rFonts w:ascii="Book Antiqua" w:eastAsia="Times New Roman" w:hAnsi="Book Antiqua" w:cs="Times New Roman"/>
          <w:kern w:val="0"/>
          <w:lang w:val="es-PR"/>
          <w14:ligatures w14:val="none"/>
        </w:rPr>
      </w:pPr>
      <w:r w:rsidRPr="00AC03CD">
        <w:rPr>
          <w:rFonts w:ascii="Book Antiqua" w:eastAsia="Times New Roman" w:hAnsi="Book Antiqua" w:cs="Times New Roman"/>
          <w:kern w:val="0"/>
          <w:lang w:val="es-PR"/>
          <w14:ligatures w14:val="none"/>
        </w:rPr>
        <w:t>Lcdo. Omar Figueroa Vázquez, Subsecretario del Departamento de la Vivienda de Puerto Rico.</w:t>
      </w:r>
    </w:p>
    <w:p w14:paraId="3CF6218E" w14:textId="77777777" w:rsidR="0040594C" w:rsidRPr="00AC03CD" w:rsidRDefault="0040594C" w:rsidP="006F5D0B">
      <w:pPr>
        <w:pStyle w:val="ListParagraph"/>
        <w:numPr>
          <w:ilvl w:val="2"/>
          <w:numId w:val="19"/>
        </w:numPr>
        <w:spacing w:after="0" w:line="360" w:lineRule="auto"/>
        <w:ind w:left="720"/>
        <w:jc w:val="both"/>
        <w:rPr>
          <w:rFonts w:ascii="Book Antiqua" w:eastAsia="Times New Roman" w:hAnsi="Book Antiqua" w:cs="Times New Roman"/>
          <w:kern w:val="0"/>
          <w:lang w:val="es-PR"/>
          <w14:ligatures w14:val="none"/>
        </w:rPr>
      </w:pPr>
      <w:r w:rsidRPr="00AC03CD">
        <w:rPr>
          <w:rFonts w:ascii="Book Antiqua" w:eastAsia="Times New Roman" w:hAnsi="Book Antiqua" w:cs="Times New Roman"/>
          <w:kern w:val="0"/>
          <w:lang w:val="es-PR"/>
          <w14:ligatures w14:val="none"/>
        </w:rPr>
        <w:t xml:space="preserve">Lcdo. Carlos Olmedo Álvarez, </w:t>
      </w:r>
      <w:proofErr w:type="gramStart"/>
      <w:r w:rsidRPr="00AC03CD">
        <w:rPr>
          <w:rFonts w:ascii="Book Antiqua" w:eastAsia="Times New Roman" w:hAnsi="Book Antiqua" w:cs="Times New Roman"/>
          <w:kern w:val="0"/>
          <w:lang w:val="es-PR"/>
          <w14:ligatures w14:val="none"/>
        </w:rPr>
        <w:t>Secretario</w:t>
      </w:r>
      <w:proofErr w:type="gramEnd"/>
      <w:r w:rsidRPr="00AC03CD">
        <w:rPr>
          <w:rFonts w:ascii="Book Antiqua" w:eastAsia="Times New Roman" w:hAnsi="Book Antiqua" w:cs="Times New Roman"/>
          <w:kern w:val="0"/>
          <w:lang w:val="es-PR"/>
          <w14:ligatures w14:val="none"/>
        </w:rPr>
        <w:t xml:space="preserve"> Asociado de la División de Proyectos Críticos y Prioritarios del Departamento de la Vivienda.</w:t>
      </w:r>
    </w:p>
    <w:p w14:paraId="49722924" w14:textId="77777777" w:rsidR="0040594C" w:rsidRPr="00AC03CD" w:rsidRDefault="0040594C" w:rsidP="006F5D0B">
      <w:pPr>
        <w:pStyle w:val="ListParagraph"/>
        <w:numPr>
          <w:ilvl w:val="2"/>
          <w:numId w:val="19"/>
        </w:numPr>
        <w:spacing w:after="0" w:line="360" w:lineRule="auto"/>
        <w:ind w:left="720"/>
        <w:jc w:val="both"/>
        <w:rPr>
          <w:rFonts w:ascii="Book Antiqua" w:eastAsia="Times New Roman" w:hAnsi="Book Antiqua" w:cs="Times New Roman"/>
          <w:kern w:val="0"/>
          <w:lang w:val="es-PR"/>
          <w14:ligatures w14:val="none"/>
        </w:rPr>
      </w:pPr>
      <w:r w:rsidRPr="00AC03CD">
        <w:rPr>
          <w:rFonts w:ascii="Book Antiqua" w:eastAsia="Times New Roman" w:hAnsi="Book Antiqua" w:cs="Times New Roman"/>
          <w:kern w:val="0"/>
          <w:lang w:val="es-PR"/>
          <w14:ligatures w14:val="none"/>
        </w:rPr>
        <w:t xml:space="preserve">Lcdo. Julio M. Colón Rodríguez, Asesor Legal de la Autoridad de Asesoría Financiera y Agencia Fiscal (AAFAF). </w:t>
      </w:r>
    </w:p>
    <w:p w14:paraId="3BA11AC7" w14:textId="77777777" w:rsidR="0040594C" w:rsidRPr="00AC03CD" w:rsidRDefault="0040594C" w:rsidP="006F5D0B">
      <w:pPr>
        <w:pStyle w:val="ListParagraph"/>
        <w:numPr>
          <w:ilvl w:val="2"/>
          <w:numId w:val="19"/>
        </w:numPr>
        <w:spacing w:after="0" w:line="360" w:lineRule="auto"/>
        <w:ind w:left="720"/>
        <w:jc w:val="both"/>
        <w:rPr>
          <w:rFonts w:ascii="Book Antiqua" w:eastAsia="Times New Roman" w:hAnsi="Book Antiqua" w:cs="Times New Roman"/>
          <w:kern w:val="0"/>
          <w:lang w:val="es-PR"/>
          <w14:ligatures w14:val="none"/>
        </w:rPr>
      </w:pPr>
      <w:r w:rsidRPr="00AC03CD">
        <w:rPr>
          <w:rFonts w:ascii="Book Antiqua" w:eastAsia="Times New Roman" w:hAnsi="Book Antiqua" w:cs="Times New Roman"/>
          <w:kern w:val="0"/>
          <w:lang w:val="es-PR"/>
          <w14:ligatures w14:val="none"/>
        </w:rPr>
        <w:t xml:space="preserve">Sr. </w:t>
      </w:r>
      <w:r w:rsidRPr="007237F4">
        <w:rPr>
          <w:rFonts w:ascii="Book Antiqua" w:eastAsia="Times New Roman" w:hAnsi="Book Antiqua" w:cs="Times New Roman"/>
          <w:kern w:val="0"/>
          <w:lang w:val="es-PR"/>
          <w14:ligatures w14:val="none"/>
        </w:rPr>
        <w:t xml:space="preserve">Milton Serrano, representante de la </w:t>
      </w:r>
      <w:r w:rsidRPr="007237F4">
        <w:rPr>
          <w:rFonts w:ascii="Book Antiqua" w:eastAsia="Times New Roman" w:hAnsi="Book Antiqua" w:cs="Times New Roman"/>
          <w:i/>
          <w:iCs/>
          <w:kern w:val="0"/>
          <w:lang w:val="es-PR"/>
          <w14:ligatures w14:val="none"/>
        </w:rPr>
        <w:t xml:space="preserve">Puerto Rico </w:t>
      </w:r>
      <w:proofErr w:type="spellStart"/>
      <w:r w:rsidRPr="007237F4">
        <w:rPr>
          <w:rFonts w:ascii="Book Antiqua" w:eastAsia="Times New Roman" w:hAnsi="Book Antiqua" w:cs="Times New Roman"/>
          <w:i/>
          <w:iCs/>
          <w:kern w:val="0"/>
          <w:lang w:val="es-PR"/>
          <w14:ligatures w14:val="none"/>
        </w:rPr>
        <w:t>Association</w:t>
      </w:r>
      <w:proofErr w:type="spellEnd"/>
      <w:r w:rsidRPr="007237F4">
        <w:rPr>
          <w:rFonts w:ascii="Book Antiqua" w:eastAsia="Times New Roman" w:hAnsi="Book Antiqua" w:cs="Times New Roman"/>
          <w:i/>
          <w:iCs/>
          <w:kern w:val="0"/>
          <w:lang w:val="es-PR"/>
          <w14:ligatures w14:val="none"/>
        </w:rPr>
        <w:t xml:space="preserve"> </w:t>
      </w:r>
      <w:proofErr w:type="spellStart"/>
      <w:r w:rsidRPr="007237F4">
        <w:rPr>
          <w:rFonts w:ascii="Book Antiqua" w:eastAsia="Times New Roman" w:hAnsi="Book Antiqua" w:cs="Times New Roman"/>
          <w:i/>
          <w:iCs/>
          <w:kern w:val="0"/>
          <w:lang w:val="es-PR"/>
          <w14:ligatures w14:val="none"/>
        </w:rPr>
        <w:t>of</w:t>
      </w:r>
      <w:proofErr w:type="spellEnd"/>
      <w:r w:rsidRPr="007237F4">
        <w:rPr>
          <w:rFonts w:ascii="Book Antiqua" w:eastAsia="Times New Roman" w:hAnsi="Book Antiqua" w:cs="Times New Roman"/>
          <w:i/>
          <w:iCs/>
          <w:kern w:val="0"/>
          <w:lang w:val="es-PR"/>
          <w14:ligatures w14:val="none"/>
        </w:rPr>
        <w:t xml:space="preserve"> </w:t>
      </w:r>
      <w:proofErr w:type="spellStart"/>
      <w:r w:rsidRPr="007237F4">
        <w:rPr>
          <w:rFonts w:ascii="Book Antiqua" w:eastAsia="Times New Roman" w:hAnsi="Book Antiqua" w:cs="Times New Roman"/>
          <w:i/>
          <w:iCs/>
          <w:kern w:val="0"/>
          <w:lang w:val="es-PR"/>
          <w14:ligatures w14:val="none"/>
        </w:rPr>
        <w:t>Realtors</w:t>
      </w:r>
      <w:proofErr w:type="spellEnd"/>
      <w:r w:rsidRPr="007237F4">
        <w:rPr>
          <w:rFonts w:ascii="Book Antiqua" w:eastAsia="Times New Roman" w:hAnsi="Book Antiqua" w:cs="Times New Roman"/>
          <w:kern w:val="0"/>
          <w:lang w:val="es-PR"/>
          <w14:ligatures w14:val="none"/>
        </w:rPr>
        <w:t xml:space="preserve"> (PRAR)</w:t>
      </w:r>
      <w:r w:rsidRPr="00AC03CD">
        <w:rPr>
          <w:rFonts w:ascii="Book Antiqua" w:eastAsia="Times New Roman" w:hAnsi="Book Antiqua" w:cs="Times New Roman"/>
          <w:kern w:val="0"/>
          <w:lang w:val="es-PR"/>
          <w14:ligatures w14:val="none"/>
        </w:rPr>
        <w:t>.</w:t>
      </w:r>
    </w:p>
    <w:p w14:paraId="0D9EB9EA" w14:textId="77777777" w:rsidR="0040594C" w:rsidRPr="00AC03CD" w:rsidRDefault="0040594C" w:rsidP="00465348">
      <w:pPr>
        <w:pStyle w:val="ListParagraph"/>
        <w:spacing w:after="0" w:line="240" w:lineRule="auto"/>
        <w:jc w:val="both"/>
        <w:rPr>
          <w:rFonts w:ascii="Book Antiqua" w:eastAsia="Times New Roman" w:hAnsi="Book Antiqua" w:cs="Times New Roman"/>
          <w:kern w:val="0"/>
          <w:lang w:val="es-PR"/>
          <w14:ligatures w14:val="none"/>
        </w:rPr>
      </w:pPr>
    </w:p>
    <w:p w14:paraId="4FE42C8C" w14:textId="3A375D60" w:rsidR="006F5D0B" w:rsidRDefault="0040594C" w:rsidP="006F5D0B">
      <w:pPr>
        <w:spacing w:line="360" w:lineRule="auto"/>
        <w:ind w:firstLine="360"/>
        <w:jc w:val="both"/>
        <w:rPr>
          <w:rFonts w:ascii="Book Antiqua" w:hAnsi="Book Antiqua"/>
          <w:szCs w:val="24"/>
          <w:lang w:val="es-PR"/>
        </w:rPr>
      </w:pPr>
      <w:r w:rsidRPr="00FA6EEE">
        <w:rPr>
          <w:rFonts w:ascii="Book Antiqua" w:hAnsi="Book Antiqua"/>
          <w:szCs w:val="24"/>
          <w:lang w:val="es-PR"/>
        </w:rPr>
        <w:t>El Lcdo. Julio M. Colón Rodríguez, asesor legal de la AAFAF, comenzó su exposición enfatizando que la agencia requiere considerar ciertos factores antes de emitir una recomendación sobre la medida. Indicó que es imprescindible contar con el Informe de Impacto Fiscal de la Oficina de Presupuesto de la Asamblea Legislativa</w:t>
      </w:r>
      <w:r w:rsidR="00273FD1">
        <w:rPr>
          <w:rFonts w:ascii="Book Antiqua" w:hAnsi="Book Antiqua"/>
          <w:szCs w:val="24"/>
          <w:lang w:val="es-PR"/>
        </w:rPr>
        <w:t xml:space="preserve"> (OPAL)</w:t>
      </w:r>
      <w:r w:rsidRPr="00FA6EEE">
        <w:rPr>
          <w:rFonts w:ascii="Book Antiqua" w:hAnsi="Book Antiqua"/>
          <w:szCs w:val="24"/>
          <w:lang w:val="es-PR"/>
        </w:rPr>
        <w:t xml:space="preserve"> y el insumo del Departamento de Hacienda, particularmente respecto a la contribución preferencial propuesta, para verificar el cumplimiento del principio de neutralidad fiscal exigido por el Plan Fiscal Certificado. Añadió que, salvo esos aspectos pendientes, no existirían objeciones a la medida y resaltó que las entidades que administran los fondos CDBG-DR pueden precisar detalles adicionales sobre la ejecución del proyecto.</w:t>
      </w:r>
      <w:r w:rsidRPr="00AC03CD">
        <w:rPr>
          <w:rFonts w:ascii="Book Antiqua" w:hAnsi="Book Antiqua"/>
          <w:szCs w:val="24"/>
          <w:lang w:val="es-PR"/>
        </w:rPr>
        <w:t xml:space="preserve"> </w:t>
      </w:r>
    </w:p>
    <w:p w14:paraId="1453E768" w14:textId="0C69BF7F" w:rsidR="00D77BF7" w:rsidRPr="00AC03CD" w:rsidRDefault="0040594C" w:rsidP="006F5D0B">
      <w:pPr>
        <w:spacing w:line="360" w:lineRule="auto"/>
        <w:ind w:firstLine="360"/>
        <w:jc w:val="both"/>
        <w:rPr>
          <w:rFonts w:ascii="Book Antiqua" w:hAnsi="Book Antiqua"/>
          <w:szCs w:val="24"/>
          <w:lang w:val="es-PR"/>
        </w:rPr>
      </w:pPr>
      <w:r w:rsidRPr="00AC03CD">
        <w:rPr>
          <w:rFonts w:ascii="Book Antiqua" w:hAnsi="Book Antiqua"/>
          <w:szCs w:val="24"/>
          <w:lang w:val="es-PR"/>
        </w:rPr>
        <w:t xml:space="preserve">El Subsecretario del Departamento de la Vivienda, Lcdo. Omar Figueroa Vázquez, compareció en apoyo al Lcdo. Carlos Olmedo Álvarez y para atender cualquier consulta de la Comisión sobre otros programas no vinculados al CDBG-DR. El Lcdo. Olmedo Álvarez expuso de forma resumida el funcionamiento de los principales programas de recuperación de la agencia: R3, SFM y </w:t>
      </w:r>
      <w:proofErr w:type="spellStart"/>
      <w:r w:rsidRPr="00AC03CD">
        <w:rPr>
          <w:rFonts w:ascii="Book Antiqua" w:hAnsi="Book Antiqua"/>
          <w:szCs w:val="24"/>
          <w:lang w:val="es-PR"/>
        </w:rPr>
        <w:t>ReSURge</w:t>
      </w:r>
      <w:proofErr w:type="spellEnd"/>
      <w:r w:rsidRPr="00AC03CD">
        <w:rPr>
          <w:rFonts w:ascii="Book Antiqua" w:hAnsi="Book Antiqua"/>
          <w:szCs w:val="24"/>
          <w:lang w:val="es-PR"/>
        </w:rPr>
        <w:t xml:space="preserve">, los cuales atienden a familias afectadas por huracanes y terremotos, incluyendo alternativas de reubicación hasta $200,000 sin límite en el precio total de la propiedad y permitiendo sumar otras fuentes de </w:t>
      </w:r>
      <w:r w:rsidRPr="00AC03CD">
        <w:rPr>
          <w:rFonts w:ascii="Book Antiqua" w:hAnsi="Book Antiqua"/>
          <w:szCs w:val="24"/>
          <w:lang w:val="es-PR"/>
        </w:rPr>
        <w:lastRenderedPageBreak/>
        <w:t xml:space="preserve">financiamiento. Asimismo, destacó la inclusión de servicios de asesoría inmobiliaria y la necesaria evaluación técnica, legal y ambiental de cada propiedad. Hasta ese momento, 1,752 de 4,346 familias participantes habían logrado adquirir una vivienda a través de estos programas. </w:t>
      </w:r>
    </w:p>
    <w:p w14:paraId="5FA3559C" w14:textId="77777777" w:rsidR="00D77BF7" w:rsidRPr="00AC03CD" w:rsidRDefault="0040594C" w:rsidP="006F5D0B">
      <w:pPr>
        <w:spacing w:line="360" w:lineRule="auto"/>
        <w:ind w:firstLine="360"/>
        <w:jc w:val="both"/>
        <w:rPr>
          <w:rFonts w:ascii="Book Antiqua" w:hAnsi="Book Antiqua"/>
          <w:szCs w:val="24"/>
          <w:lang w:val="es-PR"/>
        </w:rPr>
      </w:pPr>
      <w:r w:rsidRPr="00AC03CD">
        <w:rPr>
          <w:rFonts w:ascii="Book Antiqua" w:hAnsi="Book Antiqua"/>
          <w:szCs w:val="24"/>
          <w:lang w:val="es-PR"/>
        </w:rPr>
        <w:t xml:space="preserve">El Departamento reiteró su política de no discriminación y aclaró que las querellas por discrimen deben referirse al HUD, ya que la agencia local no tiene jurisdicción para adjudicarlas. Respaldó la exención contributiva sobre ganancias de capital a beneficiarios de programas de recuperación y sugirió extender ese beneficio a inversionistas, finalizando con su aval al proyecto condicionado a la adopción de sus recomendaciones sobre el manejo de querellas y la inclusión de inversionistas en la exención contributiva, reafirmando su disposición a colaborar con la Comisión. </w:t>
      </w:r>
    </w:p>
    <w:p w14:paraId="2B562908" w14:textId="77777777" w:rsidR="005D5463" w:rsidRDefault="0040594C" w:rsidP="006F5D0B">
      <w:pPr>
        <w:spacing w:line="360" w:lineRule="auto"/>
        <w:ind w:firstLine="360"/>
        <w:jc w:val="both"/>
        <w:rPr>
          <w:rFonts w:ascii="Book Antiqua" w:hAnsi="Book Antiqua"/>
          <w:szCs w:val="24"/>
          <w:lang w:val="es-PR"/>
        </w:rPr>
      </w:pPr>
      <w:r w:rsidRPr="00AC03CD">
        <w:rPr>
          <w:rFonts w:ascii="Book Antiqua" w:hAnsi="Book Antiqua"/>
          <w:szCs w:val="24"/>
          <w:lang w:val="es-PR"/>
        </w:rPr>
        <w:t>Durante su turno de preguntas, e</w:t>
      </w:r>
      <w:r w:rsidRPr="00A4716F">
        <w:rPr>
          <w:rFonts w:ascii="Book Antiqua" w:hAnsi="Book Antiqua"/>
          <w:szCs w:val="24"/>
          <w:lang w:val="es-PR"/>
        </w:rPr>
        <w:t xml:space="preserve">l presidente </w:t>
      </w:r>
      <w:r w:rsidRPr="00AC03CD">
        <w:rPr>
          <w:rFonts w:ascii="Book Antiqua" w:hAnsi="Book Antiqua"/>
          <w:szCs w:val="24"/>
          <w:lang w:val="es-PR"/>
        </w:rPr>
        <w:t xml:space="preserve">de la </w:t>
      </w:r>
      <w:r w:rsidR="00D77BF7" w:rsidRPr="00AC03CD">
        <w:rPr>
          <w:rFonts w:ascii="Book Antiqua" w:hAnsi="Book Antiqua"/>
          <w:szCs w:val="24"/>
          <w:lang w:val="es-PR"/>
        </w:rPr>
        <w:t>Comisión</w:t>
      </w:r>
      <w:r w:rsidRPr="00AC03CD">
        <w:rPr>
          <w:rFonts w:ascii="Book Antiqua" w:hAnsi="Book Antiqua"/>
          <w:szCs w:val="24"/>
          <w:lang w:val="es-PR"/>
        </w:rPr>
        <w:t xml:space="preserve">, </w:t>
      </w:r>
      <w:proofErr w:type="spellStart"/>
      <w:r w:rsidRPr="00AC03CD">
        <w:rPr>
          <w:rFonts w:ascii="Book Antiqua" w:hAnsi="Book Antiqua"/>
          <w:szCs w:val="24"/>
          <w:lang w:val="es-PR"/>
        </w:rPr>
        <w:t>Hon</w:t>
      </w:r>
      <w:proofErr w:type="spellEnd"/>
      <w:r w:rsidRPr="00AC03CD">
        <w:rPr>
          <w:rFonts w:ascii="Book Antiqua" w:hAnsi="Book Antiqua"/>
          <w:szCs w:val="24"/>
          <w:lang w:val="es-PR"/>
        </w:rPr>
        <w:t xml:space="preserve">. </w:t>
      </w:r>
      <w:r w:rsidRPr="00A4716F">
        <w:rPr>
          <w:rFonts w:ascii="Book Antiqua" w:hAnsi="Book Antiqua"/>
          <w:szCs w:val="24"/>
          <w:lang w:val="es-PR"/>
        </w:rPr>
        <w:t xml:space="preserve">Carmelo Ríos Santiago preguntó por qué, de 4,346 familias con vales de reubicación, solo 1,752 habían adquirido vivienda, y por qué solo 319 corredores de bienes raíces participaron pese a que </w:t>
      </w:r>
      <w:r w:rsidRPr="00AC03CD">
        <w:rPr>
          <w:rFonts w:ascii="Book Antiqua" w:hAnsi="Book Antiqua"/>
          <w:szCs w:val="24"/>
          <w:lang w:val="es-PR"/>
        </w:rPr>
        <w:t>existen</w:t>
      </w:r>
      <w:r w:rsidRPr="00A4716F">
        <w:rPr>
          <w:rFonts w:ascii="Book Antiqua" w:hAnsi="Book Antiqua"/>
          <w:szCs w:val="24"/>
          <w:lang w:val="es-PR"/>
        </w:rPr>
        <w:t xml:space="preserve"> </w:t>
      </w:r>
      <w:r w:rsidRPr="00AC03CD">
        <w:rPr>
          <w:rFonts w:ascii="Book Antiqua" w:hAnsi="Book Antiqua"/>
          <w:szCs w:val="24"/>
          <w:lang w:val="es-PR"/>
        </w:rPr>
        <w:t>aproximadamente</w:t>
      </w:r>
      <w:r w:rsidRPr="00A4716F">
        <w:rPr>
          <w:rFonts w:ascii="Book Antiqua" w:hAnsi="Book Antiqua"/>
          <w:szCs w:val="24"/>
          <w:lang w:val="es-PR"/>
        </w:rPr>
        <w:t xml:space="preserve"> 900 registrados. </w:t>
      </w:r>
    </w:p>
    <w:p w14:paraId="61D3825D" w14:textId="1D50443A" w:rsidR="00D77BF7" w:rsidRPr="00AC03CD" w:rsidRDefault="0040594C" w:rsidP="006F5D0B">
      <w:pPr>
        <w:spacing w:line="360" w:lineRule="auto"/>
        <w:ind w:firstLine="360"/>
        <w:jc w:val="both"/>
        <w:rPr>
          <w:rFonts w:ascii="Book Antiqua" w:hAnsi="Book Antiqua"/>
          <w:szCs w:val="24"/>
          <w:lang w:val="es-PR"/>
        </w:rPr>
      </w:pPr>
      <w:r w:rsidRPr="00A4716F">
        <w:rPr>
          <w:rFonts w:ascii="Book Antiqua" w:hAnsi="Book Antiqua"/>
          <w:szCs w:val="24"/>
          <w:lang w:val="es-PR"/>
        </w:rPr>
        <w:t>El Lcdo. Olmedo explicó que muchas veces solo uno de varios agentes dentro de un grupo maneja estos casos, y que obstáculos como el precio de la propiedad, el incumplimiento con requisitos de HUD, la ubicación inadecuada y los retrasos en la entrega de documentos dificultan completar más cierres. Como incentivo, se les ofrece a los corredores una comisión de hasta $4,000 por transacción. Además, respecto a las querellas por discrimen, Olmedo sostuvo que la remisión al HUD es obligatoria por normativa federal, pero consideró viable que se le otorgue jurisdicción al Departamento si el HUD no atiende los casos en un plazo determinado, manteniendo siempre la obligación inicial de referir las querellas al organismo federal.</w:t>
      </w:r>
    </w:p>
    <w:p w14:paraId="4726DB8A" w14:textId="77777777" w:rsidR="00D77BF7" w:rsidRPr="00AC03CD" w:rsidRDefault="0040594C" w:rsidP="006F5D0B">
      <w:pPr>
        <w:spacing w:line="360" w:lineRule="auto"/>
        <w:ind w:firstLine="360"/>
        <w:jc w:val="both"/>
        <w:rPr>
          <w:rFonts w:ascii="Book Antiqua" w:hAnsi="Book Antiqua"/>
          <w:szCs w:val="24"/>
          <w:lang w:val="es-PR"/>
        </w:rPr>
      </w:pPr>
      <w:r w:rsidRPr="00E87403">
        <w:rPr>
          <w:rFonts w:ascii="Book Antiqua" w:hAnsi="Book Antiqua"/>
          <w:szCs w:val="24"/>
          <w:lang w:val="es-PR"/>
        </w:rPr>
        <w:t xml:space="preserve">La Comisión concedió al Departamento de la Vivienda un plazo de cinco días </w:t>
      </w:r>
      <w:r w:rsidRPr="007237F4">
        <w:rPr>
          <w:rFonts w:ascii="Book Antiqua" w:hAnsi="Book Antiqua"/>
          <w:szCs w:val="24"/>
          <w:lang w:val="es-PR"/>
        </w:rPr>
        <w:t xml:space="preserve">para remitir información adicional requerida, incluyendo las comunidades impactadas por los programas, enmiendas al texto de la medida para añadir el término “comunidad”, </w:t>
      </w:r>
      <w:r w:rsidRPr="007237F4">
        <w:rPr>
          <w:rFonts w:ascii="Book Antiqua" w:hAnsi="Book Antiqua"/>
          <w:szCs w:val="24"/>
          <w:lang w:val="es-PR"/>
        </w:rPr>
        <w:lastRenderedPageBreak/>
        <w:t>sugerencias relacionadas con el término para que HUD atienda las querellas y el establecimiento de jurisdicción, y un informe sobre las querellas presentadas y atendidas.</w:t>
      </w:r>
    </w:p>
    <w:p w14:paraId="3D842EBE" w14:textId="77777777" w:rsidR="005D5463" w:rsidRDefault="0040594C" w:rsidP="006F5D0B">
      <w:pPr>
        <w:spacing w:line="360" w:lineRule="auto"/>
        <w:ind w:firstLine="360"/>
        <w:jc w:val="both"/>
        <w:rPr>
          <w:rFonts w:ascii="Book Antiqua" w:hAnsi="Book Antiqua"/>
          <w:szCs w:val="24"/>
          <w:lang w:val="es-PR"/>
        </w:rPr>
      </w:pPr>
      <w:r w:rsidRPr="00AC03CD">
        <w:rPr>
          <w:rFonts w:ascii="Book Antiqua" w:hAnsi="Book Antiqua"/>
          <w:szCs w:val="24"/>
          <w:lang w:val="es-PR"/>
        </w:rPr>
        <w:t>Por su parte, l</w:t>
      </w:r>
      <w:r w:rsidRPr="00E87403">
        <w:rPr>
          <w:rFonts w:ascii="Book Antiqua" w:hAnsi="Book Antiqua"/>
          <w:szCs w:val="24"/>
          <w:lang w:val="es-PR"/>
        </w:rPr>
        <w:t xml:space="preserve">a </w:t>
      </w:r>
      <w:proofErr w:type="spellStart"/>
      <w:r w:rsidRPr="00AC03CD">
        <w:rPr>
          <w:rFonts w:ascii="Book Antiqua" w:hAnsi="Book Antiqua"/>
          <w:szCs w:val="24"/>
          <w:lang w:val="es-PR"/>
        </w:rPr>
        <w:t>Hon</w:t>
      </w:r>
      <w:proofErr w:type="spellEnd"/>
      <w:r w:rsidRPr="00AC03CD">
        <w:rPr>
          <w:rFonts w:ascii="Book Antiqua" w:hAnsi="Book Antiqua"/>
          <w:szCs w:val="24"/>
          <w:lang w:val="es-PR"/>
        </w:rPr>
        <w:t xml:space="preserve">. </w:t>
      </w:r>
      <w:r w:rsidRPr="00E87403">
        <w:rPr>
          <w:rFonts w:ascii="Book Antiqua" w:hAnsi="Book Antiqua"/>
          <w:szCs w:val="24"/>
          <w:lang w:val="es-PR"/>
        </w:rPr>
        <w:t xml:space="preserve">Migdalia Padilla Alvelo </w:t>
      </w:r>
      <w:r w:rsidRPr="00AC03CD">
        <w:rPr>
          <w:rFonts w:ascii="Book Antiqua" w:hAnsi="Book Antiqua"/>
          <w:szCs w:val="24"/>
          <w:lang w:val="es-PR"/>
        </w:rPr>
        <w:t xml:space="preserve">preguntó si la medida legislativa resulta necesaria o si el Departamento ya cuenta con reglamentación suficiente, además de consultar sobre el proceso de selección de municipios o comunidades para participar de los programas y el rol de las organizaciones sin fines de lucro en el proceso. </w:t>
      </w:r>
    </w:p>
    <w:p w14:paraId="6199184F" w14:textId="2370E815" w:rsidR="00D77BF7" w:rsidRPr="00AC03CD" w:rsidRDefault="0040594C" w:rsidP="006F5D0B">
      <w:pPr>
        <w:spacing w:line="360" w:lineRule="auto"/>
        <w:ind w:firstLine="360"/>
        <w:jc w:val="both"/>
        <w:rPr>
          <w:rFonts w:ascii="Book Antiqua" w:hAnsi="Book Antiqua"/>
          <w:szCs w:val="24"/>
          <w:lang w:val="es-PR"/>
        </w:rPr>
      </w:pPr>
      <w:r w:rsidRPr="00AC03CD">
        <w:rPr>
          <w:rFonts w:ascii="Book Antiqua" w:hAnsi="Book Antiqua"/>
          <w:szCs w:val="24"/>
          <w:lang w:val="es-PR"/>
        </w:rPr>
        <w:t xml:space="preserve">El Lcdo. Olmedo explicó que cada programa presenta particularidades, como en el Programa </w:t>
      </w:r>
      <w:proofErr w:type="spellStart"/>
      <w:r w:rsidRPr="00AC03CD">
        <w:rPr>
          <w:rFonts w:ascii="Book Antiqua" w:hAnsi="Book Antiqua"/>
          <w:szCs w:val="24"/>
          <w:lang w:val="es-PR"/>
        </w:rPr>
        <w:t>ReSURge</w:t>
      </w:r>
      <w:proofErr w:type="spellEnd"/>
      <w:r w:rsidRPr="00AC03CD">
        <w:rPr>
          <w:rFonts w:ascii="Book Antiqua" w:hAnsi="Book Antiqua"/>
          <w:szCs w:val="24"/>
          <w:lang w:val="es-PR"/>
        </w:rPr>
        <w:t>, donde fueron los municipios quienes promocionaron e identificaron participantes. A su vez, aclaró que el criterio de elegibilidad se centra en las comunidades que fueron significativamente impactadas por huracanes y terremotos. Respecto a las organizaciones sin fines de lucro, indicó que existen acuerdos de colaboración con municipios y estas entidades, algunas de las cuales se especializan en reconstruir propiedades para incluirlas en el inventario disponible del Departamento. La senadora concluyó su turno reconociendo la labor del Programa de Títulos del Departamento, particularmente en el Distrito de Bayamón.</w:t>
      </w:r>
    </w:p>
    <w:p w14:paraId="4F37C22C" w14:textId="77777777" w:rsidR="005D5463" w:rsidRDefault="0040594C" w:rsidP="006F5D0B">
      <w:pPr>
        <w:spacing w:line="360" w:lineRule="auto"/>
        <w:ind w:firstLine="360"/>
        <w:jc w:val="both"/>
        <w:rPr>
          <w:rFonts w:ascii="Book Antiqua" w:hAnsi="Book Antiqua"/>
          <w:szCs w:val="24"/>
          <w:lang w:val="es-PR"/>
        </w:rPr>
      </w:pPr>
      <w:r w:rsidRPr="00AC03CD">
        <w:rPr>
          <w:rFonts w:ascii="Book Antiqua" w:hAnsi="Book Antiqua"/>
          <w:szCs w:val="24"/>
          <w:lang w:val="es-PR"/>
        </w:rPr>
        <w:t xml:space="preserve">En su turno de preguntas, la </w:t>
      </w:r>
      <w:proofErr w:type="spellStart"/>
      <w:r w:rsidRPr="00AC03CD">
        <w:rPr>
          <w:rFonts w:ascii="Book Antiqua" w:hAnsi="Book Antiqua"/>
          <w:szCs w:val="24"/>
          <w:lang w:val="es-PR"/>
        </w:rPr>
        <w:t>Hon</w:t>
      </w:r>
      <w:proofErr w:type="spellEnd"/>
      <w:r w:rsidRPr="00AC03CD">
        <w:rPr>
          <w:rFonts w:ascii="Book Antiqua" w:hAnsi="Book Antiqua"/>
          <w:szCs w:val="24"/>
          <w:lang w:val="es-PR"/>
        </w:rPr>
        <w:t xml:space="preserve">. </w:t>
      </w:r>
      <w:r w:rsidRPr="00FA0312">
        <w:rPr>
          <w:rFonts w:ascii="Book Antiqua" w:hAnsi="Book Antiqua"/>
          <w:szCs w:val="24"/>
          <w:lang w:val="es-PR"/>
        </w:rPr>
        <w:t xml:space="preserve"> Jamie Barlucea Rodríguez destacó la importancia del tema por los efectos que los desastres naturales han tenido en varios municipios de su distrito, causando pérdida poblacional y afectando su estabilidad económica. Mencionó que una queja frecuente se relaciona con la dilación de los procesos y preguntó sobre los mecanismos para identificar casos de discrimen y cómo equilibrar el derecho a la propiedad con las garantías contra actos discriminatorios. </w:t>
      </w:r>
    </w:p>
    <w:p w14:paraId="7FD443C3" w14:textId="130202F2" w:rsidR="00D77BF7" w:rsidRPr="00AC03CD" w:rsidRDefault="0040594C" w:rsidP="006F5D0B">
      <w:pPr>
        <w:spacing w:line="360" w:lineRule="auto"/>
        <w:ind w:firstLine="360"/>
        <w:jc w:val="both"/>
        <w:rPr>
          <w:rFonts w:ascii="Book Antiqua" w:hAnsi="Book Antiqua"/>
          <w:szCs w:val="24"/>
          <w:lang w:val="es-PR"/>
        </w:rPr>
      </w:pPr>
      <w:r w:rsidRPr="00FA0312">
        <w:rPr>
          <w:rFonts w:ascii="Book Antiqua" w:hAnsi="Book Antiqua"/>
          <w:szCs w:val="24"/>
          <w:lang w:val="es-PR"/>
        </w:rPr>
        <w:t>El Lcdo. Olmedo respondió que no posee información sobre los procedimientos internos del HUD para atender querellas, ya que el Departamento de la Vivienda solo interviene cuando el HUD lo solicita, y reiteró su disposición a colaborar con la Comisión en la elaboración de enmiendas y otros asuntos requeridos.</w:t>
      </w:r>
    </w:p>
    <w:p w14:paraId="4E0B776D" w14:textId="77777777" w:rsidR="00D77BF7" w:rsidRPr="00AC03CD" w:rsidRDefault="0040594C" w:rsidP="006F5D0B">
      <w:pPr>
        <w:spacing w:line="360" w:lineRule="auto"/>
        <w:ind w:firstLine="360"/>
        <w:jc w:val="both"/>
        <w:rPr>
          <w:rFonts w:ascii="Book Antiqua" w:hAnsi="Book Antiqua"/>
          <w:szCs w:val="24"/>
          <w:lang w:val="es-PR"/>
        </w:rPr>
      </w:pPr>
      <w:r w:rsidRPr="007237F4">
        <w:rPr>
          <w:rFonts w:ascii="Book Antiqua" w:hAnsi="Book Antiqua"/>
          <w:szCs w:val="24"/>
          <w:lang w:val="es-PR"/>
        </w:rPr>
        <w:t xml:space="preserve">Posteriormente, compareció el Sr. Milton Serrano, representante de la </w:t>
      </w:r>
      <w:r w:rsidRPr="001247B6">
        <w:rPr>
          <w:rFonts w:ascii="Book Antiqua" w:hAnsi="Book Antiqua"/>
          <w:szCs w:val="24"/>
          <w:lang w:val="es-PR"/>
        </w:rPr>
        <w:t xml:space="preserve">Puerto Rico </w:t>
      </w:r>
      <w:proofErr w:type="spellStart"/>
      <w:r w:rsidRPr="001247B6">
        <w:rPr>
          <w:rFonts w:ascii="Book Antiqua" w:hAnsi="Book Antiqua"/>
          <w:szCs w:val="24"/>
          <w:lang w:val="es-PR"/>
        </w:rPr>
        <w:t>Association</w:t>
      </w:r>
      <w:proofErr w:type="spellEnd"/>
      <w:r w:rsidRPr="001247B6">
        <w:rPr>
          <w:rFonts w:ascii="Book Antiqua" w:hAnsi="Book Antiqua"/>
          <w:szCs w:val="24"/>
          <w:lang w:val="es-PR"/>
        </w:rPr>
        <w:t xml:space="preserve"> </w:t>
      </w:r>
      <w:proofErr w:type="spellStart"/>
      <w:r w:rsidRPr="001247B6">
        <w:rPr>
          <w:rFonts w:ascii="Book Antiqua" w:hAnsi="Book Antiqua"/>
          <w:szCs w:val="24"/>
          <w:lang w:val="es-PR"/>
        </w:rPr>
        <w:t>of</w:t>
      </w:r>
      <w:proofErr w:type="spellEnd"/>
      <w:r w:rsidRPr="001247B6">
        <w:rPr>
          <w:rFonts w:ascii="Book Antiqua" w:hAnsi="Book Antiqua"/>
          <w:szCs w:val="24"/>
          <w:lang w:val="es-PR"/>
        </w:rPr>
        <w:t xml:space="preserve"> </w:t>
      </w:r>
      <w:proofErr w:type="spellStart"/>
      <w:r w:rsidRPr="001247B6">
        <w:rPr>
          <w:rFonts w:ascii="Book Antiqua" w:hAnsi="Book Antiqua"/>
          <w:szCs w:val="24"/>
          <w:lang w:val="es-PR"/>
        </w:rPr>
        <w:t>Realtors</w:t>
      </w:r>
      <w:proofErr w:type="spellEnd"/>
      <w:r w:rsidRPr="007237F4">
        <w:rPr>
          <w:rFonts w:ascii="Book Antiqua" w:hAnsi="Book Antiqua"/>
          <w:szCs w:val="24"/>
          <w:lang w:val="es-PR"/>
        </w:rPr>
        <w:t xml:space="preserve"> (PRAR), quien manifestó el endoso de dicha organización a los </w:t>
      </w:r>
      <w:r w:rsidRPr="007237F4">
        <w:rPr>
          <w:rFonts w:ascii="Book Antiqua" w:hAnsi="Book Antiqua"/>
          <w:szCs w:val="24"/>
          <w:lang w:val="es-PR"/>
        </w:rPr>
        <w:lastRenderedPageBreak/>
        <w:t xml:space="preserve">principios de la medida y su oposición a toda forma de discrimen en la adquisición y rehabilitación de vivienda. Recomendó que la legislación defina claramente en qué circunstancias no hay discrimen, para evitar sancionar injustamente a corredores ante problemas administrativos, litigios o tasaciones fuera de su control. Solicitó que omisiones de propietarios no se imputen a los corredores, más capacitación a todos los involucrados, que las sanciones sean proporcionales y que se consulte a PRAR en futuros procesos reglamentarios. El presidente de la Comisión solicitó sus recomendaciones por escrito sobre las definiciones y criterios aplicables en materia de discrimen y mejores prácticas regulatorias. </w:t>
      </w:r>
    </w:p>
    <w:p w14:paraId="39BA0BB3" w14:textId="4F175B04" w:rsidR="0040594C" w:rsidRPr="00AC03CD" w:rsidRDefault="0040594C" w:rsidP="006F5D0B">
      <w:pPr>
        <w:spacing w:line="360" w:lineRule="auto"/>
        <w:ind w:firstLine="360"/>
        <w:jc w:val="both"/>
        <w:rPr>
          <w:rFonts w:ascii="Book Antiqua" w:hAnsi="Book Antiqua"/>
          <w:szCs w:val="24"/>
          <w:lang w:val="es-PR"/>
        </w:rPr>
      </w:pPr>
      <w:r w:rsidRPr="00AC03CD">
        <w:rPr>
          <w:rFonts w:ascii="Book Antiqua" w:hAnsi="Book Antiqua"/>
          <w:szCs w:val="24"/>
          <w:lang w:val="es-PR"/>
        </w:rPr>
        <w:t>No habiendo otros asuntos que atender, la Vista Pública culminó a las 12:31 p.m.</w:t>
      </w:r>
    </w:p>
    <w:p w14:paraId="53223E9D" w14:textId="77777777" w:rsidR="00D77BF7" w:rsidRPr="00AC03CD" w:rsidRDefault="00D77BF7" w:rsidP="00465348">
      <w:pPr>
        <w:ind w:firstLine="360"/>
        <w:jc w:val="both"/>
        <w:rPr>
          <w:rFonts w:ascii="Book Antiqua" w:hAnsi="Book Antiqua"/>
          <w:szCs w:val="24"/>
          <w:lang w:val="es-PR"/>
        </w:rPr>
      </w:pPr>
    </w:p>
    <w:p w14:paraId="2EEBDE6D" w14:textId="1C54B503" w:rsidR="00D77BF7" w:rsidRPr="00AC03CD" w:rsidRDefault="00D77BF7" w:rsidP="001247B6">
      <w:pPr>
        <w:spacing w:line="360" w:lineRule="auto"/>
        <w:ind w:firstLine="360"/>
        <w:jc w:val="center"/>
        <w:rPr>
          <w:rFonts w:ascii="Book Antiqua" w:hAnsi="Book Antiqua"/>
          <w:b/>
          <w:bCs/>
          <w:szCs w:val="24"/>
          <w:lang w:val="es-PR"/>
        </w:rPr>
      </w:pPr>
      <w:r w:rsidRPr="00AC03CD">
        <w:rPr>
          <w:rFonts w:ascii="Book Antiqua" w:hAnsi="Book Antiqua"/>
          <w:b/>
          <w:bCs/>
          <w:szCs w:val="24"/>
          <w:lang w:val="es-PR"/>
        </w:rPr>
        <w:t>HALLAZGOS Y RECOMENDACIONES</w:t>
      </w:r>
    </w:p>
    <w:p w14:paraId="330ED99C" w14:textId="278F9C7D" w:rsidR="00DD3341" w:rsidRPr="00DD3341" w:rsidRDefault="00FD387D" w:rsidP="00FD387D">
      <w:pPr>
        <w:spacing w:line="360" w:lineRule="auto"/>
        <w:ind w:firstLine="360"/>
        <w:jc w:val="both"/>
        <w:rPr>
          <w:rFonts w:ascii="Book Antiqua" w:hAnsi="Book Antiqua"/>
          <w:szCs w:val="24"/>
          <w:lang w:val="es-PR"/>
        </w:rPr>
      </w:pPr>
      <w:r w:rsidRPr="00AC03CD">
        <w:rPr>
          <w:rFonts w:ascii="Book Antiqua" w:hAnsi="Book Antiqua"/>
          <w:szCs w:val="24"/>
          <w:lang w:val="es-PR"/>
        </w:rPr>
        <w:t xml:space="preserve">Tras el análisis exhaustivo del </w:t>
      </w:r>
      <w:r>
        <w:rPr>
          <w:rFonts w:ascii="Book Antiqua" w:hAnsi="Book Antiqua"/>
          <w:szCs w:val="24"/>
          <w:lang w:val="es-PR"/>
        </w:rPr>
        <w:t>P. del S.</w:t>
      </w:r>
      <w:r w:rsidRPr="00AC03CD">
        <w:rPr>
          <w:rFonts w:ascii="Book Antiqua" w:hAnsi="Book Antiqua"/>
          <w:szCs w:val="24"/>
          <w:lang w:val="es-PR"/>
        </w:rPr>
        <w:t xml:space="preserve"> 679</w:t>
      </w:r>
      <w:r>
        <w:rPr>
          <w:rFonts w:ascii="Book Antiqua" w:hAnsi="Book Antiqua"/>
          <w:szCs w:val="24"/>
          <w:lang w:val="es-PR"/>
        </w:rPr>
        <w:t>,</w:t>
      </w:r>
      <w:r w:rsidRPr="00AC03CD">
        <w:rPr>
          <w:rFonts w:ascii="Book Antiqua" w:hAnsi="Book Antiqua"/>
          <w:szCs w:val="24"/>
          <w:lang w:val="es-PR"/>
        </w:rPr>
        <w:t xml:space="preserve"> los memoriales presentados</w:t>
      </w:r>
      <w:r>
        <w:rPr>
          <w:rFonts w:ascii="Book Antiqua" w:hAnsi="Book Antiqua"/>
          <w:szCs w:val="24"/>
          <w:lang w:val="es-PR"/>
        </w:rPr>
        <w:t xml:space="preserve"> y lo discutido durante la Vista Pública celebrada en consideración a la medida</w:t>
      </w:r>
      <w:r w:rsidRPr="00AC03CD">
        <w:rPr>
          <w:rFonts w:ascii="Book Antiqua" w:hAnsi="Book Antiqua"/>
          <w:szCs w:val="24"/>
          <w:lang w:val="es-PR"/>
        </w:rPr>
        <w:t>, la</w:t>
      </w:r>
      <w:r>
        <w:rPr>
          <w:rFonts w:ascii="Book Antiqua" w:hAnsi="Book Antiqua"/>
          <w:szCs w:val="24"/>
          <w:lang w:val="es-PR"/>
        </w:rPr>
        <w:t>s</w:t>
      </w:r>
      <w:r w:rsidRPr="00AC03CD">
        <w:rPr>
          <w:rFonts w:ascii="Book Antiqua" w:hAnsi="Book Antiqua"/>
          <w:szCs w:val="24"/>
          <w:lang w:val="es-PR"/>
        </w:rPr>
        <w:t xml:space="preserve"> Comisi</w:t>
      </w:r>
      <w:r>
        <w:rPr>
          <w:rFonts w:ascii="Book Antiqua" w:hAnsi="Book Antiqua"/>
          <w:szCs w:val="24"/>
          <w:lang w:val="es-PR"/>
        </w:rPr>
        <w:t>ones</w:t>
      </w:r>
      <w:r w:rsidRPr="00AC03CD">
        <w:rPr>
          <w:rFonts w:ascii="Book Antiqua" w:hAnsi="Book Antiqua"/>
          <w:szCs w:val="24"/>
          <w:lang w:val="es-PR"/>
        </w:rPr>
        <w:t xml:space="preserve"> de Relaciones Federales y Viabilización del Mandato del Pueblo para la Solución del Estatus</w:t>
      </w:r>
      <w:r>
        <w:rPr>
          <w:rFonts w:ascii="Book Antiqua" w:hAnsi="Book Antiqua"/>
          <w:szCs w:val="24"/>
          <w:lang w:val="es-PR"/>
        </w:rPr>
        <w:t>; y de Vivienda y Bienestar</w:t>
      </w:r>
      <w:r w:rsidRPr="00AC03CD">
        <w:rPr>
          <w:rFonts w:ascii="Book Antiqua" w:hAnsi="Book Antiqua"/>
          <w:szCs w:val="24"/>
          <w:lang w:val="es-PR"/>
        </w:rPr>
        <w:t xml:space="preserve"> concluye</w:t>
      </w:r>
      <w:r>
        <w:rPr>
          <w:rFonts w:ascii="Book Antiqua" w:hAnsi="Book Antiqua"/>
          <w:szCs w:val="24"/>
          <w:lang w:val="es-PR"/>
        </w:rPr>
        <w:t>n</w:t>
      </w:r>
      <w:r w:rsidRPr="00AC03CD">
        <w:rPr>
          <w:rFonts w:ascii="Book Antiqua" w:hAnsi="Book Antiqua"/>
          <w:szCs w:val="24"/>
          <w:lang w:val="es-PR"/>
        </w:rPr>
        <w:t xml:space="preserve"> que la medida legislativa responde a una problemática grave en la recuperación </w:t>
      </w:r>
      <w:proofErr w:type="spellStart"/>
      <w:r w:rsidRPr="00AC03CD">
        <w:rPr>
          <w:rFonts w:ascii="Book Antiqua" w:hAnsi="Book Antiqua"/>
          <w:szCs w:val="24"/>
          <w:lang w:val="es-PR"/>
        </w:rPr>
        <w:t>post-desastre</w:t>
      </w:r>
      <w:proofErr w:type="spellEnd"/>
      <w:r w:rsidRPr="00AC03CD">
        <w:rPr>
          <w:rFonts w:ascii="Book Antiqua" w:hAnsi="Book Antiqua"/>
          <w:szCs w:val="24"/>
          <w:lang w:val="es-PR"/>
        </w:rPr>
        <w:t xml:space="preserve"> de Puerto Rico, donde, a pesar de haberse destinado $2,175 millones en fondos federales CDBG-DR para vivienda, dos tercios de los beneficiarios no han podido adquirir propiedades por el rechazo persistente de vendedores a aceptar vales federales. Esta realidad no solo implica un desaprovechamiento de recursos públicos, sino que perpetúa la discriminación y vulnerabilidad de las familias afectadas. </w:t>
      </w:r>
    </w:p>
    <w:p w14:paraId="5BBEF163" w14:textId="2AA15EA0" w:rsidR="00DD3341" w:rsidRPr="00DD3341" w:rsidRDefault="00FD387D" w:rsidP="00FD387D">
      <w:pPr>
        <w:spacing w:line="360" w:lineRule="auto"/>
        <w:ind w:firstLine="360"/>
        <w:jc w:val="both"/>
        <w:rPr>
          <w:rFonts w:ascii="Book Antiqua" w:hAnsi="Book Antiqua"/>
          <w:szCs w:val="24"/>
          <w:lang w:val="es-PR"/>
        </w:rPr>
      </w:pPr>
      <w:r w:rsidRPr="00FD387D">
        <w:rPr>
          <w:rFonts w:ascii="Book Antiqua" w:hAnsi="Book Antiqua"/>
          <w:szCs w:val="24"/>
          <w:lang w:val="es-PR"/>
        </w:rPr>
        <w:t>A su vez, e</w:t>
      </w:r>
      <w:r w:rsidR="00DD3341" w:rsidRPr="00DD3341">
        <w:rPr>
          <w:rFonts w:ascii="Book Antiqua" w:hAnsi="Book Antiqua"/>
          <w:szCs w:val="24"/>
          <w:lang w:val="es-PR"/>
        </w:rPr>
        <w:t xml:space="preserve">l P. del S. 679 se encuentra plenamente alineado con la política pública de la presente Administración, la cual mantiene un compromiso firme con el fomento del desarrollo económico, la protección del patrimonio familiar, y la facilitación del acceso a vivienda digna, segura y accesible para todos los puertorriqueños. La medida complementa de manera estratégica los esfuerzos legislativos ya emprendidos por esta Administración, particularmente </w:t>
      </w:r>
      <w:r w:rsidR="009E2A60">
        <w:rPr>
          <w:rFonts w:ascii="Book Antiqua" w:hAnsi="Book Antiqua"/>
          <w:szCs w:val="24"/>
          <w:lang w:val="es-PR"/>
        </w:rPr>
        <w:t xml:space="preserve">el </w:t>
      </w:r>
      <w:r w:rsidR="00FD54BE">
        <w:rPr>
          <w:rFonts w:ascii="Book Antiqua" w:hAnsi="Book Antiqua"/>
          <w:szCs w:val="24"/>
          <w:lang w:val="es-PR"/>
        </w:rPr>
        <w:t>P. del S.</w:t>
      </w:r>
      <w:r w:rsidR="009E2A60">
        <w:rPr>
          <w:rFonts w:ascii="Book Antiqua" w:hAnsi="Book Antiqua"/>
          <w:szCs w:val="24"/>
          <w:lang w:val="es-PR"/>
        </w:rPr>
        <w:t xml:space="preserve"> 493 y </w:t>
      </w:r>
      <w:r w:rsidR="00DD3341" w:rsidRPr="00DD3341">
        <w:rPr>
          <w:rFonts w:ascii="Book Antiqua" w:hAnsi="Book Antiqua"/>
          <w:szCs w:val="24"/>
          <w:lang w:val="es-PR"/>
        </w:rPr>
        <w:t>el P</w:t>
      </w:r>
      <w:r w:rsidR="00FD54BE">
        <w:rPr>
          <w:rFonts w:ascii="Book Antiqua" w:hAnsi="Book Antiqua"/>
          <w:szCs w:val="24"/>
          <w:lang w:val="es-PR"/>
        </w:rPr>
        <w:t>.</w:t>
      </w:r>
      <w:r w:rsidR="00DD3341" w:rsidRPr="00DD3341">
        <w:rPr>
          <w:rFonts w:ascii="Book Antiqua" w:hAnsi="Book Antiqua"/>
          <w:szCs w:val="24"/>
          <w:lang w:val="es-PR"/>
        </w:rPr>
        <w:t xml:space="preserve"> de la C</w:t>
      </w:r>
      <w:r w:rsidR="00FD54BE">
        <w:rPr>
          <w:rFonts w:ascii="Book Antiqua" w:hAnsi="Book Antiqua"/>
          <w:szCs w:val="24"/>
          <w:lang w:val="es-PR"/>
        </w:rPr>
        <w:t>.</w:t>
      </w:r>
      <w:r w:rsidR="00DD3341" w:rsidRPr="00DD3341">
        <w:rPr>
          <w:rFonts w:ascii="Book Antiqua" w:hAnsi="Book Antiqua"/>
          <w:szCs w:val="24"/>
          <w:lang w:val="es-PR"/>
        </w:rPr>
        <w:t xml:space="preserve"> 502, aprobado el 11 de </w:t>
      </w:r>
      <w:r w:rsidR="00DD3341" w:rsidRPr="00DD3341">
        <w:rPr>
          <w:rFonts w:ascii="Book Antiqua" w:hAnsi="Book Antiqua"/>
          <w:szCs w:val="24"/>
          <w:lang w:val="es-PR"/>
        </w:rPr>
        <w:lastRenderedPageBreak/>
        <w:t>septiembre de 2025</w:t>
      </w:r>
      <w:r w:rsidR="009E2A60">
        <w:rPr>
          <w:rFonts w:ascii="Book Antiqua" w:hAnsi="Book Antiqua"/>
          <w:szCs w:val="24"/>
          <w:lang w:val="es-PR"/>
        </w:rPr>
        <w:t xml:space="preserve"> en la Cámara de Representantes</w:t>
      </w:r>
      <w:r w:rsidR="00DD3341" w:rsidRPr="00DD3341">
        <w:rPr>
          <w:rFonts w:ascii="Book Antiqua" w:hAnsi="Book Antiqua"/>
          <w:szCs w:val="24"/>
          <w:lang w:val="es-PR"/>
        </w:rPr>
        <w:t>, creando un ecosistema integral de políticas públicas para el desarrollo del mercado inmobiliario.</w:t>
      </w:r>
    </w:p>
    <w:p w14:paraId="473F5A40" w14:textId="3D9F60BD" w:rsidR="00DD3341" w:rsidRPr="00DD3341" w:rsidRDefault="009E2A60" w:rsidP="009E2A60">
      <w:pPr>
        <w:spacing w:line="360" w:lineRule="auto"/>
        <w:ind w:firstLine="360"/>
        <w:jc w:val="both"/>
        <w:rPr>
          <w:rFonts w:ascii="Book Antiqua" w:hAnsi="Book Antiqua"/>
          <w:szCs w:val="24"/>
          <w:lang w:val="es-PR"/>
        </w:rPr>
      </w:pPr>
      <w:r w:rsidRPr="00FD54BE">
        <w:rPr>
          <w:rFonts w:ascii="Book Antiqua" w:hAnsi="Book Antiqua"/>
          <w:szCs w:val="24"/>
          <w:lang w:val="es-PR"/>
        </w:rPr>
        <w:t>Tal como se expone en los informes positivos presentados por las Comisiones que consideraron ambas medidas legislativas,</w:t>
      </w:r>
      <w:r>
        <w:rPr>
          <w:rFonts w:ascii="Book Antiqua" w:hAnsi="Book Antiqua"/>
          <w:b/>
          <w:bCs/>
          <w:szCs w:val="24"/>
          <w:lang w:val="es-PR"/>
        </w:rPr>
        <w:t xml:space="preserve"> </w:t>
      </w:r>
      <w:r w:rsidR="00DD3341" w:rsidRPr="00DD3341">
        <w:rPr>
          <w:rFonts w:ascii="Book Antiqua" w:hAnsi="Book Antiqua"/>
          <w:szCs w:val="24"/>
          <w:lang w:val="es-PR"/>
        </w:rPr>
        <w:t>donde tanto la Autoridad de Asesoría Financiera y Agencia Fiscal (AAFAF) como el Departamento de Hacienda y la Oficina de Gerencia y Presupuesto (OGP) determinaron que medidas contributivas focalizadas y con criterios específicos son compatibles con el Plan Fiscal certificado por la Junta de Supervisión Fiscal, el P</w:t>
      </w:r>
      <w:r>
        <w:rPr>
          <w:rFonts w:ascii="Book Antiqua" w:hAnsi="Book Antiqua"/>
          <w:szCs w:val="24"/>
          <w:lang w:val="es-PR"/>
        </w:rPr>
        <w:t>. del S.</w:t>
      </w:r>
      <w:r w:rsidR="00DD3341" w:rsidRPr="00DD3341">
        <w:rPr>
          <w:rFonts w:ascii="Book Antiqua" w:hAnsi="Book Antiqua"/>
          <w:szCs w:val="24"/>
          <w:lang w:val="es-PR"/>
        </w:rPr>
        <w:t xml:space="preserve"> 679 adopta el mismo enfoque responsable al establecer una tasa preferencial del 2% para ganancias de capital en ventas a beneficiarios de programas federales de recuperación </w:t>
      </w:r>
      <w:proofErr w:type="spellStart"/>
      <w:r w:rsidR="00DD3341" w:rsidRPr="00DD3341">
        <w:rPr>
          <w:rFonts w:ascii="Book Antiqua" w:hAnsi="Book Antiqua"/>
          <w:szCs w:val="24"/>
          <w:lang w:val="es-PR"/>
        </w:rPr>
        <w:t>post-desastre</w:t>
      </w:r>
      <w:proofErr w:type="spellEnd"/>
      <w:r w:rsidR="00DD3341" w:rsidRPr="00DD3341">
        <w:rPr>
          <w:rFonts w:ascii="Book Antiqua" w:hAnsi="Book Antiqua"/>
          <w:szCs w:val="24"/>
          <w:lang w:val="es-PR"/>
        </w:rPr>
        <w:t>.</w:t>
      </w:r>
    </w:p>
    <w:p w14:paraId="647629AE" w14:textId="4CB85B29" w:rsidR="00DD3341" w:rsidRPr="00DD3341" w:rsidRDefault="00DD3341" w:rsidP="009E2A60">
      <w:pPr>
        <w:spacing w:line="360" w:lineRule="auto"/>
        <w:ind w:firstLine="360"/>
        <w:jc w:val="both"/>
        <w:rPr>
          <w:rFonts w:ascii="Book Antiqua" w:hAnsi="Book Antiqua"/>
          <w:szCs w:val="24"/>
          <w:lang w:val="es-PR"/>
        </w:rPr>
      </w:pPr>
      <w:r w:rsidRPr="00DD3341">
        <w:rPr>
          <w:rFonts w:ascii="Book Antiqua" w:hAnsi="Book Antiqua"/>
          <w:szCs w:val="24"/>
          <w:lang w:val="es-PR"/>
        </w:rPr>
        <w:t>Aunque</w:t>
      </w:r>
      <w:r w:rsidR="009E2A60">
        <w:rPr>
          <w:rFonts w:ascii="Book Antiqua" w:hAnsi="Book Antiqua"/>
          <w:szCs w:val="24"/>
          <w:lang w:val="es-PR"/>
        </w:rPr>
        <w:t xml:space="preserve"> las</w:t>
      </w:r>
      <w:r w:rsidRPr="00DD3341">
        <w:rPr>
          <w:rFonts w:ascii="Book Antiqua" w:hAnsi="Book Antiqua"/>
          <w:szCs w:val="24"/>
          <w:lang w:val="es-PR"/>
        </w:rPr>
        <w:t xml:space="preserve"> medidas</w:t>
      </w:r>
      <w:r w:rsidR="009E2A60">
        <w:rPr>
          <w:rFonts w:ascii="Book Antiqua" w:hAnsi="Book Antiqua"/>
          <w:szCs w:val="24"/>
          <w:lang w:val="es-PR"/>
        </w:rPr>
        <w:t xml:space="preserve"> presentadas anteriormente</w:t>
      </w:r>
      <w:r w:rsidRPr="00DD3341">
        <w:rPr>
          <w:rFonts w:ascii="Book Antiqua" w:hAnsi="Book Antiqua"/>
          <w:szCs w:val="24"/>
          <w:lang w:val="es-PR"/>
        </w:rPr>
        <w:t xml:space="preserve"> (</w:t>
      </w:r>
      <w:r w:rsidR="009E2A60">
        <w:rPr>
          <w:rFonts w:ascii="Book Antiqua" w:hAnsi="Book Antiqua"/>
          <w:szCs w:val="24"/>
          <w:lang w:val="es-PR"/>
        </w:rPr>
        <w:t xml:space="preserve">P. del S. 493 y </w:t>
      </w:r>
      <w:r w:rsidRPr="00DD3341">
        <w:rPr>
          <w:rFonts w:ascii="Book Antiqua" w:hAnsi="Book Antiqua"/>
          <w:szCs w:val="24"/>
          <w:lang w:val="es-PR"/>
        </w:rPr>
        <w:t>P</w:t>
      </w:r>
      <w:r w:rsidR="009E2A60">
        <w:rPr>
          <w:rFonts w:ascii="Book Antiqua" w:hAnsi="Book Antiqua"/>
          <w:szCs w:val="24"/>
          <w:lang w:val="es-PR"/>
        </w:rPr>
        <w:t>. de la C. 5</w:t>
      </w:r>
      <w:r w:rsidRPr="00DD3341">
        <w:rPr>
          <w:rFonts w:ascii="Book Antiqua" w:hAnsi="Book Antiqua"/>
          <w:szCs w:val="24"/>
          <w:lang w:val="es-PR"/>
        </w:rPr>
        <w:t xml:space="preserve">02) atienden sectores distintos de la población, </w:t>
      </w:r>
      <w:r w:rsidR="009E2A60">
        <w:rPr>
          <w:rFonts w:ascii="Book Antiqua" w:hAnsi="Book Antiqua"/>
          <w:szCs w:val="24"/>
          <w:lang w:val="es-PR"/>
        </w:rPr>
        <w:t>las tres</w:t>
      </w:r>
      <w:r w:rsidRPr="00DD3341">
        <w:rPr>
          <w:rFonts w:ascii="Book Antiqua" w:hAnsi="Book Antiqua"/>
          <w:szCs w:val="24"/>
          <w:lang w:val="es-PR"/>
        </w:rPr>
        <w:t xml:space="preserve"> iniciativas comparten el objetivo común de incentivar el desarrollo económico del mercado inmobiliario y garantizar el acceso a vivienda asequible, creando </w:t>
      </w:r>
      <w:r w:rsidR="009E2A60">
        <w:rPr>
          <w:rFonts w:ascii="Book Antiqua" w:hAnsi="Book Antiqua"/>
          <w:szCs w:val="24"/>
          <w:lang w:val="es-PR"/>
        </w:rPr>
        <w:t xml:space="preserve">un marco legal </w:t>
      </w:r>
      <w:r w:rsidRPr="00DD3341">
        <w:rPr>
          <w:rFonts w:ascii="Book Antiqua" w:hAnsi="Book Antiqua"/>
          <w:szCs w:val="24"/>
          <w:lang w:val="es-PR"/>
        </w:rPr>
        <w:t>que fortalece la estrategia gubernamental de recuperación, desarrollo económico sostenible y justicia social.</w:t>
      </w:r>
    </w:p>
    <w:p w14:paraId="3A1674E5" w14:textId="0BB7E2AA" w:rsidR="00DD3341" w:rsidRPr="00DD3341" w:rsidRDefault="009E2A60" w:rsidP="00FD54BE">
      <w:pPr>
        <w:spacing w:line="360" w:lineRule="auto"/>
        <w:ind w:firstLine="360"/>
        <w:jc w:val="both"/>
        <w:rPr>
          <w:rFonts w:ascii="Book Antiqua" w:hAnsi="Book Antiqua"/>
          <w:szCs w:val="24"/>
          <w:lang w:val="es-PR"/>
        </w:rPr>
      </w:pPr>
      <w:r w:rsidRPr="00FD54BE">
        <w:rPr>
          <w:rFonts w:ascii="Book Antiqua" w:hAnsi="Book Antiqua"/>
          <w:szCs w:val="24"/>
          <w:lang w:val="es-PR"/>
        </w:rPr>
        <w:t>El P. del S. 679</w:t>
      </w:r>
      <w:r w:rsidR="00DD3341" w:rsidRPr="00DD3341">
        <w:rPr>
          <w:rFonts w:ascii="Book Antiqua" w:hAnsi="Book Antiqua"/>
          <w:szCs w:val="24"/>
          <w:lang w:val="es-PR"/>
        </w:rPr>
        <w:t xml:space="preserve"> incorpora las recomendaciones sustantivas presentadas por las agencias comparecientes, estableciendo salvaguardas para evitar abusos, dotando el proyecto de consistencia jurídica y eliminando lagunas legales existentes en la protección contra discriminación por fuente de ingresos.</w:t>
      </w:r>
      <w:r w:rsidR="00FD54BE">
        <w:rPr>
          <w:rFonts w:ascii="Book Antiqua" w:hAnsi="Book Antiqua"/>
          <w:b/>
          <w:bCs/>
          <w:szCs w:val="24"/>
          <w:lang w:val="es-PR"/>
        </w:rPr>
        <w:t xml:space="preserve"> </w:t>
      </w:r>
      <w:r w:rsidR="00FD54BE" w:rsidRPr="00FD54BE">
        <w:rPr>
          <w:rFonts w:ascii="Book Antiqua" w:hAnsi="Book Antiqua"/>
          <w:szCs w:val="24"/>
          <w:lang w:val="es-PR"/>
        </w:rPr>
        <w:t>Esta medida</w:t>
      </w:r>
      <w:r w:rsidR="00FD54BE">
        <w:rPr>
          <w:rFonts w:ascii="Book Antiqua" w:hAnsi="Book Antiqua"/>
          <w:b/>
          <w:bCs/>
          <w:szCs w:val="24"/>
          <w:lang w:val="es-PR"/>
        </w:rPr>
        <w:t xml:space="preserve"> </w:t>
      </w:r>
      <w:r w:rsidR="00DD3341" w:rsidRPr="00DD3341">
        <w:rPr>
          <w:rFonts w:ascii="Book Antiqua" w:hAnsi="Book Antiqua"/>
          <w:szCs w:val="24"/>
          <w:lang w:val="es-PR"/>
        </w:rPr>
        <w:t>constituye un esfuerzo legislativo proactivo y necesario, capaz de reajustar el mercado inmobiliario y potencializar el funcionamiento efectivo de los fondos federales de recuperación destinados a las familias más vulnerables de Puerto Rico.</w:t>
      </w:r>
    </w:p>
    <w:p w14:paraId="6F80C6BF" w14:textId="2D7AD2CC" w:rsidR="00201FFA" w:rsidRPr="00AC03CD" w:rsidRDefault="00DD3341" w:rsidP="00FD54BE">
      <w:pPr>
        <w:spacing w:line="360" w:lineRule="auto"/>
        <w:ind w:firstLine="360"/>
        <w:jc w:val="both"/>
        <w:rPr>
          <w:rFonts w:ascii="Book Antiqua" w:hAnsi="Book Antiqua"/>
          <w:szCs w:val="24"/>
          <w:lang w:val="es-PR"/>
        </w:rPr>
      </w:pPr>
      <w:r w:rsidRPr="00DD3341">
        <w:rPr>
          <w:rFonts w:ascii="Book Antiqua" w:hAnsi="Book Antiqua"/>
          <w:szCs w:val="24"/>
          <w:lang w:val="es-PR"/>
        </w:rPr>
        <w:t xml:space="preserve">La aprobación de esta medida brindará </w:t>
      </w:r>
      <w:r w:rsidR="00FD54BE">
        <w:rPr>
          <w:rFonts w:ascii="Book Antiqua" w:hAnsi="Book Antiqua"/>
          <w:szCs w:val="24"/>
          <w:lang w:val="es-PR"/>
        </w:rPr>
        <w:t>los mecanismos necesarios para</w:t>
      </w:r>
      <w:r w:rsidRPr="00DD3341">
        <w:rPr>
          <w:rFonts w:ascii="Book Antiqua" w:hAnsi="Book Antiqua"/>
          <w:szCs w:val="24"/>
          <w:lang w:val="es-PR"/>
        </w:rPr>
        <w:t xml:space="preserve"> eliminar</w:t>
      </w:r>
      <w:r w:rsidR="00FD54BE">
        <w:rPr>
          <w:rFonts w:ascii="Book Antiqua" w:hAnsi="Book Antiqua"/>
          <w:szCs w:val="24"/>
          <w:lang w:val="es-PR"/>
        </w:rPr>
        <w:t xml:space="preserve"> </w:t>
      </w:r>
      <w:r w:rsidRPr="00DD3341">
        <w:rPr>
          <w:rFonts w:ascii="Book Antiqua" w:hAnsi="Book Antiqua"/>
          <w:szCs w:val="24"/>
          <w:lang w:val="es-PR"/>
        </w:rPr>
        <w:t>barreras discriminatorias en la compraventa de viviendas para las familias afectadas por desastres, promoverá mayor participación del sector privado mediante incentivos fiscales responsables y garantizará que la asistencia federal llegue efectivamente a quienes más la necesitan.</w:t>
      </w:r>
    </w:p>
    <w:p w14:paraId="302840E3" w14:textId="41B15647" w:rsidR="00837CA9" w:rsidRPr="00AC03CD" w:rsidRDefault="0009634E" w:rsidP="00465348">
      <w:pPr>
        <w:keepNext/>
        <w:spacing w:line="360" w:lineRule="auto"/>
        <w:jc w:val="center"/>
        <w:outlineLvl w:val="0"/>
        <w:rPr>
          <w:rFonts w:ascii="Book Antiqua" w:hAnsi="Book Antiqua"/>
          <w:b/>
          <w:caps/>
          <w:color w:val="000000"/>
          <w:kern w:val="28"/>
          <w:szCs w:val="24"/>
          <w:lang w:val="es-ES"/>
        </w:rPr>
      </w:pPr>
      <w:r w:rsidRPr="00AC03CD">
        <w:rPr>
          <w:rFonts w:ascii="Book Antiqua" w:hAnsi="Book Antiqua"/>
          <w:b/>
          <w:caps/>
          <w:color w:val="000000"/>
          <w:kern w:val="28"/>
          <w:szCs w:val="24"/>
          <w:lang w:val="es-ES"/>
        </w:rPr>
        <w:lastRenderedPageBreak/>
        <w:t>Impacto fiscal municipal</w:t>
      </w:r>
    </w:p>
    <w:p w14:paraId="5AD8CFA2" w14:textId="1E68EAC4" w:rsidR="00A70796" w:rsidRDefault="0009634E" w:rsidP="005647A7">
      <w:pPr>
        <w:pStyle w:val="NoSpacing"/>
        <w:spacing w:line="360" w:lineRule="auto"/>
        <w:ind w:firstLine="432"/>
        <w:jc w:val="both"/>
        <w:rPr>
          <w:rFonts w:ascii="Book Antiqua" w:eastAsia="Calibri" w:hAnsi="Book Antiqua" w:cs="ADLaM Display"/>
          <w:szCs w:val="24"/>
          <w:lang w:val="es-ES"/>
        </w:rPr>
      </w:pPr>
      <w:r w:rsidRPr="005D5463">
        <w:rPr>
          <w:rFonts w:ascii="Book Antiqua" w:eastAsia="Calibri" w:hAnsi="Book Antiqua"/>
          <w:szCs w:val="24"/>
          <w:lang w:val="es-ES_tradnl"/>
        </w:rPr>
        <w:t>En cumplimiento con el Artículo 1.007 de la Ley</w:t>
      </w:r>
      <w:r w:rsidR="001C4576" w:rsidRPr="005D5463">
        <w:rPr>
          <w:rFonts w:ascii="Book Antiqua" w:eastAsia="Calibri" w:hAnsi="Book Antiqua"/>
          <w:szCs w:val="24"/>
          <w:lang w:val="es-ES_tradnl"/>
        </w:rPr>
        <w:t xml:space="preserve"> 107</w:t>
      </w:r>
      <w:r w:rsidRPr="005D5463">
        <w:rPr>
          <w:rFonts w:ascii="Book Antiqua" w:eastAsia="Calibri" w:hAnsi="Book Antiqua"/>
          <w:szCs w:val="24"/>
          <w:lang w:val="es-ES_tradnl"/>
        </w:rPr>
        <w:t>-2020, según enmendada, conocida como “Código Municipal de Puerto Rico</w:t>
      </w:r>
      <w:r w:rsidR="005D5463" w:rsidRPr="005D5463">
        <w:rPr>
          <w:rFonts w:ascii="Book Antiqua" w:eastAsia="Calibri" w:hAnsi="Book Antiqua"/>
          <w:szCs w:val="24"/>
          <w:lang w:val="es-ES_tradnl"/>
        </w:rPr>
        <w:t>”</w:t>
      </w:r>
      <w:r w:rsidRPr="005D5463">
        <w:rPr>
          <w:rFonts w:ascii="Book Antiqua" w:eastAsia="Calibri" w:hAnsi="Book Antiqua"/>
          <w:szCs w:val="24"/>
          <w:lang w:val="es-ES_tradnl"/>
        </w:rPr>
        <w:t xml:space="preserve"> </w:t>
      </w:r>
      <w:r w:rsidR="005D5463" w:rsidRPr="005D5463">
        <w:rPr>
          <w:rFonts w:ascii="Book Antiqua" w:eastAsia="Calibri" w:hAnsi="Book Antiqua" w:cs="ADLaM Display"/>
          <w:szCs w:val="24"/>
          <w:lang w:val="es-ES"/>
        </w:rPr>
        <w:t>la</w:t>
      </w:r>
      <w:r w:rsidR="00DD47EF">
        <w:rPr>
          <w:rFonts w:ascii="Book Antiqua" w:eastAsia="Calibri" w:hAnsi="Book Antiqua" w:cs="ADLaM Display"/>
          <w:szCs w:val="24"/>
          <w:lang w:val="es-ES"/>
        </w:rPr>
        <w:t>s</w:t>
      </w:r>
      <w:r w:rsidR="005D5463" w:rsidRPr="005D5463">
        <w:rPr>
          <w:rFonts w:ascii="Book Antiqua" w:eastAsia="Calibri" w:hAnsi="Book Antiqua" w:cs="ADLaM Display"/>
          <w:szCs w:val="24"/>
          <w:lang w:val="es-ES"/>
        </w:rPr>
        <w:t xml:space="preserve"> Comisi</w:t>
      </w:r>
      <w:r w:rsidR="00DD47EF">
        <w:rPr>
          <w:rFonts w:ascii="Book Antiqua" w:eastAsia="Calibri" w:hAnsi="Book Antiqua" w:cs="ADLaM Display"/>
          <w:szCs w:val="24"/>
          <w:lang w:val="es-ES"/>
        </w:rPr>
        <w:t>ones</w:t>
      </w:r>
      <w:r w:rsidR="005D5463" w:rsidRPr="005D5463">
        <w:rPr>
          <w:rFonts w:ascii="Book Antiqua" w:eastAsia="Calibri" w:hAnsi="Book Antiqua" w:cs="ADLaM Display"/>
          <w:szCs w:val="24"/>
          <w:lang w:val="es-ES"/>
        </w:rPr>
        <w:t xml:space="preserve"> de Relaciones Federales y Viabilización del Mandato del Pueblo para la Solución del Estatus</w:t>
      </w:r>
      <w:r w:rsidR="00DD47EF">
        <w:rPr>
          <w:rFonts w:ascii="Book Antiqua" w:eastAsia="Calibri" w:hAnsi="Book Antiqua" w:cs="ADLaM Display"/>
          <w:szCs w:val="24"/>
          <w:lang w:val="es-ES"/>
        </w:rPr>
        <w:t>; y de Vivienda y Bienestar Social</w:t>
      </w:r>
      <w:r w:rsidR="005D5463" w:rsidRPr="005D5463">
        <w:rPr>
          <w:rFonts w:ascii="Book Antiqua" w:eastAsia="Calibri" w:hAnsi="Book Antiqua" w:cs="ADLaM Display"/>
          <w:szCs w:val="24"/>
          <w:lang w:val="es-ES"/>
        </w:rPr>
        <w:t xml:space="preserve"> certifica</w:t>
      </w:r>
      <w:r w:rsidR="00DD47EF">
        <w:rPr>
          <w:rFonts w:ascii="Book Antiqua" w:eastAsia="Calibri" w:hAnsi="Book Antiqua" w:cs="ADLaM Display"/>
          <w:szCs w:val="24"/>
          <w:lang w:val="es-ES"/>
        </w:rPr>
        <w:t>n</w:t>
      </w:r>
      <w:r w:rsidR="005D5463" w:rsidRPr="005D5463">
        <w:rPr>
          <w:rFonts w:ascii="Book Antiqua" w:eastAsia="Calibri" w:hAnsi="Book Antiqua" w:cs="ADLaM Display"/>
          <w:szCs w:val="24"/>
          <w:lang w:val="es-ES"/>
        </w:rPr>
        <w:t xml:space="preserve"> que el P. del S. 679 no </w:t>
      </w:r>
      <w:r w:rsidR="005D5463" w:rsidRPr="005D5463">
        <w:rPr>
          <w:rFonts w:ascii="Book Antiqua" w:eastAsia="Calibri" w:hAnsi="Book Antiqua" w:cs="ADLaM Display"/>
          <w:iCs/>
          <w:szCs w:val="24"/>
          <w:lang w:val="es-ES"/>
        </w:rPr>
        <w:t>impone obligaciones adicionales en exceso a los ingresos disponibles de los gobiernos municipales</w:t>
      </w:r>
      <w:r w:rsidR="005D5463" w:rsidRPr="005D5463">
        <w:rPr>
          <w:rFonts w:ascii="Book Antiqua" w:eastAsia="Calibri" w:hAnsi="Book Antiqua" w:cs="ADLaM Display"/>
          <w:szCs w:val="24"/>
          <w:lang w:val="es-ES"/>
        </w:rPr>
        <w:t>.</w:t>
      </w:r>
    </w:p>
    <w:p w14:paraId="25371220" w14:textId="77777777" w:rsidR="00DD47EF" w:rsidRPr="005D5463" w:rsidRDefault="00DD47EF" w:rsidP="00465348">
      <w:pPr>
        <w:pStyle w:val="NoSpacing"/>
        <w:ind w:firstLine="432"/>
        <w:jc w:val="both"/>
        <w:rPr>
          <w:rFonts w:ascii="Book Antiqua" w:eastAsia="Calibri" w:hAnsi="Book Antiqua" w:cs="ADLaM Display"/>
          <w:szCs w:val="24"/>
          <w:lang w:val="es-ES"/>
        </w:rPr>
      </w:pPr>
    </w:p>
    <w:p w14:paraId="771B09CE" w14:textId="77777777" w:rsidR="0009634E" w:rsidRPr="00AC03CD" w:rsidRDefault="0009634E" w:rsidP="00465348">
      <w:pPr>
        <w:keepNext/>
        <w:spacing w:line="360" w:lineRule="auto"/>
        <w:jc w:val="center"/>
        <w:outlineLvl w:val="0"/>
        <w:rPr>
          <w:rFonts w:ascii="Book Antiqua" w:hAnsi="Book Antiqua"/>
          <w:b/>
          <w:caps/>
          <w:color w:val="000000"/>
          <w:kern w:val="28"/>
          <w:szCs w:val="24"/>
          <w:lang w:val="es-ES"/>
        </w:rPr>
      </w:pPr>
      <w:r w:rsidRPr="00AC03CD">
        <w:rPr>
          <w:rFonts w:ascii="Book Antiqua" w:hAnsi="Book Antiqua"/>
          <w:b/>
          <w:caps/>
          <w:color w:val="000000"/>
          <w:kern w:val="28"/>
          <w:szCs w:val="24"/>
          <w:lang w:val="es-ES"/>
        </w:rPr>
        <w:t>Conclusión</w:t>
      </w:r>
    </w:p>
    <w:p w14:paraId="0C70C8BF" w14:textId="5FEA1EBE" w:rsidR="002D586D" w:rsidRPr="001247B6" w:rsidRDefault="0009634E" w:rsidP="001247B6">
      <w:pPr>
        <w:pStyle w:val="BodyText"/>
        <w:spacing w:after="0" w:line="360" w:lineRule="auto"/>
        <w:ind w:firstLine="432"/>
        <w:jc w:val="both"/>
        <w:rPr>
          <w:rFonts w:ascii="Book Antiqua" w:hAnsi="Book Antiqua"/>
          <w:szCs w:val="24"/>
          <w:lang w:val="es-PR"/>
        </w:rPr>
      </w:pPr>
      <w:r w:rsidRPr="00AC03CD">
        <w:rPr>
          <w:rFonts w:ascii="Book Antiqua" w:hAnsi="Book Antiqua"/>
          <w:b/>
          <w:bCs/>
          <w:szCs w:val="24"/>
          <w:lang w:val="es-ES"/>
        </w:rPr>
        <w:t>POR TODO LO ANTES EXPUESTO</w:t>
      </w:r>
      <w:r w:rsidRPr="00AC03CD">
        <w:rPr>
          <w:rFonts w:ascii="Book Antiqua" w:hAnsi="Book Antiqua"/>
          <w:szCs w:val="24"/>
          <w:lang w:val="es-ES"/>
        </w:rPr>
        <w:t xml:space="preserve">, </w:t>
      </w:r>
      <w:r w:rsidR="00E14C33" w:rsidRPr="00AC03CD">
        <w:rPr>
          <w:rFonts w:ascii="Book Antiqua" w:hAnsi="Book Antiqua"/>
          <w:szCs w:val="24"/>
          <w:lang w:val="es-PR"/>
        </w:rPr>
        <w:t>l</w:t>
      </w:r>
      <w:r w:rsidR="002D586D" w:rsidRPr="00AC03CD">
        <w:rPr>
          <w:rFonts w:ascii="Book Antiqua" w:hAnsi="Book Antiqua"/>
          <w:szCs w:val="24"/>
          <w:lang w:val="es-PR"/>
        </w:rPr>
        <w:t>a</w:t>
      </w:r>
      <w:r w:rsidR="00DD47EF">
        <w:rPr>
          <w:rFonts w:ascii="Book Antiqua" w:hAnsi="Book Antiqua"/>
          <w:szCs w:val="24"/>
          <w:lang w:val="es-PR"/>
        </w:rPr>
        <w:t>s</w:t>
      </w:r>
      <w:r w:rsidR="002D586D" w:rsidRPr="00AC03CD">
        <w:rPr>
          <w:rFonts w:ascii="Book Antiqua" w:hAnsi="Book Antiqua"/>
          <w:szCs w:val="24"/>
          <w:lang w:val="es-PR"/>
        </w:rPr>
        <w:t xml:space="preserve"> Comisi</w:t>
      </w:r>
      <w:r w:rsidR="00DD47EF">
        <w:rPr>
          <w:rFonts w:ascii="Book Antiqua" w:hAnsi="Book Antiqua"/>
          <w:szCs w:val="24"/>
          <w:lang w:val="es-PR"/>
        </w:rPr>
        <w:t>ones</w:t>
      </w:r>
      <w:r w:rsidR="002D586D" w:rsidRPr="00AC03CD">
        <w:rPr>
          <w:rFonts w:ascii="Book Antiqua" w:hAnsi="Book Antiqua"/>
          <w:szCs w:val="24"/>
          <w:lang w:val="es-PR"/>
        </w:rPr>
        <w:t xml:space="preserve"> de Relaciones Federales y Viabilización del Mandato del Pueblo para la Solución del Estatus</w:t>
      </w:r>
      <w:r w:rsidR="00DD47EF">
        <w:rPr>
          <w:rFonts w:ascii="Book Antiqua" w:hAnsi="Book Antiqua"/>
          <w:szCs w:val="24"/>
          <w:lang w:val="es-PR"/>
        </w:rPr>
        <w:t>; y de Vivienda y Bienestar Social</w:t>
      </w:r>
      <w:r w:rsidR="002D586D" w:rsidRPr="00AC03CD">
        <w:rPr>
          <w:rFonts w:ascii="Book Antiqua" w:hAnsi="Book Antiqua"/>
          <w:szCs w:val="24"/>
          <w:lang w:val="es-PR"/>
        </w:rPr>
        <w:t xml:space="preserve"> del Senado, previo estudio y consideración,</w:t>
      </w:r>
      <w:r w:rsidR="002D586D" w:rsidRPr="00AC03CD">
        <w:rPr>
          <w:rFonts w:ascii="Book Antiqua" w:hAnsi="Book Antiqua"/>
          <w:b/>
          <w:bCs/>
          <w:szCs w:val="24"/>
          <w:lang w:val="es-PR"/>
        </w:rPr>
        <w:t xml:space="preserve"> recomienda</w:t>
      </w:r>
      <w:r w:rsidR="00465348">
        <w:rPr>
          <w:rFonts w:ascii="Book Antiqua" w:hAnsi="Book Antiqua"/>
          <w:b/>
          <w:bCs/>
          <w:szCs w:val="24"/>
          <w:lang w:val="es-PR"/>
        </w:rPr>
        <w:t>n</w:t>
      </w:r>
      <w:r w:rsidR="002D586D" w:rsidRPr="00AC03CD">
        <w:rPr>
          <w:rFonts w:ascii="Book Antiqua" w:hAnsi="Book Antiqua"/>
          <w:b/>
          <w:bCs/>
          <w:szCs w:val="24"/>
          <w:lang w:val="es-PR"/>
        </w:rPr>
        <w:t xml:space="preserve"> </w:t>
      </w:r>
      <w:r w:rsidR="002D586D" w:rsidRPr="00AC03CD">
        <w:rPr>
          <w:rFonts w:ascii="Book Antiqua" w:hAnsi="Book Antiqua"/>
          <w:bCs/>
          <w:szCs w:val="24"/>
          <w:lang w:val="es-PR"/>
        </w:rPr>
        <w:t>la aprobación del</w:t>
      </w:r>
      <w:r w:rsidR="002D586D" w:rsidRPr="00AC03CD">
        <w:rPr>
          <w:rFonts w:ascii="Book Antiqua" w:hAnsi="Book Antiqua"/>
          <w:szCs w:val="24"/>
          <w:lang w:val="es-PR"/>
        </w:rPr>
        <w:t xml:space="preserve"> </w:t>
      </w:r>
      <w:r w:rsidR="00465348">
        <w:rPr>
          <w:rFonts w:ascii="Book Antiqua" w:hAnsi="Book Antiqua"/>
          <w:szCs w:val="24"/>
          <w:lang w:val="es-PR"/>
        </w:rPr>
        <w:t>P. del S.</w:t>
      </w:r>
      <w:r w:rsidR="00201FFA" w:rsidRPr="00AC03CD">
        <w:rPr>
          <w:rFonts w:ascii="Book Antiqua" w:hAnsi="Book Antiqua"/>
          <w:szCs w:val="24"/>
          <w:lang w:val="es-PR"/>
        </w:rPr>
        <w:t xml:space="preserve"> 679</w:t>
      </w:r>
      <w:r w:rsidR="00CC0FD3" w:rsidRPr="00AC03CD">
        <w:rPr>
          <w:rFonts w:ascii="Book Antiqua" w:hAnsi="Book Antiqua"/>
          <w:szCs w:val="24"/>
          <w:lang w:val="es-PR"/>
        </w:rPr>
        <w:t xml:space="preserve"> con las enmiendas contenidas en el entirillado electrónico que se acompaña. </w:t>
      </w:r>
    </w:p>
    <w:p w14:paraId="5F19DE4E" w14:textId="77777777" w:rsidR="00465348" w:rsidRPr="00201FFA" w:rsidRDefault="00465348" w:rsidP="006F5D0B">
      <w:pPr>
        <w:jc w:val="both"/>
        <w:rPr>
          <w:rFonts w:ascii="Book Antiqua" w:hAnsi="Book Antiqua"/>
          <w:szCs w:val="24"/>
          <w:lang w:val="es-ES"/>
        </w:rPr>
      </w:pPr>
    </w:p>
    <w:p w14:paraId="2DB2687C" w14:textId="16E93A5D" w:rsidR="0009634E" w:rsidRPr="00201FFA" w:rsidRDefault="0009634E" w:rsidP="006F5D0B">
      <w:pPr>
        <w:spacing w:line="360" w:lineRule="auto"/>
        <w:jc w:val="both"/>
        <w:rPr>
          <w:rFonts w:ascii="Book Antiqua" w:hAnsi="Book Antiqua"/>
          <w:szCs w:val="24"/>
          <w:lang w:val="es-ES"/>
        </w:rPr>
      </w:pPr>
      <w:r w:rsidRPr="00201FFA">
        <w:rPr>
          <w:rFonts w:ascii="Book Antiqua" w:hAnsi="Book Antiqua"/>
          <w:szCs w:val="24"/>
          <w:lang w:val="es-ES"/>
        </w:rPr>
        <w:t>Respetuosamente sometido,</w:t>
      </w:r>
    </w:p>
    <w:p w14:paraId="6DE0077B" w14:textId="77777777" w:rsidR="00D70E9C" w:rsidRPr="00201FFA" w:rsidRDefault="00D70E9C" w:rsidP="006F5D0B">
      <w:pPr>
        <w:jc w:val="both"/>
        <w:rPr>
          <w:rFonts w:ascii="Book Antiqua" w:hAnsi="Book Antiqua"/>
          <w:b/>
          <w:bCs/>
          <w:szCs w:val="24"/>
          <w:lang w:val="es-ES"/>
        </w:rPr>
      </w:pPr>
    </w:p>
    <w:p w14:paraId="22939DAF" w14:textId="77777777" w:rsidR="0025760D" w:rsidRPr="00201FFA" w:rsidRDefault="0025760D" w:rsidP="00465348">
      <w:pPr>
        <w:spacing w:line="480" w:lineRule="auto"/>
        <w:jc w:val="both"/>
        <w:rPr>
          <w:rFonts w:ascii="Book Antiqua" w:hAnsi="Book Antiqua"/>
          <w:b/>
          <w:bCs/>
          <w:szCs w:val="24"/>
          <w:lang w:val="es-ES"/>
        </w:rPr>
      </w:pPr>
    </w:p>
    <w:p w14:paraId="6C127793" w14:textId="06960E22" w:rsidR="002D586D" w:rsidRPr="00201FFA" w:rsidRDefault="002D586D" w:rsidP="006F5D0B">
      <w:pPr>
        <w:spacing w:line="276" w:lineRule="auto"/>
        <w:jc w:val="both"/>
        <w:rPr>
          <w:rFonts w:ascii="Book Antiqua" w:hAnsi="Book Antiqua"/>
          <w:b/>
          <w:bCs/>
          <w:szCs w:val="24"/>
          <w:lang w:val="es-ES"/>
        </w:rPr>
      </w:pPr>
      <w:r w:rsidRPr="00201FFA">
        <w:rPr>
          <w:rFonts w:ascii="Book Antiqua" w:hAnsi="Book Antiqua"/>
          <w:b/>
          <w:bCs/>
          <w:szCs w:val="24"/>
          <w:lang w:val="es-ES"/>
        </w:rPr>
        <w:t>Carmelo J. Ríos Santiago</w:t>
      </w:r>
      <w:r w:rsidR="00DD47EF">
        <w:rPr>
          <w:rFonts w:ascii="Book Antiqua" w:hAnsi="Book Antiqua"/>
          <w:b/>
          <w:bCs/>
          <w:szCs w:val="24"/>
          <w:lang w:val="es-ES"/>
        </w:rPr>
        <w:tab/>
      </w:r>
      <w:r w:rsidR="00DD47EF">
        <w:rPr>
          <w:rFonts w:ascii="Book Antiqua" w:hAnsi="Book Antiqua"/>
          <w:b/>
          <w:bCs/>
          <w:szCs w:val="24"/>
          <w:lang w:val="es-ES"/>
        </w:rPr>
        <w:tab/>
      </w:r>
      <w:r w:rsidR="00DD47EF">
        <w:rPr>
          <w:rFonts w:ascii="Book Antiqua" w:hAnsi="Book Antiqua"/>
          <w:b/>
          <w:bCs/>
          <w:szCs w:val="24"/>
          <w:lang w:val="es-ES"/>
        </w:rPr>
        <w:tab/>
      </w:r>
      <w:r w:rsidR="00DD47EF">
        <w:rPr>
          <w:rFonts w:ascii="Book Antiqua" w:hAnsi="Book Antiqua"/>
          <w:b/>
          <w:bCs/>
          <w:szCs w:val="24"/>
          <w:lang w:val="es-ES"/>
        </w:rPr>
        <w:tab/>
      </w:r>
      <w:r w:rsidR="00DD47EF">
        <w:rPr>
          <w:rFonts w:ascii="Book Antiqua" w:hAnsi="Book Antiqua"/>
          <w:b/>
          <w:bCs/>
          <w:szCs w:val="24"/>
          <w:lang w:val="es-ES"/>
        </w:rPr>
        <w:tab/>
      </w:r>
      <w:r w:rsidR="00DD47EF">
        <w:rPr>
          <w:rFonts w:ascii="Book Antiqua" w:hAnsi="Book Antiqua"/>
          <w:b/>
          <w:bCs/>
          <w:szCs w:val="24"/>
          <w:lang w:val="es-ES"/>
        </w:rPr>
        <w:tab/>
      </w:r>
      <w:r w:rsidR="00DD47EF">
        <w:rPr>
          <w:rFonts w:ascii="Book Antiqua" w:hAnsi="Book Antiqua"/>
          <w:b/>
          <w:bCs/>
          <w:szCs w:val="24"/>
          <w:lang w:val="es-ES"/>
        </w:rPr>
        <w:tab/>
      </w:r>
      <w:r w:rsidR="00DD47EF">
        <w:rPr>
          <w:rFonts w:ascii="Book Antiqua" w:hAnsi="Book Antiqua"/>
          <w:b/>
          <w:bCs/>
          <w:szCs w:val="24"/>
          <w:lang w:val="es-ES"/>
        </w:rPr>
        <w:tab/>
        <w:t>Jamie Barlucea Rodríguez</w:t>
      </w:r>
    </w:p>
    <w:p w14:paraId="300D1876" w14:textId="07CD60CB" w:rsidR="001C4576" w:rsidRPr="00201FFA" w:rsidRDefault="002D586D" w:rsidP="006F5D0B">
      <w:pPr>
        <w:spacing w:line="276" w:lineRule="auto"/>
        <w:jc w:val="both"/>
        <w:rPr>
          <w:rFonts w:ascii="Book Antiqua" w:hAnsi="Book Antiqua"/>
          <w:szCs w:val="24"/>
          <w:lang w:val="es-ES_tradnl"/>
        </w:rPr>
      </w:pPr>
      <w:r w:rsidRPr="00201FFA">
        <w:rPr>
          <w:rFonts w:ascii="Book Antiqua" w:hAnsi="Book Antiqua"/>
          <w:b/>
          <w:bCs/>
          <w:szCs w:val="24"/>
          <w:lang w:val="es-ES"/>
        </w:rPr>
        <w:t>Presidente</w:t>
      </w:r>
      <w:r w:rsidR="0025760D" w:rsidRPr="00201FFA">
        <w:rPr>
          <w:rFonts w:ascii="Book Antiqua" w:hAnsi="Book Antiqua"/>
          <w:b/>
          <w:bCs/>
          <w:szCs w:val="24"/>
          <w:lang w:val="es-ES"/>
        </w:rPr>
        <w:tab/>
      </w:r>
      <w:r w:rsidR="0025760D" w:rsidRPr="00201FFA">
        <w:rPr>
          <w:rFonts w:ascii="Book Antiqua" w:hAnsi="Book Antiqua"/>
          <w:b/>
          <w:bCs/>
          <w:szCs w:val="24"/>
          <w:lang w:val="es-ES"/>
        </w:rPr>
        <w:tab/>
      </w:r>
      <w:r w:rsidR="0025760D" w:rsidRPr="00201FFA">
        <w:rPr>
          <w:rFonts w:ascii="Book Antiqua" w:hAnsi="Book Antiqua"/>
          <w:b/>
          <w:bCs/>
          <w:szCs w:val="24"/>
          <w:lang w:val="es-ES"/>
        </w:rPr>
        <w:tab/>
      </w:r>
      <w:r w:rsidR="0025760D" w:rsidRPr="00201FFA">
        <w:rPr>
          <w:rFonts w:ascii="Book Antiqua" w:hAnsi="Book Antiqua"/>
          <w:b/>
          <w:bCs/>
          <w:szCs w:val="24"/>
          <w:lang w:val="es-ES"/>
        </w:rPr>
        <w:tab/>
      </w:r>
      <w:r w:rsidR="0025760D" w:rsidRPr="00201FFA">
        <w:rPr>
          <w:rFonts w:ascii="Book Antiqua" w:hAnsi="Book Antiqua"/>
          <w:b/>
          <w:bCs/>
          <w:szCs w:val="24"/>
          <w:lang w:val="es-ES"/>
        </w:rPr>
        <w:tab/>
      </w:r>
      <w:r w:rsidR="0025760D" w:rsidRPr="00201FFA">
        <w:rPr>
          <w:rFonts w:ascii="Book Antiqua" w:hAnsi="Book Antiqua"/>
          <w:b/>
          <w:bCs/>
          <w:szCs w:val="24"/>
          <w:lang w:val="es-ES"/>
        </w:rPr>
        <w:tab/>
      </w:r>
      <w:r w:rsidR="001C4576" w:rsidRPr="00201FFA">
        <w:rPr>
          <w:rFonts w:ascii="Book Antiqua" w:hAnsi="Book Antiqua"/>
          <w:szCs w:val="24"/>
          <w:lang w:val="es-ES_tradnl"/>
        </w:rPr>
        <w:t xml:space="preserve"> </w:t>
      </w:r>
      <w:r w:rsidR="00DD47EF">
        <w:rPr>
          <w:rFonts w:ascii="Book Antiqua" w:hAnsi="Book Antiqua"/>
          <w:szCs w:val="24"/>
          <w:lang w:val="es-ES_tradnl"/>
        </w:rPr>
        <w:tab/>
      </w:r>
      <w:r w:rsidR="00DD47EF">
        <w:rPr>
          <w:rFonts w:ascii="Book Antiqua" w:hAnsi="Book Antiqua"/>
          <w:szCs w:val="24"/>
          <w:lang w:val="es-ES_tradnl"/>
        </w:rPr>
        <w:tab/>
      </w:r>
      <w:r w:rsidR="00DD47EF">
        <w:rPr>
          <w:rFonts w:ascii="Book Antiqua" w:hAnsi="Book Antiqua"/>
          <w:szCs w:val="24"/>
          <w:lang w:val="es-ES_tradnl"/>
        </w:rPr>
        <w:tab/>
      </w:r>
      <w:r w:rsidR="00DD47EF">
        <w:rPr>
          <w:rFonts w:ascii="Book Antiqua" w:hAnsi="Book Antiqua"/>
          <w:szCs w:val="24"/>
          <w:lang w:val="es-ES_tradnl"/>
        </w:rPr>
        <w:tab/>
      </w:r>
      <w:r w:rsidR="00DD47EF">
        <w:rPr>
          <w:rFonts w:ascii="Book Antiqua" w:hAnsi="Book Antiqua"/>
          <w:szCs w:val="24"/>
          <w:lang w:val="es-ES_tradnl"/>
        </w:rPr>
        <w:tab/>
      </w:r>
      <w:r w:rsidR="00DD47EF">
        <w:rPr>
          <w:rFonts w:ascii="Book Antiqua" w:hAnsi="Book Antiqua"/>
          <w:szCs w:val="24"/>
          <w:lang w:val="es-ES_tradnl"/>
        </w:rPr>
        <w:tab/>
      </w:r>
      <w:proofErr w:type="gramStart"/>
      <w:r w:rsidR="00DD47EF" w:rsidRPr="00465348">
        <w:rPr>
          <w:rFonts w:ascii="Book Antiqua" w:hAnsi="Book Antiqua"/>
          <w:b/>
          <w:bCs/>
          <w:szCs w:val="24"/>
          <w:lang w:val="es-ES_tradnl"/>
        </w:rPr>
        <w:t>Presidenta</w:t>
      </w:r>
      <w:proofErr w:type="gramEnd"/>
    </w:p>
    <w:p w14:paraId="0A3B6AB8" w14:textId="6FB38EBA" w:rsidR="002D586D" w:rsidRPr="00201FFA" w:rsidRDefault="002D586D" w:rsidP="006F5D0B">
      <w:pPr>
        <w:spacing w:line="276" w:lineRule="auto"/>
        <w:ind w:left="4752" w:hanging="4752"/>
        <w:jc w:val="both"/>
        <w:rPr>
          <w:rFonts w:ascii="Book Antiqua" w:hAnsi="Book Antiqua"/>
          <w:szCs w:val="24"/>
          <w:lang w:val="es-PR"/>
        </w:rPr>
      </w:pPr>
      <w:r w:rsidRPr="00201FFA">
        <w:rPr>
          <w:rFonts w:ascii="Book Antiqua" w:hAnsi="Book Antiqua"/>
          <w:szCs w:val="24"/>
          <w:lang w:val="es-PR"/>
        </w:rPr>
        <w:t>Comisión de Relaciones Federales y Viabilización</w:t>
      </w:r>
      <w:r w:rsidR="00DD47EF">
        <w:rPr>
          <w:rFonts w:ascii="Book Antiqua" w:hAnsi="Book Antiqua"/>
          <w:szCs w:val="24"/>
          <w:lang w:val="es-PR"/>
        </w:rPr>
        <w:tab/>
      </w:r>
      <w:r w:rsidR="00DD47EF">
        <w:rPr>
          <w:rFonts w:ascii="Book Antiqua" w:hAnsi="Book Antiqua"/>
          <w:szCs w:val="24"/>
          <w:lang w:val="es-PR"/>
        </w:rPr>
        <w:tab/>
        <w:t xml:space="preserve">Comisión de Vivienda y </w:t>
      </w:r>
    </w:p>
    <w:p w14:paraId="68B2A245" w14:textId="618182B8" w:rsidR="0025760D" w:rsidRPr="006F5D0B" w:rsidRDefault="002D586D" w:rsidP="006F5D0B">
      <w:pPr>
        <w:spacing w:line="276" w:lineRule="auto"/>
        <w:ind w:left="4752" w:hanging="4752"/>
        <w:jc w:val="both"/>
        <w:rPr>
          <w:rFonts w:ascii="Book Antiqua" w:hAnsi="Book Antiqua"/>
          <w:szCs w:val="24"/>
          <w:lang w:val="es-ES_tradnl"/>
        </w:rPr>
      </w:pPr>
      <w:r w:rsidRPr="00201FFA">
        <w:rPr>
          <w:rFonts w:ascii="Book Antiqua" w:hAnsi="Book Antiqua"/>
          <w:szCs w:val="24"/>
          <w:lang w:val="es-PR"/>
        </w:rPr>
        <w:t>del Mandato del Pueblo para la Solución del Estatus</w:t>
      </w:r>
      <w:r w:rsidR="00DD47EF">
        <w:rPr>
          <w:rFonts w:ascii="Book Antiqua" w:hAnsi="Book Antiqua"/>
          <w:szCs w:val="24"/>
          <w:lang w:val="es-PR"/>
        </w:rPr>
        <w:tab/>
      </w:r>
      <w:r w:rsidR="00DD47EF">
        <w:rPr>
          <w:rFonts w:ascii="Book Antiqua" w:hAnsi="Book Antiqua"/>
          <w:szCs w:val="24"/>
          <w:lang w:val="es-PR"/>
        </w:rPr>
        <w:tab/>
        <w:t>Bienestar Social</w:t>
      </w:r>
    </w:p>
    <w:sectPr w:rsidR="0025760D" w:rsidRPr="006F5D0B">
      <w:headerReference w:type="default" r:id="rId12"/>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234912" w14:textId="77777777" w:rsidR="00475354" w:rsidRDefault="00475354">
      <w:r>
        <w:separator/>
      </w:r>
    </w:p>
  </w:endnote>
  <w:endnote w:type="continuationSeparator" w:id="0">
    <w:p w14:paraId="65FC7B8D" w14:textId="77777777" w:rsidR="00475354" w:rsidRDefault="004753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DLaM Display">
    <w:charset w:val="00"/>
    <w:family w:val="auto"/>
    <w:pitch w:val="variable"/>
    <w:sig w:usb0="8000206F" w:usb1="4200004A"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222525" w14:textId="77777777" w:rsidR="00475354" w:rsidRDefault="00475354">
      <w:r>
        <w:separator/>
      </w:r>
    </w:p>
  </w:footnote>
  <w:footnote w:type="continuationSeparator" w:id="0">
    <w:p w14:paraId="7F1E59C5" w14:textId="77777777" w:rsidR="00475354" w:rsidRDefault="004753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1369BC" w14:textId="46536E16" w:rsidR="00497E2E" w:rsidRPr="005A09BA" w:rsidRDefault="00497E2E" w:rsidP="00497E2E">
    <w:pPr>
      <w:pStyle w:val="Header"/>
      <w:jc w:val="right"/>
      <w:rPr>
        <w:i/>
        <w:iCs/>
        <w:sz w:val="20"/>
        <w:lang w:val="es-ES_tradnl"/>
      </w:rPr>
    </w:pPr>
    <w:r>
      <w:tab/>
    </w:r>
    <w:r>
      <w:tab/>
    </w:r>
    <w:r w:rsidRPr="005A09BA">
      <w:rPr>
        <w:i/>
        <w:iCs/>
        <w:sz w:val="20"/>
        <w:lang w:val="es-ES_tradnl"/>
      </w:rPr>
      <w:t>Informe Positivo Conjunto sobre el P. de</w:t>
    </w:r>
    <w:r>
      <w:rPr>
        <w:i/>
        <w:iCs/>
        <w:sz w:val="20"/>
        <w:lang w:val="es-ES_tradnl"/>
      </w:rPr>
      <w:t>l S. 679</w:t>
    </w:r>
  </w:p>
  <w:p w14:paraId="46CC2511" w14:textId="77777777" w:rsidR="00497E2E" w:rsidRPr="003D63BD" w:rsidRDefault="00497E2E" w:rsidP="00497E2E">
    <w:pPr>
      <w:pStyle w:val="Header"/>
      <w:jc w:val="right"/>
      <w:rPr>
        <w:i/>
        <w:iCs/>
        <w:sz w:val="20"/>
        <w:lang w:val="es-ES_tradnl"/>
      </w:rPr>
    </w:pPr>
    <w:r w:rsidRPr="003D63BD">
      <w:rPr>
        <w:i/>
        <w:iCs/>
        <w:sz w:val="20"/>
        <w:lang w:val="es-ES_tradnl"/>
      </w:rPr>
      <w:tab/>
      <w:t xml:space="preserve">Comisión de Relaciones Federales y Viabilización </w:t>
    </w:r>
  </w:p>
  <w:p w14:paraId="20B6D9DD" w14:textId="77777777" w:rsidR="00497E2E" w:rsidRPr="003D63BD" w:rsidRDefault="00497E2E" w:rsidP="00497E2E">
    <w:pPr>
      <w:pStyle w:val="Header"/>
      <w:jc w:val="right"/>
      <w:rPr>
        <w:i/>
        <w:iCs/>
        <w:sz w:val="20"/>
        <w:lang w:val="es-ES_tradnl"/>
      </w:rPr>
    </w:pPr>
    <w:r w:rsidRPr="003D63BD">
      <w:rPr>
        <w:i/>
        <w:iCs/>
        <w:sz w:val="20"/>
        <w:lang w:val="es-ES_tradnl"/>
      </w:rPr>
      <w:t>del</w:t>
    </w:r>
    <w:r w:rsidRPr="005A09BA">
      <w:rPr>
        <w:i/>
        <w:iCs/>
        <w:sz w:val="20"/>
        <w:lang w:val="es-ES_tradnl"/>
      </w:rPr>
      <w:t xml:space="preserve"> </w:t>
    </w:r>
    <w:r w:rsidRPr="003D63BD">
      <w:rPr>
        <w:i/>
        <w:iCs/>
        <w:sz w:val="20"/>
        <w:lang w:val="es-ES_tradnl"/>
      </w:rPr>
      <w:t xml:space="preserve">Mandato del Pueblo para la Solución del Estatus; </w:t>
    </w:r>
  </w:p>
  <w:p w14:paraId="21D0C136" w14:textId="4D5F9443" w:rsidR="00497E2E" w:rsidRPr="003D63BD" w:rsidRDefault="00497E2E" w:rsidP="00497E2E">
    <w:pPr>
      <w:pStyle w:val="Header"/>
      <w:jc w:val="right"/>
      <w:rPr>
        <w:i/>
        <w:iCs/>
        <w:sz w:val="20"/>
        <w:lang w:val="es-ES_tradnl"/>
      </w:rPr>
    </w:pPr>
    <w:r w:rsidRPr="003D63BD">
      <w:rPr>
        <w:i/>
        <w:iCs/>
        <w:sz w:val="20"/>
        <w:lang w:val="es-ES_tradnl"/>
      </w:rPr>
      <w:t xml:space="preserve">Comisión de </w:t>
    </w:r>
    <w:r>
      <w:rPr>
        <w:i/>
        <w:iCs/>
        <w:sz w:val="20"/>
        <w:lang w:val="es-ES_tradnl"/>
      </w:rPr>
      <w:t>Vivienda y Bienestar Social</w:t>
    </w:r>
    <w:r w:rsidRPr="005A09BA">
      <w:rPr>
        <w:i/>
        <w:iCs/>
        <w:sz w:val="20"/>
        <w:lang w:val="es-ES_tradnl"/>
      </w:rPr>
      <w:t xml:space="preserve"> </w:t>
    </w:r>
  </w:p>
  <w:p w14:paraId="60910ADC" w14:textId="77777777" w:rsidR="00497E2E" w:rsidRPr="003D63BD" w:rsidRDefault="00497E2E" w:rsidP="00497E2E">
    <w:pPr>
      <w:pStyle w:val="Header"/>
      <w:jc w:val="right"/>
      <w:rPr>
        <w:i/>
        <w:iCs/>
        <w:sz w:val="20"/>
        <w:lang w:val="es-ES_tradnl"/>
      </w:rPr>
    </w:pPr>
    <w:r w:rsidRPr="003D63BD">
      <w:rPr>
        <w:i/>
        <w:iCs/>
        <w:sz w:val="20"/>
        <w:lang w:val="es-ES_tradnl"/>
      </w:rPr>
      <w:t xml:space="preserve">Página </w:t>
    </w:r>
    <w:r w:rsidRPr="003D63BD">
      <w:rPr>
        <w:i/>
        <w:iCs/>
        <w:sz w:val="20"/>
        <w:lang w:val="es-ES_tradnl"/>
      </w:rPr>
      <w:fldChar w:fldCharType="begin"/>
    </w:r>
    <w:r w:rsidRPr="003D63BD">
      <w:rPr>
        <w:i/>
        <w:iCs/>
        <w:sz w:val="20"/>
        <w:lang w:val="es-ES_tradnl"/>
      </w:rPr>
      <w:instrText xml:space="preserve"> PAGE   \* MERGEFORMAT </w:instrText>
    </w:r>
    <w:r w:rsidRPr="003D63BD">
      <w:rPr>
        <w:i/>
        <w:iCs/>
        <w:sz w:val="20"/>
        <w:lang w:val="es-ES_tradnl"/>
      </w:rPr>
      <w:fldChar w:fldCharType="separate"/>
    </w:r>
    <w:r>
      <w:rPr>
        <w:i/>
        <w:iCs/>
        <w:sz w:val="20"/>
        <w:lang w:val="es-ES_tradnl"/>
      </w:rPr>
      <w:t>2</w:t>
    </w:r>
    <w:r w:rsidRPr="003D63BD">
      <w:rPr>
        <w:sz w:val="20"/>
      </w:rPr>
      <w:fldChar w:fldCharType="end"/>
    </w:r>
  </w:p>
  <w:p w14:paraId="4926FC4E" w14:textId="375A7662" w:rsidR="00323544" w:rsidRDefault="00323544" w:rsidP="00497E2E">
    <w:pPr>
      <w:pStyle w:val="Header"/>
      <w:tabs>
        <w:tab w:val="clear" w:pos="8640"/>
        <w:tab w:val="left" w:pos="601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77692"/>
    <w:multiLevelType w:val="multilevel"/>
    <w:tmpl w:val="2EAA90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5C60D3"/>
    <w:multiLevelType w:val="multilevel"/>
    <w:tmpl w:val="B60A2B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705C7D"/>
    <w:multiLevelType w:val="multilevel"/>
    <w:tmpl w:val="EACC3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82115B"/>
    <w:multiLevelType w:val="multilevel"/>
    <w:tmpl w:val="EC10A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5A7B2D"/>
    <w:multiLevelType w:val="hybridMultilevel"/>
    <w:tmpl w:val="3162F42E"/>
    <w:lvl w:ilvl="0" w:tplc="2000000F">
      <w:start w:val="1"/>
      <w:numFmt w:val="decimal"/>
      <w:lvlText w:val="%1."/>
      <w:lvlJc w:val="left"/>
      <w:pPr>
        <w:ind w:left="720" w:hanging="360"/>
      </w:pPr>
      <w:rPr>
        <w:rFonts w:hint="default"/>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185D593E"/>
    <w:multiLevelType w:val="hybridMultilevel"/>
    <w:tmpl w:val="2F58A720"/>
    <w:lvl w:ilvl="0" w:tplc="1F64ADA8">
      <w:start w:val="1"/>
      <w:numFmt w:val="lowerLetter"/>
      <w:lvlText w:val="(%1)"/>
      <w:lvlJc w:val="left"/>
      <w:pPr>
        <w:ind w:left="1224" w:hanging="360"/>
      </w:pPr>
      <w:rPr>
        <w:rFonts w:hint="default"/>
      </w:rPr>
    </w:lvl>
    <w:lvl w:ilvl="1" w:tplc="72708BC2">
      <w:start w:val="1"/>
      <w:numFmt w:val="decimal"/>
      <w:lvlText w:val="(%2)"/>
      <w:lvlJc w:val="left"/>
      <w:pPr>
        <w:ind w:left="1944" w:hanging="360"/>
      </w:pPr>
      <w:rPr>
        <w:rFonts w:hint="default"/>
      </w:rPr>
    </w:lvl>
    <w:lvl w:ilvl="2" w:tplc="0409001B" w:tentative="1">
      <w:start w:val="1"/>
      <w:numFmt w:val="lowerRoman"/>
      <w:lvlText w:val="%3."/>
      <w:lvlJc w:val="right"/>
      <w:pPr>
        <w:ind w:left="2664" w:hanging="180"/>
      </w:pPr>
    </w:lvl>
    <w:lvl w:ilvl="3" w:tplc="0409000F" w:tentative="1">
      <w:start w:val="1"/>
      <w:numFmt w:val="decimal"/>
      <w:lvlText w:val="%4."/>
      <w:lvlJc w:val="left"/>
      <w:pPr>
        <w:ind w:left="3384" w:hanging="360"/>
      </w:pPr>
    </w:lvl>
    <w:lvl w:ilvl="4" w:tplc="04090019" w:tentative="1">
      <w:start w:val="1"/>
      <w:numFmt w:val="lowerLetter"/>
      <w:lvlText w:val="%5."/>
      <w:lvlJc w:val="left"/>
      <w:pPr>
        <w:ind w:left="4104" w:hanging="360"/>
      </w:pPr>
    </w:lvl>
    <w:lvl w:ilvl="5" w:tplc="0409001B" w:tentative="1">
      <w:start w:val="1"/>
      <w:numFmt w:val="lowerRoman"/>
      <w:lvlText w:val="%6."/>
      <w:lvlJc w:val="right"/>
      <w:pPr>
        <w:ind w:left="4824" w:hanging="180"/>
      </w:pPr>
    </w:lvl>
    <w:lvl w:ilvl="6" w:tplc="0409000F" w:tentative="1">
      <w:start w:val="1"/>
      <w:numFmt w:val="decimal"/>
      <w:lvlText w:val="%7."/>
      <w:lvlJc w:val="left"/>
      <w:pPr>
        <w:ind w:left="5544" w:hanging="360"/>
      </w:pPr>
    </w:lvl>
    <w:lvl w:ilvl="7" w:tplc="04090019" w:tentative="1">
      <w:start w:val="1"/>
      <w:numFmt w:val="lowerLetter"/>
      <w:lvlText w:val="%8."/>
      <w:lvlJc w:val="left"/>
      <w:pPr>
        <w:ind w:left="6264" w:hanging="360"/>
      </w:pPr>
    </w:lvl>
    <w:lvl w:ilvl="8" w:tplc="0409001B" w:tentative="1">
      <w:start w:val="1"/>
      <w:numFmt w:val="lowerRoman"/>
      <w:lvlText w:val="%9."/>
      <w:lvlJc w:val="right"/>
      <w:pPr>
        <w:ind w:left="6984" w:hanging="180"/>
      </w:pPr>
    </w:lvl>
  </w:abstractNum>
  <w:abstractNum w:abstractNumId="6" w15:restartNumberingAfterBreak="0">
    <w:nsid w:val="1978409D"/>
    <w:multiLevelType w:val="hybridMultilevel"/>
    <w:tmpl w:val="30F2388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8718AF"/>
    <w:multiLevelType w:val="multilevel"/>
    <w:tmpl w:val="2C226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D75DDB"/>
    <w:multiLevelType w:val="hybridMultilevel"/>
    <w:tmpl w:val="27E01B38"/>
    <w:lvl w:ilvl="0" w:tplc="3B64B730">
      <w:start w:val="1"/>
      <w:numFmt w:val="decimal"/>
      <w:lvlText w:val="%1."/>
      <w:lvlJc w:val="left"/>
      <w:pPr>
        <w:ind w:left="792" w:hanging="360"/>
      </w:pPr>
      <w:rPr>
        <w:rFonts w:ascii="Book Antiqua" w:hAnsi="Book Antiqua"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9" w15:restartNumberingAfterBreak="0">
    <w:nsid w:val="35B63512"/>
    <w:multiLevelType w:val="multilevel"/>
    <w:tmpl w:val="5BCC0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B142C5"/>
    <w:multiLevelType w:val="multilevel"/>
    <w:tmpl w:val="65DADD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6112ABB"/>
    <w:multiLevelType w:val="multilevel"/>
    <w:tmpl w:val="1AA0AA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C7B56EE"/>
    <w:multiLevelType w:val="hybridMultilevel"/>
    <w:tmpl w:val="DC263406"/>
    <w:lvl w:ilvl="0" w:tplc="38F2220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DAF6D05"/>
    <w:multiLevelType w:val="hybridMultilevel"/>
    <w:tmpl w:val="6108E12E"/>
    <w:lvl w:ilvl="0" w:tplc="EE70E0F2">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4" w15:restartNumberingAfterBreak="0">
    <w:nsid w:val="5B412054"/>
    <w:multiLevelType w:val="multilevel"/>
    <w:tmpl w:val="893C4D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DE61C35"/>
    <w:multiLevelType w:val="multilevel"/>
    <w:tmpl w:val="B2224F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3E50B1B"/>
    <w:multiLevelType w:val="multilevel"/>
    <w:tmpl w:val="77F455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F2109AC"/>
    <w:multiLevelType w:val="multilevel"/>
    <w:tmpl w:val="752CB3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7E8553B"/>
    <w:multiLevelType w:val="multilevel"/>
    <w:tmpl w:val="14FED3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8EE1441"/>
    <w:multiLevelType w:val="multilevel"/>
    <w:tmpl w:val="4E0A2C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E155081"/>
    <w:multiLevelType w:val="multilevel"/>
    <w:tmpl w:val="57C21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28248306">
    <w:abstractNumId w:val="6"/>
  </w:num>
  <w:num w:numId="2" w16cid:durableId="1205096049">
    <w:abstractNumId w:val="5"/>
  </w:num>
  <w:num w:numId="3" w16cid:durableId="201791783">
    <w:abstractNumId w:val="4"/>
  </w:num>
  <w:num w:numId="4" w16cid:durableId="1827357940">
    <w:abstractNumId w:val="13"/>
  </w:num>
  <w:num w:numId="5" w16cid:durableId="1136072045">
    <w:abstractNumId w:val="8"/>
  </w:num>
  <w:num w:numId="6" w16cid:durableId="90660967">
    <w:abstractNumId w:val="3"/>
  </w:num>
  <w:num w:numId="7" w16cid:durableId="1973510366">
    <w:abstractNumId w:val="7"/>
  </w:num>
  <w:num w:numId="8" w16cid:durableId="676156886">
    <w:abstractNumId w:val="20"/>
  </w:num>
  <w:num w:numId="9" w16cid:durableId="432558007">
    <w:abstractNumId w:val="9"/>
  </w:num>
  <w:num w:numId="10" w16cid:durableId="1956673186">
    <w:abstractNumId w:val="17"/>
  </w:num>
  <w:num w:numId="11" w16cid:durableId="903687121">
    <w:abstractNumId w:val="12"/>
  </w:num>
  <w:num w:numId="12" w16cid:durableId="733359828">
    <w:abstractNumId w:val="1"/>
  </w:num>
  <w:num w:numId="13" w16cid:durableId="252595557">
    <w:abstractNumId w:val="19"/>
  </w:num>
  <w:num w:numId="14" w16cid:durableId="1329016444">
    <w:abstractNumId w:val="10"/>
  </w:num>
  <w:num w:numId="15" w16cid:durableId="1010106642">
    <w:abstractNumId w:val="15"/>
  </w:num>
  <w:num w:numId="16" w16cid:durableId="1547253598">
    <w:abstractNumId w:val="18"/>
  </w:num>
  <w:num w:numId="17" w16cid:durableId="1263297651">
    <w:abstractNumId w:val="0"/>
  </w:num>
  <w:num w:numId="18" w16cid:durableId="1504317645">
    <w:abstractNumId w:val="2"/>
  </w:num>
  <w:num w:numId="19" w16cid:durableId="593126319">
    <w:abstractNumId w:val="14"/>
  </w:num>
  <w:num w:numId="20" w16cid:durableId="1530147858">
    <w:abstractNumId w:val="11"/>
  </w:num>
  <w:num w:numId="21" w16cid:durableId="21432292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2"/>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6670C"/>
    <w:rsid w:val="0000591A"/>
    <w:rsid w:val="000127DE"/>
    <w:rsid w:val="000218BA"/>
    <w:rsid w:val="00021A6E"/>
    <w:rsid w:val="00022F60"/>
    <w:rsid w:val="00032798"/>
    <w:rsid w:val="00033F5D"/>
    <w:rsid w:val="00035116"/>
    <w:rsid w:val="0004499D"/>
    <w:rsid w:val="00060B1A"/>
    <w:rsid w:val="000611F2"/>
    <w:rsid w:val="000672E5"/>
    <w:rsid w:val="0007122A"/>
    <w:rsid w:val="00077427"/>
    <w:rsid w:val="0009634E"/>
    <w:rsid w:val="000A1C1F"/>
    <w:rsid w:val="000A4900"/>
    <w:rsid w:val="000A5AE0"/>
    <w:rsid w:val="000A685F"/>
    <w:rsid w:val="000B09D4"/>
    <w:rsid w:val="000B467D"/>
    <w:rsid w:val="000B7DB1"/>
    <w:rsid w:val="000C58C8"/>
    <w:rsid w:val="000C6912"/>
    <w:rsid w:val="000D1519"/>
    <w:rsid w:val="000F4185"/>
    <w:rsid w:val="000F6834"/>
    <w:rsid w:val="00111256"/>
    <w:rsid w:val="00114B9A"/>
    <w:rsid w:val="001247B6"/>
    <w:rsid w:val="00143C4A"/>
    <w:rsid w:val="00146DFD"/>
    <w:rsid w:val="001661E9"/>
    <w:rsid w:val="001674D6"/>
    <w:rsid w:val="00191780"/>
    <w:rsid w:val="001A4935"/>
    <w:rsid w:val="001B12C5"/>
    <w:rsid w:val="001C11B5"/>
    <w:rsid w:val="001C4576"/>
    <w:rsid w:val="001C5FF6"/>
    <w:rsid w:val="001D02A0"/>
    <w:rsid w:val="001D7BE6"/>
    <w:rsid w:val="001E580A"/>
    <w:rsid w:val="001E7510"/>
    <w:rsid w:val="001F4CC4"/>
    <w:rsid w:val="001F5619"/>
    <w:rsid w:val="00201FFA"/>
    <w:rsid w:val="00206AE3"/>
    <w:rsid w:val="00214BBA"/>
    <w:rsid w:val="002151F3"/>
    <w:rsid w:val="00215CE8"/>
    <w:rsid w:val="002171E0"/>
    <w:rsid w:val="002176B1"/>
    <w:rsid w:val="00220BC1"/>
    <w:rsid w:val="00223FD3"/>
    <w:rsid w:val="00236362"/>
    <w:rsid w:val="002448B6"/>
    <w:rsid w:val="002525DF"/>
    <w:rsid w:val="0025760D"/>
    <w:rsid w:val="0027024B"/>
    <w:rsid w:val="002718AF"/>
    <w:rsid w:val="00272EC3"/>
    <w:rsid w:val="00273B35"/>
    <w:rsid w:val="00273FD1"/>
    <w:rsid w:val="00275451"/>
    <w:rsid w:val="00275D9E"/>
    <w:rsid w:val="00292D28"/>
    <w:rsid w:val="002958DF"/>
    <w:rsid w:val="002A30A4"/>
    <w:rsid w:val="002A3D62"/>
    <w:rsid w:val="002A4840"/>
    <w:rsid w:val="002A7364"/>
    <w:rsid w:val="002B2D3F"/>
    <w:rsid w:val="002B773F"/>
    <w:rsid w:val="002B7CFB"/>
    <w:rsid w:val="002C0956"/>
    <w:rsid w:val="002D1BD0"/>
    <w:rsid w:val="002D2308"/>
    <w:rsid w:val="002D586D"/>
    <w:rsid w:val="002E38A5"/>
    <w:rsid w:val="002E6D71"/>
    <w:rsid w:val="003022CA"/>
    <w:rsid w:val="0030395C"/>
    <w:rsid w:val="0030612E"/>
    <w:rsid w:val="00312DB1"/>
    <w:rsid w:val="00321EB7"/>
    <w:rsid w:val="00323544"/>
    <w:rsid w:val="00330CD3"/>
    <w:rsid w:val="0033298C"/>
    <w:rsid w:val="003354A0"/>
    <w:rsid w:val="003453A5"/>
    <w:rsid w:val="00345873"/>
    <w:rsid w:val="003458CF"/>
    <w:rsid w:val="003518F1"/>
    <w:rsid w:val="00354F2D"/>
    <w:rsid w:val="00361B12"/>
    <w:rsid w:val="00365A0D"/>
    <w:rsid w:val="00377858"/>
    <w:rsid w:val="00393300"/>
    <w:rsid w:val="0039668F"/>
    <w:rsid w:val="003A0395"/>
    <w:rsid w:val="003A23BC"/>
    <w:rsid w:val="003B595D"/>
    <w:rsid w:val="003D2BE9"/>
    <w:rsid w:val="003D62C4"/>
    <w:rsid w:val="003F3AC5"/>
    <w:rsid w:val="00400075"/>
    <w:rsid w:val="0040594C"/>
    <w:rsid w:val="004117FB"/>
    <w:rsid w:val="00413169"/>
    <w:rsid w:val="00414A59"/>
    <w:rsid w:val="004175BC"/>
    <w:rsid w:val="0042753F"/>
    <w:rsid w:val="00434383"/>
    <w:rsid w:val="00445951"/>
    <w:rsid w:val="0046198D"/>
    <w:rsid w:val="00465348"/>
    <w:rsid w:val="00465BF1"/>
    <w:rsid w:val="0046670C"/>
    <w:rsid w:val="00475354"/>
    <w:rsid w:val="00485C57"/>
    <w:rsid w:val="00491D20"/>
    <w:rsid w:val="00497C07"/>
    <w:rsid w:val="00497E2E"/>
    <w:rsid w:val="004A0E85"/>
    <w:rsid w:val="004A2D8F"/>
    <w:rsid w:val="004B36F1"/>
    <w:rsid w:val="004B4C95"/>
    <w:rsid w:val="004B6202"/>
    <w:rsid w:val="004B6935"/>
    <w:rsid w:val="004C0161"/>
    <w:rsid w:val="004C06EC"/>
    <w:rsid w:val="004C2A11"/>
    <w:rsid w:val="004C3AAC"/>
    <w:rsid w:val="004D0AC8"/>
    <w:rsid w:val="004F1EE4"/>
    <w:rsid w:val="004F30B5"/>
    <w:rsid w:val="00516E96"/>
    <w:rsid w:val="005320D0"/>
    <w:rsid w:val="00533971"/>
    <w:rsid w:val="00541762"/>
    <w:rsid w:val="005523D5"/>
    <w:rsid w:val="005559A1"/>
    <w:rsid w:val="00564019"/>
    <w:rsid w:val="005647A7"/>
    <w:rsid w:val="005763BA"/>
    <w:rsid w:val="00584CFB"/>
    <w:rsid w:val="00586266"/>
    <w:rsid w:val="00587886"/>
    <w:rsid w:val="00592CDD"/>
    <w:rsid w:val="00594DA6"/>
    <w:rsid w:val="005A16F9"/>
    <w:rsid w:val="005B06E3"/>
    <w:rsid w:val="005D5463"/>
    <w:rsid w:val="005E37E7"/>
    <w:rsid w:val="005F4B84"/>
    <w:rsid w:val="00606B70"/>
    <w:rsid w:val="0060762D"/>
    <w:rsid w:val="0061060A"/>
    <w:rsid w:val="00610CA4"/>
    <w:rsid w:val="00632B15"/>
    <w:rsid w:val="00633E11"/>
    <w:rsid w:val="00645598"/>
    <w:rsid w:val="00665184"/>
    <w:rsid w:val="006804AF"/>
    <w:rsid w:val="006946D9"/>
    <w:rsid w:val="00694D02"/>
    <w:rsid w:val="00695713"/>
    <w:rsid w:val="006B0440"/>
    <w:rsid w:val="006B387A"/>
    <w:rsid w:val="006B559B"/>
    <w:rsid w:val="006B7906"/>
    <w:rsid w:val="006D24BE"/>
    <w:rsid w:val="006D65A5"/>
    <w:rsid w:val="006D6C1C"/>
    <w:rsid w:val="006E542C"/>
    <w:rsid w:val="006E7BC6"/>
    <w:rsid w:val="006F5D0B"/>
    <w:rsid w:val="00710911"/>
    <w:rsid w:val="00732505"/>
    <w:rsid w:val="00745C25"/>
    <w:rsid w:val="00747D17"/>
    <w:rsid w:val="007512BC"/>
    <w:rsid w:val="00761D12"/>
    <w:rsid w:val="0077466C"/>
    <w:rsid w:val="00783109"/>
    <w:rsid w:val="007847DA"/>
    <w:rsid w:val="00792300"/>
    <w:rsid w:val="007A1394"/>
    <w:rsid w:val="007A330C"/>
    <w:rsid w:val="007A4AA6"/>
    <w:rsid w:val="007A7099"/>
    <w:rsid w:val="007D141F"/>
    <w:rsid w:val="007E4ACD"/>
    <w:rsid w:val="007E6117"/>
    <w:rsid w:val="007F0B3D"/>
    <w:rsid w:val="008013DC"/>
    <w:rsid w:val="0081623B"/>
    <w:rsid w:val="00825A3B"/>
    <w:rsid w:val="00826B96"/>
    <w:rsid w:val="00827101"/>
    <w:rsid w:val="00837CA9"/>
    <w:rsid w:val="008547BE"/>
    <w:rsid w:val="00854F2F"/>
    <w:rsid w:val="00871A63"/>
    <w:rsid w:val="00877EE0"/>
    <w:rsid w:val="008B7092"/>
    <w:rsid w:val="008C123A"/>
    <w:rsid w:val="008C4672"/>
    <w:rsid w:val="008C4FCA"/>
    <w:rsid w:val="008D7B3F"/>
    <w:rsid w:val="008E0AB0"/>
    <w:rsid w:val="008E2201"/>
    <w:rsid w:val="008E4B89"/>
    <w:rsid w:val="008E6E97"/>
    <w:rsid w:val="008F2C4B"/>
    <w:rsid w:val="009062C4"/>
    <w:rsid w:val="00911A63"/>
    <w:rsid w:val="00912085"/>
    <w:rsid w:val="00913E00"/>
    <w:rsid w:val="00914F37"/>
    <w:rsid w:val="0092176F"/>
    <w:rsid w:val="00932F1C"/>
    <w:rsid w:val="0094514D"/>
    <w:rsid w:val="00961366"/>
    <w:rsid w:val="009710C4"/>
    <w:rsid w:val="00980C1C"/>
    <w:rsid w:val="009841CF"/>
    <w:rsid w:val="0099535B"/>
    <w:rsid w:val="00995850"/>
    <w:rsid w:val="009B52F4"/>
    <w:rsid w:val="009B57D0"/>
    <w:rsid w:val="009B7A94"/>
    <w:rsid w:val="009B7DC1"/>
    <w:rsid w:val="009C4B3B"/>
    <w:rsid w:val="009C765B"/>
    <w:rsid w:val="009E2A60"/>
    <w:rsid w:val="00A14C17"/>
    <w:rsid w:val="00A16C5D"/>
    <w:rsid w:val="00A23E1B"/>
    <w:rsid w:val="00A46287"/>
    <w:rsid w:val="00A60966"/>
    <w:rsid w:val="00A60AA5"/>
    <w:rsid w:val="00A60DED"/>
    <w:rsid w:val="00A70796"/>
    <w:rsid w:val="00A750BD"/>
    <w:rsid w:val="00A829DF"/>
    <w:rsid w:val="00A914A8"/>
    <w:rsid w:val="00AA122E"/>
    <w:rsid w:val="00AA3063"/>
    <w:rsid w:val="00AA6540"/>
    <w:rsid w:val="00AB6933"/>
    <w:rsid w:val="00AC03CD"/>
    <w:rsid w:val="00AF339E"/>
    <w:rsid w:val="00AF606B"/>
    <w:rsid w:val="00B016B9"/>
    <w:rsid w:val="00B14C49"/>
    <w:rsid w:val="00B44032"/>
    <w:rsid w:val="00B456A4"/>
    <w:rsid w:val="00B543DF"/>
    <w:rsid w:val="00B61DB0"/>
    <w:rsid w:val="00B738AD"/>
    <w:rsid w:val="00B93924"/>
    <w:rsid w:val="00BA7BDE"/>
    <w:rsid w:val="00BB05E9"/>
    <w:rsid w:val="00BB193C"/>
    <w:rsid w:val="00BB31F4"/>
    <w:rsid w:val="00BB4B68"/>
    <w:rsid w:val="00BB5861"/>
    <w:rsid w:val="00BC0A6F"/>
    <w:rsid w:val="00BC16A8"/>
    <w:rsid w:val="00BD3C25"/>
    <w:rsid w:val="00BE0937"/>
    <w:rsid w:val="00BE699E"/>
    <w:rsid w:val="00BE6B91"/>
    <w:rsid w:val="00BF6758"/>
    <w:rsid w:val="00C05D54"/>
    <w:rsid w:val="00C12732"/>
    <w:rsid w:val="00C15CE7"/>
    <w:rsid w:val="00C20FE3"/>
    <w:rsid w:val="00C2622F"/>
    <w:rsid w:val="00C27704"/>
    <w:rsid w:val="00C3357F"/>
    <w:rsid w:val="00C41BD9"/>
    <w:rsid w:val="00C433A2"/>
    <w:rsid w:val="00C47396"/>
    <w:rsid w:val="00C5369C"/>
    <w:rsid w:val="00C57DB1"/>
    <w:rsid w:val="00C6471D"/>
    <w:rsid w:val="00C652E0"/>
    <w:rsid w:val="00C6762D"/>
    <w:rsid w:val="00C80FC2"/>
    <w:rsid w:val="00C901BE"/>
    <w:rsid w:val="00C9577F"/>
    <w:rsid w:val="00CA22A5"/>
    <w:rsid w:val="00CA4515"/>
    <w:rsid w:val="00CA48C9"/>
    <w:rsid w:val="00CA5394"/>
    <w:rsid w:val="00CC084D"/>
    <w:rsid w:val="00CC0FD3"/>
    <w:rsid w:val="00CC39FF"/>
    <w:rsid w:val="00CC4B50"/>
    <w:rsid w:val="00CD1472"/>
    <w:rsid w:val="00CE04C5"/>
    <w:rsid w:val="00CE13CE"/>
    <w:rsid w:val="00CE7D74"/>
    <w:rsid w:val="00CF707D"/>
    <w:rsid w:val="00D03F9F"/>
    <w:rsid w:val="00D05A4C"/>
    <w:rsid w:val="00D10A0B"/>
    <w:rsid w:val="00D20C77"/>
    <w:rsid w:val="00D25C89"/>
    <w:rsid w:val="00D51285"/>
    <w:rsid w:val="00D60B45"/>
    <w:rsid w:val="00D70E9C"/>
    <w:rsid w:val="00D7448C"/>
    <w:rsid w:val="00D779F4"/>
    <w:rsid w:val="00D77BF7"/>
    <w:rsid w:val="00D94CB1"/>
    <w:rsid w:val="00DB1A91"/>
    <w:rsid w:val="00DB2C8C"/>
    <w:rsid w:val="00DB34AE"/>
    <w:rsid w:val="00DB4284"/>
    <w:rsid w:val="00DC1644"/>
    <w:rsid w:val="00DC1C18"/>
    <w:rsid w:val="00DD3341"/>
    <w:rsid w:val="00DD47EF"/>
    <w:rsid w:val="00DD716E"/>
    <w:rsid w:val="00DF1D39"/>
    <w:rsid w:val="00E11F64"/>
    <w:rsid w:val="00E14C33"/>
    <w:rsid w:val="00E16EC3"/>
    <w:rsid w:val="00E22828"/>
    <w:rsid w:val="00E274EB"/>
    <w:rsid w:val="00E30290"/>
    <w:rsid w:val="00E31FE4"/>
    <w:rsid w:val="00E412FE"/>
    <w:rsid w:val="00E532CF"/>
    <w:rsid w:val="00E54B33"/>
    <w:rsid w:val="00E55203"/>
    <w:rsid w:val="00E708D0"/>
    <w:rsid w:val="00E9166D"/>
    <w:rsid w:val="00E9519F"/>
    <w:rsid w:val="00E96A1B"/>
    <w:rsid w:val="00EA53F4"/>
    <w:rsid w:val="00EA66AF"/>
    <w:rsid w:val="00EB332A"/>
    <w:rsid w:val="00EB5F0C"/>
    <w:rsid w:val="00EC65AC"/>
    <w:rsid w:val="00ED42C7"/>
    <w:rsid w:val="00EF12D9"/>
    <w:rsid w:val="00F13694"/>
    <w:rsid w:val="00F41E0C"/>
    <w:rsid w:val="00F42FDA"/>
    <w:rsid w:val="00F43297"/>
    <w:rsid w:val="00F4581C"/>
    <w:rsid w:val="00F51CA4"/>
    <w:rsid w:val="00F53F17"/>
    <w:rsid w:val="00F849BD"/>
    <w:rsid w:val="00FD387D"/>
    <w:rsid w:val="00FD54BE"/>
    <w:rsid w:val="00FE28AB"/>
    <w:rsid w:val="00FE5168"/>
    <w:rsid w:val="00FE7AF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6A634"/>
  <w15:docId w15:val="{4C9DC8EC-C25D-4364-8CE3-39962660B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6670C"/>
    <w:rPr>
      <w:sz w:val="24"/>
    </w:rPr>
  </w:style>
  <w:style w:type="paragraph" w:styleId="Heading1">
    <w:name w:val="heading 1"/>
    <w:basedOn w:val="Normal"/>
    <w:next w:val="Normal"/>
    <w:qFormat/>
    <w:rsid w:val="0046670C"/>
    <w:pPr>
      <w:keepNext/>
      <w:spacing w:after="240"/>
      <w:jc w:val="center"/>
      <w:outlineLvl w:val="0"/>
    </w:pPr>
    <w:rPr>
      <w:rFonts w:ascii="Book Antiqua" w:hAnsi="Book Antiqua"/>
      <w:b/>
      <w:caps/>
      <w:color w:val="000000" w:themeColor="text1"/>
      <w:kern w:val="28"/>
      <w:u w:val="single"/>
    </w:rPr>
  </w:style>
  <w:style w:type="paragraph" w:styleId="Heading2">
    <w:name w:val="heading 2"/>
    <w:basedOn w:val="Normal"/>
    <w:next w:val="Normal"/>
    <w:link w:val="Heading2Char"/>
    <w:semiHidden/>
    <w:unhideWhenUsed/>
    <w:qFormat/>
    <w:rsid w:val="00111256"/>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FootnoteText">
    <w:name w:val="footnote text"/>
    <w:basedOn w:val="Normal"/>
    <w:link w:val="FootnoteTextChar"/>
    <w:rsid w:val="004C06EC"/>
    <w:rPr>
      <w:sz w:val="20"/>
    </w:rPr>
  </w:style>
  <w:style w:type="paragraph" w:customStyle="1" w:styleId="Firmas">
    <w:name w:val="Firmas"/>
    <w:basedOn w:val="Normal"/>
    <w:pPr>
      <w:tabs>
        <w:tab w:val="center" w:pos="1440"/>
        <w:tab w:val="center" w:pos="7200"/>
      </w:tabs>
    </w:pPr>
    <w:rPr>
      <w:lang w:val="es-ES_tradnl"/>
    </w:rPr>
  </w:style>
  <w:style w:type="character" w:customStyle="1" w:styleId="FootnoteTextChar">
    <w:name w:val="Footnote Text Char"/>
    <w:basedOn w:val="DefaultParagraphFont"/>
    <w:link w:val="FootnoteText"/>
    <w:rsid w:val="004C06EC"/>
  </w:style>
  <w:style w:type="character" w:styleId="FootnoteReference">
    <w:name w:val="footnote reference"/>
    <w:basedOn w:val="DefaultParagraphFont"/>
    <w:uiPriority w:val="99"/>
    <w:rsid w:val="004C06EC"/>
    <w:rPr>
      <w:vertAlign w:val="superscript"/>
    </w:rPr>
  </w:style>
  <w:style w:type="paragraph" w:styleId="ListParagraph">
    <w:name w:val="List Paragraph"/>
    <w:basedOn w:val="Normal"/>
    <w:uiPriority w:val="34"/>
    <w:qFormat/>
    <w:rsid w:val="00533971"/>
    <w:pPr>
      <w:spacing w:after="160" w:line="278" w:lineRule="auto"/>
      <w:ind w:left="720"/>
      <w:contextualSpacing/>
    </w:pPr>
    <w:rPr>
      <w:rFonts w:asciiTheme="minorHAnsi" w:eastAsiaTheme="minorHAnsi" w:hAnsiTheme="minorHAnsi" w:cstheme="minorBidi"/>
      <w:kern w:val="2"/>
      <w:szCs w:val="24"/>
      <w14:ligatures w14:val="standardContextual"/>
    </w:rPr>
  </w:style>
  <w:style w:type="paragraph" w:styleId="BodyText">
    <w:name w:val="Body Text"/>
    <w:basedOn w:val="Normal"/>
    <w:link w:val="BodyTextChar"/>
    <w:rsid w:val="00F41E0C"/>
    <w:pPr>
      <w:spacing w:after="120"/>
    </w:pPr>
  </w:style>
  <w:style w:type="character" w:customStyle="1" w:styleId="BodyTextChar">
    <w:name w:val="Body Text Char"/>
    <w:basedOn w:val="DefaultParagraphFont"/>
    <w:link w:val="BodyText"/>
    <w:rsid w:val="00F41E0C"/>
    <w:rPr>
      <w:sz w:val="24"/>
    </w:rPr>
  </w:style>
  <w:style w:type="character" w:customStyle="1" w:styleId="Heading2Char">
    <w:name w:val="Heading 2 Char"/>
    <w:basedOn w:val="DefaultParagraphFont"/>
    <w:link w:val="Heading2"/>
    <w:semiHidden/>
    <w:rsid w:val="00111256"/>
    <w:rPr>
      <w:rFonts w:asciiTheme="majorHAnsi" w:eastAsiaTheme="majorEastAsia" w:hAnsiTheme="majorHAnsi" w:cstheme="majorBidi"/>
      <w:color w:val="2F5496" w:themeColor="accent1" w:themeShade="BF"/>
      <w:sz w:val="26"/>
      <w:szCs w:val="26"/>
    </w:rPr>
  </w:style>
  <w:style w:type="paragraph" w:customStyle="1" w:styleId="my-0">
    <w:name w:val="my-0"/>
    <w:basedOn w:val="Normal"/>
    <w:rsid w:val="00CA48C9"/>
    <w:pPr>
      <w:spacing w:before="100" w:beforeAutospacing="1" w:after="100" w:afterAutospacing="1"/>
    </w:pPr>
    <w:rPr>
      <w:szCs w:val="24"/>
    </w:rPr>
  </w:style>
  <w:style w:type="character" w:styleId="Hyperlink">
    <w:name w:val="Hyperlink"/>
    <w:basedOn w:val="DefaultParagraphFont"/>
    <w:uiPriority w:val="99"/>
    <w:unhideWhenUsed/>
    <w:rsid w:val="001B12C5"/>
    <w:rPr>
      <w:color w:val="0000FF"/>
      <w:u w:val="single"/>
    </w:rPr>
  </w:style>
  <w:style w:type="character" w:customStyle="1" w:styleId="relative">
    <w:name w:val="relative"/>
    <w:basedOn w:val="DefaultParagraphFont"/>
    <w:rsid w:val="00D60B45"/>
  </w:style>
  <w:style w:type="paragraph" w:customStyle="1" w:styleId="my-2">
    <w:name w:val="my-2"/>
    <w:basedOn w:val="Normal"/>
    <w:rsid w:val="004B6202"/>
    <w:pPr>
      <w:spacing w:before="100" w:beforeAutospacing="1" w:after="100" w:afterAutospacing="1"/>
    </w:pPr>
    <w:rPr>
      <w:szCs w:val="24"/>
    </w:rPr>
  </w:style>
  <w:style w:type="paragraph" w:styleId="NoSpacing">
    <w:name w:val="No Spacing"/>
    <w:uiPriority w:val="1"/>
    <w:qFormat/>
    <w:rsid w:val="005D5463"/>
    <w:rPr>
      <w:sz w:val="24"/>
    </w:rPr>
  </w:style>
  <w:style w:type="character" w:customStyle="1" w:styleId="HeaderChar">
    <w:name w:val="Header Char"/>
    <w:basedOn w:val="DefaultParagraphFont"/>
    <w:link w:val="Header"/>
    <w:uiPriority w:val="99"/>
    <w:rsid w:val="00497E2E"/>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741030">
      <w:bodyDiv w:val="1"/>
      <w:marLeft w:val="0"/>
      <w:marRight w:val="0"/>
      <w:marTop w:val="0"/>
      <w:marBottom w:val="0"/>
      <w:divBdr>
        <w:top w:val="none" w:sz="0" w:space="0" w:color="auto"/>
        <w:left w:val="none" w:sz="0" w:space="0" w:color="auto"/>
        <w:bottom w:val="none" w:sz="0" w:space="0" w:color="auto"/>
        <w:right w:val="none" w:sz="0" w:space="0" w:color="auto"/>
      </w:divBdr>
      <w:divsChild>
        <w:div w:id="1742867243">
          <w:marLeft w:val="0"/>
          <w:marRight w:val="0"/>
          <w:marTop w:val="0"/>
          <w:marBottom w:val="0"/>
          <w:divBdr>
            <w:top w:val="none" w:sz="0" w:space="0" w:color="auto"/>
            <w:left w:val="none" w:sz="0" w:space="0" w:color="auto"/>
            <w:bottom w:val="none" w:sz="0" w:space="0" w:color="auto"/>
            <w:right w:val="none" w:sz="0" w:space="0" w:color="auto"/>
          </w:divBdr>
          <w:divsChild>
            <w:div w:id="1557930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049312">
      <w:bodyDiv w:val="1"/>
      <w:marLeft w:val="0"/>
      <w:marRight w:val="0"/>
      <w:marTop w:val="0"/>
      <w:marBottom w:val="0"/>
      <w:divBdr>
        <w:top w:val="none" w:sz="0" w:space="0" w:color="auto"/>
        <w:left w:val="none" w:sz="0" w:space="0" w:color="auto"/>
        <w:bottom w:val="none" w:sz="0" w:space="0" w:color="auto"/>
        <w:right w:val="none" w:sz="0" w:space="0" w:color="auto"/>
      </w:divBdr>
    </w:div>
    <w:div w:id="692610655">
      <w:bodyDiv w:val="1"/>
      <w:marLeft w:val="0"/>
      <w:marRight w:val="0"/>
      <w:marTop w:val="0"/>
      <w:marBottom w:val="0"/>
      <w:divBdr>
        <w:top w:val="none" w:sz="0" w:space="0" w:color="auto"/>
        <w:left w:val="none" w:sz="0" w:space="0" w:color="auto"/>
        <w:bottom w:val="none" w:sz="0" w:space="0" w:color="auto"/>
        <w:right w:val="none" w:sz="0" w:space="0" w:color="auto"/>
      </w:divBdr>
      <w:divsChild>
        <w:div w:id="956912866">
          <w:marLeft w:val="0"/>
          <w:marRight w:val="0"/>
          <w:marTop w:val="0"/>
          <w:marBottom w:val="0"/>
          <w:divBdr>
            <w:top w:val="none" w:sz="0" w:space="0" w:color="auto"/>
            <w:left w:val="none" w:sz="0" w:space="0" w:color="auto"/>
            <w:bottom w:val="none" w:sz="0" w:space="0" w:color="auto"/>
            <w:right w:val="none" w:sz="0" w:space="0" w:color="auto"/>
          </w:divBdr>
          <w:divsChild>
            <w:div w:id="237132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448077">
      <w:bodyDiv w:val="1"/>
      <w:marLeft w:val="0"/>
      <w:marRight w:val="0"/>
      <w:marTop w:val="0"/>
      <w:marBottom w:val="0"/>
      <w:divBdr>
        <w:top w:val="none" w:sz="0" w:space="0" w:color="auto"/>
        <w:left w:val="none" w:sz="0" w:space="0" w:color="auto"/>
        <w:bottom w:val="none" w:sz="0" w:space="0" w:color="auto"/>
        <w:right w:val="none" w:sz="0" w:space="0" w:color="auto"/>
      </w:divBdr>
    </w:div>
    <w:div w:id="1711800542">
      <w:bodyDiv w:val="1"/>
      <w:marLeft w:val="0"/>
      <w:marRight w:val="0"/>
      <w:marTop w:val="0"/>
      <w:marBottom w:val="0"/>
      <w:divBdr>
        <w:top w:val="none" w:sz="0" w:space="0" w:color="auto"/>
        <w:left w:val="none" w:sz="0" w:space="0" w:color="auto"/>
        <w:bottom w:val="none" w:sz="0" w:space="0" w:color="auto"/>
        <w:right w:val="none" w:sz="0" w:space="0" w:color="auto"/>
      </w:divBdr>
      <w:divsChild>
        <w:div w:id="406148559">
          <w:marLeft w:val="0"/>
          <w:marRight w:val="0"/>
          <w:marTop w:val="0"/>
          <w:marBottom w:val="0"/>
          <w:divBdr>
            <w:top w:val="none" w:sz="0" w:space="0" w:color="auto"/>
            <w:left w:val="none" w:sz="0" w:space="0" w:color="auto"/>
            <w:bottom w:val="none" w:sz="0" w:space="0" w:color="auto"/>
            <w:right w:val="none" w:sz="0" w:space="0" w:color="auto"/>
          </w:divBdr>
          <w:divsChild>
            <w:div w:id="176915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609611">
      <w:bodyDiv w:val="1"/>
      <w:marLeft w:val="0"/>
      <w:marRight w:val="0"/>
      <w:marTop w:val="0"/>
      <w:marBottom w:val="0"/>
      <w:divBdr>
        <w:top w:val="none" w:sz="0" w:space="0" w:color="auto"/>
        <w:left w:val="none" w:sz="0" w:space="0" w:color="auto"/>
        <w:bottom w:val="none" w:sz="0" w:space="0" w:color="auto"/>
        <w:right w:val="none" w:sz="0" w:space="0" w:color="auto"/>
      </w:divBdr>
      <w:divsChild>
        <w:div w:id="471944143">
          <w:marLeft w:val="0"/>
          <w:marRight w:val="0"/>
          <w:marTop w:val="0"/>
          <w:marBottom w:val="0"/>
          <w:divBdr>
            <w:top w:val="none" w:sz="0" w:space="0" w:color="auto"/>
            <w:left w:val="none" w:sz="0" w:space="0" w:color="auto"/>
            <w:bottom w:val="none" w:sz="0" w:space="0" w:color="auto"/>
            <w:right w:val="none" w:sz="0" w:space="0" w:color="auto"/>
          </w:divBdr>
          <w:divsChild>
            <w:div w:id="236211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845017">
      <w:bodyDiv w:val="1"/>
      <w:marLeft w:val="0"/>
      <w:marRight w:val="0"/>
      <w:marTop w:val="0"/>
      <w:marBottom w:val="0"/>
      <w:divBdr>
        <w:top w:val="none" w:sz="0" w:space="0" w:color="auto"/>
        <w:left w:val="none" w:sz="0" w:space="0" w:color="auto"/>
        <w:bottom w:val="none" w:sz="0" w:space="0" w:color="auto"/>
        <w:right w:val="none" w:sz="0" w:space="0" w:color="auto"/>
      </w:divBdr>
      <w:divsChild>
        <w:div w:id="2119785877">
          <w:marLeft w:val="0"/>
          <w:marRight w:val="0"/>
          <w:marTop w:val="0"/>
          <w:marBottom w:val="0"/>
          <w:divBdr>
            <w:top w:val="none" w:sz="0" w:space="0" w:color="auto"/>
            <w:left w:val="none" w:sz="0" w:space="0" w:color="auto"/>
            <w:bottom w:val="none" w:sz="0" w:space="0" w:color="auto"/>
            <w:right w:val="none" w:sz="0" w:space="0" w:color="auto"/>
          </w:divBdr>
          <w:divsChild>
            <w:div w:id="356082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8719600">
      <w:bodyDiv w:val="1"/>
      <w:marLeft w:val="0"/>
      <w:marRight w:val="0"/>
      <w:marTop w:val="0"/>
      <w:marBottom w:val="0"/>
      <w:divBdr>
        <w:top w:val="none" w:sz="0" w:space="0" w:color="auto"/>
        <w:left w:val="none" w:sz="0" w:space="0" w:color="auto"/>
        <w:bottom w:val="none" w:sz="0" w:space="0" w:color="auto"/>
        <w:right w:val="none" w:sz="0" w:space="0" w:color="auto"/>
      </w:divBdr>
      <w:divsChild>
        <w:div w:id="1143624025">
          <w:marLeft w:val="0"/>
          <w:marRight w:val="0"/>
          <w:marTop w:val="0"/>
          <w:marBottom w:val="0"/>
          <w:divBdr>
            <w:top w:val="none" w:sz="0" w:space="0" w:color="auto"/>
            <w:left w:val="none" w:sz="0" w:space="0" w:color="auto"/>
            <w:bottom w:val="none" w:sz="0" w:space="0" w:color="auto"/>
            <w:right w:val="none" w:sz="0" w:space="0" w:color="auto"/>
          </w:divBdr>
          <w:divsChild>
            <w:div w:id="1427799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6805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rojas\OneDrive%20-%20Senado%20de%20Puerto%20Rico\Comisi&#243;n%20de%20lo%20Jur&#237;dico%20y%20Desarrollo%20Econ&#243;mico%20(JUR)\Oficina\Medida-v202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4SQX5P7U7WPY-958212181-819180</_dlc_DocId>
    <_dlc_DocIdUrl xmlns="c890fddd-4e87-4e08-8b51-545f2a3f7b06">
      <Url>https://senpr.sharepoint.com/sites/obralegislativa/_layouts/15/DocIdRedir.aspx?ID=4SQX5P7U7WPY-958212181-819180</Url>
      <Description>4SQX5P7U7WPY-958212181-819180</Description>
    </_dlc_DocIdUrl>
  </documentManagement>
</p:properties>
</file>

<file path=customXml/itemProps1.xml><?xml version="1.0" encoding="utf-8"?>
<ds:datastoreItem xmlns:ds="http://schemas.openxmlformats.org/officeDocument/2006/customXml" ds:itemID="{E3302D02-AE7B-4DC0-9523-690C93B7F8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713944C-35CA-40ED-8CCA-E1A24C1A129D}">
  <ds:schemaRefs>
    <ds:schemaRef ds:uri="http://schemas.openxmlformats.org/officeDocument/2006/bibliography"/>
  </ds:schemaRefs>
</ds:datastoreItem>
</file>

<file path=customXml/itemProps3.xml><?xml version="1.0" encoding="utf-8"?>
<ds:datastoreItem xmlns:ds="http://schemas.openxmlformats.org/officeDocument/2006/customXml" ds:itemID="{BF336A77-2ED7-4F52-946D-2C88BE6F9A03}">
  <ds:schemaRefs>
    <ds:schemaRef ds:uri="http://schemas.microsoft.com/sharepoint/events"/>
  </ds:schemaRefs>
</ds:datastoreItem>
</file>

<file path=customXml/itemProps4.xml><?xml version="1.0" encoding="utf-8"?>
<ds:datastoreItem xmlns:ds="http://schemas.openxmlformats.org/officeDocument/2006/customXml" ds:itemID="{CD05E6E9-432D-482E-BC4C-E4635434032A}">
  <ds:schemaRefs>
    <ds:schemaRef ds:uri="http://schemas.microsoft.com/sharepoint/v3/contenttype/forms"/>
  </ds:schemaRefs>
</ds:datastoreItem>
</file>

<file path=customXml/itemProps5.xml><?xml version="1.0" encoding="utf-8"?>
<ds:datastoreItem xmlns:ds="http://schemas.openxmlformats.org/officeDocument/2006/customXml" ds:itemID="{2D13001B-4DD2-48BD-9351-7F7378D9BE8F}">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docProps/app.xml><?xml version="1.0" encoding="utf-8"?>
<Properties xmlns="http://schemas.openxmlformats.org/officeDocument/2006/extended-properties" xmlns:vt="http://schemas.openxmlformats.org/officeDocument/2006/docPropsVTypes">
  <Template>Medida-v2023</Template>
  <TotalTime>2</TotalTime>
  <Pages>15</Pages>
  <Words>4400</Words>
  <Characters>25082</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 </Company>
  <LinksUpToDate>false</LinksUpToDate>
  <CharactersWithSpaces>29424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Bryan Rojas Rojas (Com. de lo Juridico)</dc:creator>
  <cp:keywords/>
  <dc:description/>
  <cp:lastModifiedBy>Monica Maldonado Gonzalez (Trámites y Récords)</cp:lastModifiedBy>
  <cp:revision>2</cp:revision>
  <cp:lastPrinted>2025-09-24T14:46:00Z</cp:lastPrinted>
  <dcterms:created xsi:type="dcterms:W3CDTF">2025-09-26T17:25:00Z</dcterms:created>
  <dcterms:modified xsi:type="dcterms:W3CDTF">2025-09-26T17:25:00Z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3f11ec7f-1552-46af-988c-0575d6f65ba2</vt:lpwstr>
  </property>
  <property fmtid="{D5CDD505-2E9C-101B-9397-08002B2CF9AE}" pid="4" name="MediaServiceImageTags">
    <vt:lpwstr/>
  </property>
</Properties>
</file>