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E4472A" w14:textId="24F4A3C4" w:rsidR="00E137FF" w:rsidRPr="00207253" w:rsidRDefault="00207253" w:rsidP="005E1A15">
      <w:pPr>
        <w:spacing w:line="240" w:lineRule="auto"/>
        <w:jc w:val="center"/>
        <w:rPr>
          <w:rFonts w:ascii="Book Antiqua" w:eastAsia="Times New Roman" w:hAnsi="Book Antiqua" w:cs="Times New Roman"/>
          <w:sz w:val="36"/>
          <w:szCs w:val="36"/>
          <w:lang w:val="es-PR"/>
        </w:rPr>
      </w:pPr>
      <w:r w:rsidRPr="00207253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7D8ACE74" w14:textId="77777777" w:rsidR="00E137FF" w:rsidRPr="009C2498" w:rsidRDefault="00E137FF">
      <w:pPr>
        <w:spacing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PR"/>
        </w:rPr>
      </w:pPr>
    </w:p>
    <w:p w14:paraId="511F2652" w14:textId="6805301F" w:rsidR="00E137FF" w:rsidRPr="009C2498" w:rsidRDefault="005062C0">
      <w:pPr>
        <w:spacing w:line="240" w:lineRule="auto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>20</w:t>
      </w:r>
      <w:r w:rsidRPr="00AD353A">
        <w:rPr>
          <w:rFonts w:ascii="Book Antiqua" w:eastAsia="Times New Roman" w:hAnsi="Book Antiqua" w:cs="Times New Roman"/>
          <w:sz w:val="24"/>
          <w:szCs w:val="24"/>
          <w:vertAlign w:val="superscript"/>
          <w:lang w:val="es-PR"/>
        </w:rPr>
        <w:t xml:space="preserve">ma. </w:t>
      </w: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Asamblea                                                                                                    </w:t>
      </w:r>
      <w:r w:rsidR="00AD353A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   </w:t>
      </w:r>
      <w:r w:rsidR="005F6B61" w:rsidRPr="005F6B61">
        <w:rPr>
          <w:rFonts w:ascii="Book Antiqua" w:eastAsia="Times New Roman" w:hAnsi="Book Antiqua" w:cs="Times New Roman"/>
          <w:sz w:val="24"/>
          <w:szCs w:val="24"/>
          <w:lang w:val="es-PR"/>
        </w:rPr>
        <w:t>1</w:t>
      </w:r>
      <w:r w:rsidR="005F6B61" w:rsidRPr="005F6B61">
        <w:rPr>
          <w:rFonts w:ascii="Book Antiqua" w:eastAsia="Times New Roman" w:hAnsi="Book Antiqua" w:cs="Times New Roman"/>
          <w:sz w:val="24"/>
          <w:szCs w:val="24"/>
          <w:vertAlign w:val="superscript"/>
          <w:lang w:val="es-PR"/>
        </w:rPr>
        <w:t>r</w:t>
      </w:r>
      <w:r w:rsidRPr="005F6B61">
        <w:rPr>
          <w:rFonts w:ascii="Book Antiqua" w:eastAsia="Times New Roman" w:hAnsi="Book Antiqua" w:cs="Times New Roman"/>
          <w:sz w:val="24"/>
          <w:szCs w:val="24"/>
          <w:vertAlign w:val="superscript"/>
          <w:lang w:val="es-PR"/>
        </w:rPr>
        <w:t xml:space="preserve">a. </w:t>
      </w:r>
      <w:r w:rsidRPr="005F6B61">
        <w:rPr>
          <w:rFonts w:ascii="Book Antiqua" w:eastAsia="Times New Roman" w:hAnsi="Book Antiqua" w:cs="Times New Roman"/>
          <w:sz w:val="24"/>
          <w:szCs w:val="24"/>
          <w:lang w:val="es-PR"/>
        </w:rPr>
        <w:t>Sesión</w:t>
      </w:r>
    </w:p>
    <w:p w14:paraId="7688788D" w14:textId="0843DFCF" w:rsidR="00BC6707" w:rsidRPr="00071DEB" w:rsidRDefault="005062C0">
      <w:pPr>
        <w:spacing w:line="240" w:lineRule="auto"/>
        <w:rPr>
          <w:rFonts w:ascii="Book Antiqua" w:eastAsia="Times New Roman" w:hAnsi="Book Antiqua" w:cs="Times New Roman"/>
          <w:sz w:val="12"/>
          <w:szCs w:val="12"/>
          <w:lang w:val="es-PR"/>
        </w:rPr>
      </w:pP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       </w:t>
      </w:r>
      <w:r w:rsid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</w:t>
      </w: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Legislativa    </w:t>
      </w: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 </w:t>
      </w: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                                                                           </w:t>
      </w:r>
      <w:r w:rsid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 </w:t>
      </w:r>
      <w:r w:rsidR="00BC670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>Ordinaria</w:t>
      </w:r>
      <w:r w:rsidRPr="009C2498">
        <w:rPr>
          <w:rFonts w:ascii="Book Antiqua" w:eastAsia="Times New Roman" w:hAnsi="Book Antiqua" w:cs="Times New Roman"/>
          <w:lang w:val="es-PR"/>
        </w:rPr>
        <w:t xml:space="preserve">  </w:t>
      </w:r>
      <w:r w:rsidRPr="009C2498">
        <w:rPr>
          <w:rFonts w:ascii="Book Antiqua" w:eastAsia="Times New Roman" w:hAnsi="Book Antiqua" w:cs="Times New Roman"/>
          <w:lang w:val="es-PR"/>
        </w:rPr>
        <w:tab/>
      </w:r>
    </w:p>
    <w:p w14:paraId="330E08DB" w14:textId="58F74E7A" w:rsidR="00E137FF" w:rsidRPr="00071DEB" w:rsidRDefault="005062C0">
      <w:pPr>
        <w:spacing w:line="240" w:lineRule="auto"/>
        <w:rPr>
          <w:rFonts w:ascii="Book Antiqua" w:eastAsia="Times New Roman" w:hAnsi="Book Antiqua" w:cs="Times New Roman"/>
          <w:sz w:val="12"/>
          <w:szCs w:val="12"/>
          <w:lang w:val="es-PR"/>
        </w:rPr>
      </w:pPr>
      <w:r w:rsidRPr="009C2498">
        <w:rPr>
          <w:rFonts w:ascii="Book Antiqua" w:eastAsia="Times New Roman" w:hAnsi="Book Antiqua" w:cs="Times New Roman"/>
          <w:lang w:val="es-PR"/>
        </w:rPr>
        <w:t xml:space="preserve">                                                                   </w:t>
      </w:r>
    </w:p>
    <w:p w14:paraId="3C769712" w14:textId="77777777" w:rsidR="00E137FF" w:rsidRDefault="005062C0" w:rsidP="00071DEB">
      <w:pPr>
        <w:spacing w:line="36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es-PR"/>
        </w:rPr>
      </w:pPr>
      <w:r w:rsidRPr="009C2498">
        <w:rPr>
          <w:rFonts w:ascii="Book Antiqua" w:eastAsia="Times New Roman" w:hAnsi="Book Antiqua" w:cs="Times New Roman"/>
          <w:lang w:val="es-PR"/>
        </w:rPr>
        <w:t xml:space="preserve"> </w:t>
      </w:r>
      <w:r w:rsidRPr="009C2498">
        <w:rPr>
          <w:rFonts w:ascii="Book Antiqua" w:eastAsia="Times New Roman" w:hAnsi="Book Antiqua" w:cs="Times New Roman"/>
          <w:b/>
          <w:sz w:val="36"/>
          <w:szCs w:val="36"/>
          <w:lang w:val="es-PR"/>
        </w:rPr>
        <w:t>SENADO DE PUERTO RICO</w:t>
      </w:r>
    </w:p>
    <w:p w14:paraId="2C8E5B64" w14:textId="77777777" w:rsidR="00E137FF" w:rsidRPr="009C2498" w:rsidRDefault="005062C0" w:rsidP="00071DEB">
      <w:pPr>
        <w:spacing w:line="360" w:lineRule="auto"/>
        <w:jc w:val="center"/>
        <w:rPr>
          <w:rFonts w:ascii="Book Antiqua" w:eastAsia="Times New Roman" w:hAnsi="Book Antiqua" w:cs="Times New Roman"/>
          <w:b/>
          <w:lang w:val="es-PR"/>
        </w:rPr>
      </w:pPr>
      <w:r w:rsidRPr="009C2498">
        <w:rPr>
          <w:rFonts w:ascii="Book Antiqua" w:eastAsia="Times New Roman" w:hAnsi="Book Antiqua" w:cs="Times New Roman"/>
          <w:b/>
          <w:sz w:val="52"/>
          <w:szCs w:val="52"/>
          <w:lang w:val="es-PR"/>
        </w:rPr>
        <w:t xml:space="preserve">P. del S. </w:t>
      </w:r>
      <w:r w:rsidR="00F57D36">
        <w:rPr>
          <w:rFonts w:ascii="Book Antiqua" w:eastAsia="Times New Roman" w:hAnsi="Book Antiqua" w:cs="Times New Roman"/>
          <w:b/>
          <w:sz w:val="52"/>
          <w:szCs w:val="52"/>
          <w:lang w:val="es-PR"/>
        </w:rPr>
        <w:t>679</w:t>
      </w:r>
    </w:p>
    <w:p w14:paraId="6C54DA9A" w14:textId="437CA929" w:rsidR="00E137FF" w:rsidRPr="009C2498" w:rsidRDefault="00B91406" w:rsidP="00071DEB">
      <w:pPr>
        <w:spacing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  <w:r>
        <w:rPr>
          <w:rFonts w:ascii="Book Antiqua" w:eastAsia="Times New Roman" w:hAnsi="Book Antiqua" w:cs="Times New Roman"/>
          <w:sz w:val="24"/>
          <w:szCs w:val="24"/>
          <w:lang w:val="es-PR"/>
        </w:rPr>
        <w:t>30 de junio</w:t>
      </w:r>
      <w:r w:rsidR="005062C0"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2025</w:t>
      </w:r>
    </w:p>
    <w:p w14:paraId="26F9E821" w14:textId="22F88FF4" w:rsidR="00E137FF" w:rsidRDefault="005062C0" w:rsidP="00071DEB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es-PR"/>
        </w:rPr>
      </w:pPr>
      <w:r w:rsidRPr="009C2498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Presentado por</w:t>
      </w:r>
      <w:r w:rsidR="009C18AA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F260A9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</w:t>
      </w:r>
      <w:r w:rsidR="009C18AA">
        <w:rPr>
          <w:rFonts w:ascii="Book Antiqua" w:eastAsia="Times New Roman" w:hAnsi="Book Antiqua" w:cs="Times New Roman"/>
          <w:sz w:val="24"/>
          <w:szCs w:val="24"/>
          <w:lang w:val="es-PR"/>
        </w:rPr>
        <w:t>se</w:t>
      </w:r>
      <w:r w:rsidR="009C18AA">
        <w:rPr>
          <w:rFonts w:ascii="Times New Roman" w:eastAsia="Times New Roman" w:hAnsi="Times New Roman" w:cs="Times New Roman"/>
          <w:sz w:val="24"/>
          <w:szCs w:val="24"/>
          <w:lang w:val="es-PR"/>
        </w:rPr>
        <w:t xml:space="preserve">ñor </w:t>
      </w:r>
      <w:r w:rsidR="009C18AA" w:rsidRPr="009C18AA">
        <w:rPr>
          <w:rFonts w:ascii="Times New Roman" w:eastAsia="Times New Roman" w:hAnsi="Times New Roman" w:cs="Times New Roman"/>
          <w:i/>
          <w:iCs/>
          <w:sz w:val="24"/>
          <w:szCs w:val="24"/>
          <w:lang w:val="es-PR"/>
        </w:rPr>
        <w:t>Ríos Santiago</w:t>
      </w:r>
    </w:p>
    <w:p w14:paraId="0AFF4039" w14:textId="77777777" w:rsidR="00170C1F" w:rsidRPr="00D81E8D" w:rsidRDefault="00170C1F" w:rsidP="00170C1F">
      <w:pPr>
        <w:spacing w:after="120"/>
        <w:jc w:val="center"/>
        <w:rPr>
          <w:rFonts w:ascii="Book Antiqua" w:hAnsi="Book Antiqua"/>
          <w:sz w:val="24"/>
          <w:szCs w:val="24"/>
          <w:lang w:val="es-PR"/>
        </w:rPr>
      </w:pPr>
      <w:r w:rsidRPr="00D81E8D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Coautores la señora Barlucea Rodríguez; los señores Colón La Santa, González López; la señora Jiménez Santoni; los señores Reyes Berríos, Sánchez Álvarez y Santos Ortiz</w:t>
      </w:r>
    </w:p>
    <w:p w14:paraId="6A8DD03C" w14:textId="77777777" w:rsidR="0029587E" w:rsidRPr="00E96CBC" w:rsidRDefault="005062C0" w:rsidP="0029587E">
      <w:pPr>
        <w:spacing w:before="120" w:line="240" w:lineRule="auto"/>
        <w:jc w:val="center"/>
        <w:rPr>
          <w:rFonts w:ascii="Book Antiqua" w:eastAsia="Times New Roman" w:hAnsi="Book Antiqua" w:cs="Times New Roman"/>
          <w:i/>
          <w:iCs/>
          <w:sz w:val="24"/>
          <w:szCs w:val="24"/>
          <w:lang w:val="es-419"/>
        </w:rPr>
      </w:pPr>
      <w:r w:rsidRPr="00E96CB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96CBC">
        <w:rPr>
          <w:rFonts w:ascii="Book Antiqua" w:eastAsia="Times New Roman" w:hAnsi="Book Antiqua" w:cs="Times New Roman"/>
          <w:i/>
          <w:iCs/>
          <w:sz w:val="24"/>
          <w:szCs w:val="24"/>
          <w:lang w:val="es-PR"/>
        </w:rPr>
        <w:t xml:space="preserve">Referido a </w:t>
      </w:r>
      <w:r w:rsidR="00AD353A" w:rsidRPr="00E96CBC">
        <w:rPr>
          <w:rFonts w:ascii="Book Antiqua" w:eastAsia="Times New Roman" w:hAnsi="Book Antiqua" w:cs="Times New Roman"/>
          <w:i/>
          <w:iCs/>
          <w:sz w:val="24"/>
          <w:szCs w:val="24"/>
          <w:lang w:val="es-PR"/>
        </w:rPr>
        <w:t>las Comisiones de</w:t>
      </w:r>
      <w:r w:rsidR="0029587E" w:rsidRPr="00E96CBC">
        <w:rPr>
          <w:rFonts w:ascii="Book Antiqua" w:eastAsia="Times New Roman" w:hAnsi="Book Antiqua" w:cs="Times New Roman"/>
          <w:i/>
          <w:iCs/>
          <w:sz w:val="24"/>
          <w:szCs w:val="24"/>
          <w:lang w:val="es-419"/>
        </w:rPr>
        <w:t xml:space="preserve"> Relaciones Federales y </w:t>
      </w:r>
      <w:proofErr w:type="spellStart"/>
      <w:r w:rsidR="0029587E" w:rsidRPr="00E96CBC">
        <w:rPr>
          <w:rFonts w:ascii="Book Antiqua" w:eastAsia="Times New Roman" w:hAnsi="Book Antiqua" w:cs="Times New Roman"/>
          <w:i/>
          <w:iCs/>
          <w:sz w:val="24"/>
          <w:szCs w:val="24"/>
          <w:lang w:val="es-419"/>
        </w:rPr>
        <w:t>Viabilización</w:t>
      </w:r>
      <w:proofErr w:type="spellEnd"/>
      <w:r w:rsidR="0029587E" w:rsidRPr="00E96CBC">
        <w:rPr>
          <w:rFonts w:ascii="Book Antiqua" w:eastAsia="Times New Roman" w:hAnsi="Book Antiqua" w:cs="Times New Roman"/>
          <w:i/>
          <w:iCs/>
          <w:sz w:val="24"/>
          <w:szCs w:val="24"/>
          <w:lang w:val="es-419"/>
        </w:rPr>
        <w:t xml:space="preserve"> del Mandato del Pueblo Para la Solución del Estatus; y de Vivienda y Bienestar Social</w:t>
      </w:r>
    </w:p>
    <w:p w14:paraId="51732835" w14:textId="77777777" w:rsidR="00E137FF" w:rsidRPr="009C2498" w:rsidRDefault="005062C0">
      <w:pPr>
        <w:spacing w:before="240" w:after="24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9C2498">
        <w:rPr>
          <w:rFonts w:ascii="Book Antiqua" w:eastAsia="Times New Roman" w:hAnsi="Book Antiqua" w:cs="Times New Roman"/>
          <w:b/>
          <w:sz w:val="24"/>
          <w:szCs w:val="24"/>
          <w:lang w:val="es-PR"/>
        </w:rPr>
        <w:t>LEY</w:t>
      </w:r>
    </w:p>
    <w:p w14:paraId="49DA5B09" w14:textId="1FBA304F" w:rsidR="004A7BF8" w:rsidRPr="007A54C0" w:rsidRDefault="005062C0" w:rsidP="003A49E4">
      <w:pPr>
        <w:spacing w:before="240" w:after="24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bookmarkStart w:id="0" w:name="_Hlk197951520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Para </w:t>
      </w:r>
      <w:bookmarkStart w:id="1" w:name="_Hlk209168149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crear la “</w:t>
      </w:r>
      <w:bookmarkStart w:id="2" w:name="_Hlk201934756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Ley para </w:t>
      </w:r>
      <w:r w:rsidR="009270D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Gestión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F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ondos de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R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ecuperación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estinados a la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C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ompra</w:t>
      </w:r>
      <w:r w:rsidR="003A49E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V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iviendas y la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R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epoblación de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M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unicipios</w:t>
      </w:r>
      <w:bookmarkEnd w:id="2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”, a los fines de garantizar la adquisición de vivienda libre de discriminación para todas la</w:t>
      </w:r>
      <w:r w:rsidR="00EC5D7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personas participantes de los programas de recuperación tras desastres subsidiados con fondos federales, incluyendo la </w:t>
      </w:r>
      <w:r w:rsidR="003A49E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ubvención en bloque para desarrollo comunitario por desastre (CDBG); estabilizar la población de los municipios durante los procesos de reconstrucción tras desastre; establecer </w:t>
      </w:r>
      <w:r w:rsidR="000643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las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prácticas discriminatorias en el acceso a una vivienda que se </w:t>
      </w:r>
      <w:r w:rsidR="000643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pretenden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erradicar; los mecanismos procesales para alcanzar los propósitos de la medida; </w:t>
      </w:r>
      <w:r w:rsidR="004A7BF8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enmendar la Secci</w:t>
      </w:r>
      <w:r w:rsidR="001901E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ó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n 1022.04</w:t>
      </w:r>
      <w:r w:rsidR="001901E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4A7BF8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de</w:t>
      </w:r>
      <w:r w:rsidR="0087467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la Ley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7467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1-2011, según enmendada, conocida como “Código de Rentas Internas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para un Nuevo Puerto Rico</w:t>
      </w:r>
      <w:r w:rsidR="0087467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”, a los fines de </w:t>
      </w:r>
      <w:r w:rsidR="001901E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establecer la contribución</w:t>
      </w:r>
      <w:r w:rsidR="009B4492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sobre la ganancia de capital producto de la venta de una propiedad </w:t>
      </w:r>
      <w:r w:rsidR="00C900F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inmueble 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 una persona</w:t>
      </w:r>
      <w:r w:rsidR="007D0B9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que sea beneficiari</w:t>
      </w:r>
      <w:r w:rsidR="00F3120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algún programa de recuperación tras desastres subsidiados con fondos federales, incluyendo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programa de 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Subvención en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B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loque para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esarrollo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C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omunitario por 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esastre (CDBG</w:t>
      </w:r>
      <w:r w:rsidR="002864F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 por sus siglas en inglés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)</w:t>
      </w:r>
      <w:r w:rsidR="00E96CBC">
        <w:rPr>
          <w:rFonts w:ascii="Book Antiqua" w:eastAsia="Times New Roman" w:hAnsi="Book Antiqua" w:cs="Times New Roman"/>
          <w:sz w:val="24"/>
          <w:szCs w:val="24"/>
          <w:lang w:val="es-PR"/>
        </w:rPr>
        <w:t>;</w:t>
      </w:r>
      <w:r w:rsidR="0079188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EA543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y para otros fines relacionados.</w:t>
      </w:r>
    </w:p>
    <w:bookmarkEnd w:id="0"/>
    <w:bookmarkEnd w:id="1"/>
    <w:p w14:paraId="58E343AE" w14:textId="77777777" w:rsidR="00E137FF" w:rsidRPr="001E3667" w:rsidRDefault="005062C0" w:rsidP="007A54C0">
      <w:pPr>
        <w:spacing w:before="360" w:after="240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b/>
          <w:sz w:val="24"/>
          <w:szCs w:val="24"/>
          <w:lang w:val="es-PR"/>
        </w:rPr>
        <w:t>EXPOSICIÓN DE MOTIVOS</w:t>
      </w:r>
    </w:p>
    <w:p w14:paraId="21A85B21" w14:textId="77777777" w:rsidR="009C2498" w:rsidRPr="001E3667" w:rsidRDefault="000E27F2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El acceso a una vivienda segura y accesible constituye un derecho fundamental que, lamentablemente, sigue siendo inalcanzable para miles de familias puertorriqueñas. Según el Índice de Vivienda Asequible </w:t>
      </w:r>
      <w:r w:rsidR="009C2498" w:rsidRPr="001E3667">
        <w:rPr>
          <w:rFonts w:ascii="Book Antiqua" w:hAnsi="Book Antiqua" w:cs="Segoe UI"/>
          <w:sz w:val="24"/>
          <w:szCs w:val="24"/>
          <w:lang w:val="es-PR"/>
        </w:rPr>
        <w:t>preparado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por Estudios Técnicos Inc., solo el 54% </w:t>
      </w:r>
      <w:r w:rsidRPr="001E3667">
        <w:rPr>
          <w:rFonts w:ascii="Book Antiqua" w:hAnsi="Book Antiqua" w:cs="Segoe UI"/>
          <w:sz w:val="24"/>
          <w:szCs w:val="24"/>
          <w:lang w:val="es-PR"/>
        </w:rPr>
        <w:lastRenderedPageBreak/>
        <w:t>de las familias en Puerto Rico cuentan con los ingresos necesarios para calificar para un préstamo hipotecario, una cifra que ha disminuido significativamente desde el 62% registrado en 2010. Esta realidad se ha agravado por desastres naturales como los huracanes Irma y María, la pandemia de COVID-19 y los terremotos, que han exacerbado las desigualdades sociales y económicas en la isla.</w:t>
      </w:r>
    </w:p>
    <w:p w14:paraId="52BCD090" w14:textId="7F033186" w:rsidR="009C2498" w:rsidRPr="001E3667" w:rsidRDefault="00866BA3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>Tras el devastador</w:t>
      </w:r>
      <w:r w:rsidR="00306151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impacto de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los huracanes Irma y María en 2017, Puerto Rico recibió una asignación histórica de fondos federales a través del programa </w:t>
      </w:r>
      <w:proofErr w:type="spellStart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>Community</w:t>
      </w:r>
      <w:proofErr w:type="spellEnd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 xml:space="preserve"> </w:t>
      </w:r>
      <w:proofErr w:type="spellStart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>Development</w:t>
      </w:r>
      <w:proofErr w:type="spellEnd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 xml:space="preserve"> Block Grant-</w:t>
      </w:r>
      <w:proofErr w:type="spellStart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>Disaster</w:t>
      </w:r>
      <w:proofErr w:type="spellEnd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 xml:space="preserve"> </w:t>
      </w:r>
      <w:proofErr w:type="spellStart"/>
      <w:r w:rsidRPr="004C4D0E">
        <w:rPr>
          <w:rFonts w:ascii="Book Antiqua" w:eastAsia="Times New Roman" w:hAnsi="Book Antiqua" w:cs="Segoe UI"/>
          <w:i/>
          <w:iCs/>
          <w:sz w:val="24"/>
          <w:szCs w:val="24"/>
          <w:lang w:val="es-PR"/>
        </w:rPr>
        <w:t>Recovery</w:t>
      </w:r>
      <w:proofErr w:type="spellEnd"/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(CDBG-DR,</w:t>
      </w:r>
      <w:r w:rsidR="00E96CBC">
        <w:rPr>
          <w:rFonts w:ascii="Book Antiqua" w:eastAsia="Times New Roman" w:hAnsi="Book Antiqua" w:cs="Segoe UI"/>
          <w:sz w:val="24"/>
          <w:szCs w:val="24"/>
          <w:lang w:val="es-PR"/>
        </w:rPr>
        <w:t xml:space="preserve"> por sus siglas en inglés</w:t>
      </w:r>
      <w:r w:rsidR="00D1642E">
        <w:rPr>
          <w:rFonts w:ascii="Book Antiqua" w:eastAsia="Times New Roman" w:hAnsi="Book Antiqua" w:cs="Segoe UI"/>
          <w:sz w:val="24"/>
          <w:szCs w:val="24"/>
          <w:lang w:val="es-PR"/>
        </w:rPr>
        <w:t>)</w:t>
      </w:r>
      <w:r w:rsidR="00E96CBC">
        <w:rPr>
          <w:rFonts w:ascii="Book Antiqua" w:eastAsia="Times New Roman" w:hAnsi="Book Antiqua" w:cs="Segoe UI"/>
          <w:sz w:val="24"/>
          <w:szCs w:val="24"/>
          <w:lang w:val="es-PR"/>
        </w:rPr>
        <w:t xml:space="preserve">,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destinados a la reparación, reconstrucción y reubicación de viviendas en zonas seguras.</w:t>
      </w:r>
      <w:r w:rsidR="00306151" w:rsidRPr="001E3667">
        <w:rPr>
          <w:rStyle w:val="FootnoteReference"/>
          <w:rFonts w:ascii="Book Antiqua" w:eastAsia="Times New Roman" w:hAnsi="Book Antiqua" w:cs="Segoe UI"/>
          <w:sz w:val="24"/>
          <w:szCs w:val="24"/>
          <w:lang w:val="es-PR"/>
        </w:rPr>
        <w:footnoteReference w:id="1"/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Estos fondos han sido dirigidos a múltiples aspectos de la reconstrucción, incluyendo programas que subsidian la relocalización de familias que viven en áreas de riesgo o </w:t>
      </w:r>
      <w:r w:rsidR="009C2498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para que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adquieran su primera vivienda. Esto es particular</w:t>
      </w:r>
      <w:r w:rsidR="0089114C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mente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9114C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útil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sobrevivientes que todavía viven en </w:t>
      </w:r>
      <w:r w:rsidR="009C2498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estructuras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afectadas y </w:t>
      </w:r>
      <w:r w:rsidR="001D7D70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enfrentan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barreras para adquirir una vivienda a</w:t>
      </w:r>
      <w:r w:rsidR="001D7D70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decuada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0C49C1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Como parte de </w:t>
      </w:r>
      <w:r w:rsidR="007C67C0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los programas de </w:t>
      </w:r>
      <w:r w:rsidR="000C49C1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subvención de 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CDBG-DR, el Departamento de la Vivienda provee vales de reubicación a través del Programa </w:t>
      </w:r>
      <w:r w:rsidR="00503FA9" w:rsidRPr="001E3667">
        <w:rPr>
          <w:rFonts w:ascii="Book Antiqua" w:hAnsi="Book Antiqua"/>
          <w:sz w:val="24"/>
          <w:szCs w:val="24"/>
          <w:lang w:val="es-PR"/>
        </w:rPr>
        <w:t>de Reparación, Reconstrucción y Relocalización (R3)</w:t>
      </w:r>
      <w:r w:rsidR="00503FA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682482" w:rsidRPr="001E3667">
        <w:rPr>
          <w:rFonts w:ascii="Book Antiqua" w:hAnsi="Book Antiqua"/>
          <w:sz w:val="24"/>
          <w:szCs w:val="24"/>
          <w:lang w:val="es-PR"/>
        </w:rPr>
        <w:t>Estos recursos representan una oportunidad única para abordar las necesidades críticas de vivienda, infraestructura y desarrollo económico en la isla. Sin embargo, la implementación efectiva</w:t>
      </w:r>
      <w:r w:rsidR="009C2498" w:rsidRPr="001E3667">
        <w:rPr>
          <w:rFonts w:ascii="Book Antiqua" w:hAnsi="Book Antiqua"/>
          <w:sz w:val="24"/>
          <w:szCs w:val="24"/>
          <w:lang w:val="es-PR"/>
        </w:rPr>
        <w:t xml:space="preserve"> de estos programas</w:t>
      </w:r>
      <w:r w:rsidR="00682482" w:rsidRPr="001E3667">
        <w:rPr>
          <w:rFonts w:ascii="Book Antiqua" w:hAnsi="Book Antiqua"/>
          <w:sz w:val="24"/>
          <w:szCs w:val="24"/>
          <w:lang w:val="es-PR"/>
        </w:rPr>
        <w:t xml:space="preserve"> enfrenta desafíos significativos que amenazan con perpetuar desigualdades sociales y económicas.</w:t>
      </w:r>
    </w:p>
    <w:p w14:paraId="3099FA68" w14:textId="77777777" w:rsidR="009C2498" w:rsidRPr="001E3667" w:rsidRDefault="005473AC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Según datos del Programa de Reconstrucción, Reparación o Reubicación (R3)</w:t>
      </w:r>
      <w:r w:rsidR="007C67C0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, 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 han asignado $2,175 millones para atender las necesidades de vivienda de las familias afectadas por los huracanes. </w:t>
      </w:r>
      <w:r w:rsidR="00DF36E3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No obstante, a pesar de </w:t>
      </w:r>
      <w:r w:rsidR="00405EC6" w:rsidRPr="001E3667">
        <w:rPr>
          <w:rFonts w:ascii="Book Antiqua" w:eastAsia="Times New Roman" w:hAnsi="Book Antiqua" w:cs="Segoe UI"/>
          <w:sz w:val="24"/>
          <w:szCs w:val="24"/>
          <w:lang w:val="es-PR"/>
        </w:rPr>
        <w:t>la asignación millonaria</w:t>
      </w:r>
      <w:r w:rsidR="00DF36E3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para estos fine</w:t>
      </w:r>
      <w:r w:rsidR="00007BE8" w:rsidRPr="001E3667">
        <w:rPr>
          <w:rFonts w:ascii="Book Antiqua" w:eastAsia="Times New Roman" w:hAnsi="Book Antiqua" w:cs="Segoe UI"/>
          <w:sz w:val="24"/>
          <w:szCs w:val="24"/>
          <w:lang w:val="es-PR"/>
        </w:rPr>
        <w:t>s,</w:t>
      </w:r>
      <w:r w:rsidR="00DF36E3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el 66% de las familias beneficiarias no han logrado adquirir viviendas debido</w:t>
      </w:r>
      <w:r w:rsidR="009C2498" w:rsidRPr="001E3667">
        <w:rPr>
          <w:rFonts w:ascii="Book Antiqua" w:eastAsia="Times New Roman" w:hAnsi="Book Antiqua" w:cs="Segoe UI"/>
          <w:sz w:val="24"/>
          <w:szCs w:val="24"/>
          <w:lang w:val="es-PR"/>
        </w:rPr>
        <w:t>, entre otros factores,</w:t>
      </w:r>
      <w:r w:rsidR="00DF36E3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al rechazo explícito de vendedores a aceptar vales federales como método de pag</w:t>
      </w:r>
      <w:r w:rsidR="00007BE8" w:rsidRPr="001E3667">
        <w:rPr>
          <w:rFonts w:ascii="Book Antiqua" w:eastAsia="Times New Roman" w:hAnsi="Book Antiqua" w:cs="Segoe UI"/>
          <w:sz w:val="24"/>
          <w:szCs w:val="24"/>
          <w:lang w:val="es-PR"/>
        </w:rPr>
        <w:t>o.</w:t>
      </w:r>
      <w:r w:rsidR="00363EEA" w:rsidRPr="001E3667">
        <w:rPr>
          <w:rStyle w:val="FootnoteReference"/>
          <w:rFonts w:ascii="Book Antiqua" w:eastAsia="Times New Roman" w:hAnsi="Book Antiqua" w:cs="Segoe UI"/>
          <w:sz w:val="24"/>
          <w:szCs w:val="24"/>
          <w:lang w:val="es-PR"/>
        </w:rPr>
        <w:footnoteReference w:id="2"/>
      </w:r>
      <w:r w:rsidR="00007BE8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</w:t>
      </w:r>
      <w:r w:rsidR="00353D3D" w:rsidRPr="001E3667">
        <w:rPr>
          <w:rFonts w:ascii="Book Antiqua" w:hAnsi="Book Antiqua" w:cs="Segoe UI"/>
          <w:sz w:val="24"/>
          <w:szCs w:val="24"/>
          <w:lang w:val="es-PR"/>
        </w:rPr>
        <w:t xml:space="preserve">Esta práctica discriminatoria perpetúa ciclos de desigualdad y obliga a familias </w:t>
      </w:r>
      <w:r w:rsidR="00353D3D" w:rsidRPr="001E3667">
        <w:rPr>
          <w:rFonts w:ascii="Book Antiqua" w:hAnsi="Book Antiqua" w:cs="Segoe UI"/>
          <w:sz w:val="24"/>
          <w:szCs w:val="24"/>
          <w:lang w:val="es-PR"/>
        </w:rPr>
        <w:lastRenderedPageBreak/>
        <w:t>a permanecer en viviendas inseguras o refugios temporales años después de los desastres. Este rechazo se basa principalmente en prejuicios sobre los procesos administrativos asociados a estos programas y falta de información sobre su garantía financiera.</w:t>
      </w:r>
    </w:p>
    <w:p w14:paraId="1E28364F" w14:textId="77777777" w:rsidR="009C2498" w:rsidRPr="001E3667" w:rsidRDefault="009C2498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La discriminación basada en la fuente de fondos constituye una barrera injustificada para las familias que buscan acceder a viviendas seguras. Aunque los vales federales ofrecen una garantía financiera sólida para la adquisición de propiedades, su rechazo por los vendedores socava los objetivos del programa CDBG-DR y pone en riesgo el uso efectivo de los recursos asignados. Es importante destacar que estos fondos federales </w:t>
      </w:r>
      <w:bookmarkStart w:id="3" w:name="_Hlk197957644"/>
      <w:r w:rsidRPr="001E3667">
        <w:rPr>
          <w:rFonts w:ascii="Book Antiqua" w:hAnsi="Book Antiqua" w:cs="Segoe UI"/>
          <w:sz w:val="24"/>
          <w:szCs w:val="24"/>
          <w:lang w:val="es-PR"/>
        </w:rPr>
        <w:t>tienen un plazo definido para su utilización, ya que estarán disponibles únicamente hasta el año 2029</w:t>
      </w:r>
      <w:bookmarkEnd w:id="3"/>
      <w:r w:rsidRPr="001E3667">
        <w:rPr>
          <w:rFonts w:ascii="Book Antiqua" w:hAnsi="Book Antiqua" w:cs="Segoe UI"/>
          <w:sz w:val="24"/>
          <w:szCs w:val="24"/>
          <w:lang w:val="es-PR"/>
        </w:rPr>
        <w:t>.</w:t>
      </w:r>
    </w:p>
    <w:p w14:paraId="07B835F7" w14:textId="77777777" w:rsidR="009C2498" w:rsidRPr="001E3667" w:rsidRDefault="00262B68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La situación se agrava por el éxodo poblacional en municipios con alto riesgo </w:t>
      </w:r>
      <w:r w:rsidR="00FD1748" w:rsidRPr="001E3667">
        <w:rPr>
          <w:rFonts w:ascii="Book Antiqua" w:eastAsia="Times New Roman" w:hAnsi="Book Antiqua" w:cs="Segoe UI"/>
          <w:sz w:val="24"/>
          <w:szCs w:val="24"/>
          <w:lang w:val="es-PR"/>
        </w:rPr>
        <w:t>de inundaciones y deslizamientos</w:t>
      </w:r>
      <w:r w:rsidR="00B45C16" w:rsidRPr="001E3667">
        <w:rPr>
          <w:rFonts w:ascii="Book Antiqua" w:eastAsia="Times New Roman" w:hAnsi="Book Antiqua" w:cs="Segoe UI"/>
          <w:sz w:val="24"/>
          <w:szCs w:val="24"/>
          <w:lang w:val="es-PR"/>
        </w:rPr>
        <w:t>,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donde el 40% de las viviendas están en zonas inundable</w:t>
      </w:r>
      <w:r w:rsidR="00B45048" w:rsidRPr="001E3667">
        <w:rPr>
          <w:rFonts w:ascii="Book Antiqua" w:eastAsia="Times New Roman" w:hAnsi="Book Antiqua" w:cs="Segoe UI"/>
          <w:sz w:val="24"/>
          <w:szCs w:val="24"/>
          <w:lang w:val="es-PR"/>
        </w:rPr>
        <w:t>s.</w:t>
      </w:r>
      <w:r w:rsidR="00125275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463595" w:rsidRPr="001E3667">
        <w:rPr>
          <w:rFonts w:ascii="Book Antiqua" w:hAnsi="Book Antiqua" w:cs="Segoe UI"/>
          <w:sz w:val="24"/>
          <w:szCs w:val="24"/>
          <w:lang w:val="es-PR"/>
        </w:rPr>
        <w:t>Según el Instituto de Estadísticas de Puerto Rico, municipios como Guánica, Loíza, Guayanilla, Ponce y Maricao han experimentado pérdidas poblacionales superiores al 15% entre 2020 y 2023</w:t>
      </w:r>
      <w:r w:rsidR="001A7389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125275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</w:t>
      </w:r>
      <w:r w:rsidR="001A7389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Este fenómeno </w:t>
      </w:r>
      <w:r w:rsidR="00C57AB0" w:rsidRPr="001E3667">
        <w:rPr>
          <w:rFonts w:ascii="Book Antiqua" w:eastAsia="Times New Roman" w:hAnsi="Book Antiqua" w:cs="Segoe UI"/>
          <w:sz w:val="24"/>
          <w:szCs w:val="24"/>
          <w:lang w:val="es-PR"/>
        </w:rPr>
        <w:t>reduce</w:t>
      </w:r>
      <w:r w:rsidR="009B58CF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la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base contributiva </w:t>
      </w:r>
      <w:r w:rsidR="00C57AB0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municipal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>en un promedio de $2,300 anuales por familia y acelera el colapso de servicios esenciales.</w:t>
      </w:r>
      <w:r w:rsidR="00332AE4" w:rsidRPr="001E3667">
        <w:rPr>
          <w:rStyle w:val="FootnoteReference"/>
          <w:rFonts w:ascii="Book Antiqua" w:eastAsia="Times New Roman" w:hAnsi="Book Antiqua" w:cs="Segoe UI"/>
          <w:sz w:val="24"/>
          <w:szCs w:val="24"/>
          <w:lang w:val="es-PR"/>
        </w:rPr>
        <w:footnoteReference w:id="3"/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Sin mecanismos legales para retener población mediante opciones </w:t>
      </w:r>
      <w:r w:rsidR="00E230C4" w:rsidRPr="001E3667">
        <w:rPr>
          <w:rFonts w:ascii="Book Antiqua" w:eastAsia="Times New Roman" w:hAnsi="Book Antiqua" w:cs="Segoe UI"/>
          <w:sz w:val="24"/>
          <w:szCs w:val="24"/>
          <w:lang w:val="es-PR"/>
        </w:rPr>
        <w:t>accesibles de vivienda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, estos </w:t>
      </w:r>
      <w:r w:rsidR="0070231E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municipios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enfrentan un futuro </w:t>
      </w:r>
      <w:r w:rsidR="003F0055" w:rsidRPr="001E3667">
        <w:rPr>
          <w:rFonts w:ascii="Book Antiqua" w:eastAsia="Times New Roman" w:hAnsi="Book Antiqua" w:cs="Segoe UI"/>
          <w:sz w:val="24"/>
          <w:szCs w:val="24"/>
          <w:lang w:val="es-PR"/>
        </w:rPr>
        <w:t>incierto marcado por el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estancamiento económico.</w:t>
      </w:r>
    </w:p>
    <w:p w14:paraId="40FB0039" w14:textId="77777777" w:rsidR="009C2498" w:rsidRPr="001E3667" w:rsidRDefault="00E83A56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La experiencia internacional ofrece lecciones valiosas sobre cómo abordar este tipo de discriminación. </w:t>
      </w:r>
      <w:r w:rsidR="002864FD" w:rsidRPr="001E3667">
        <w:rPr>
          <w:rFonts w:ascii="Book Antiqua" w:hAnsi="Book Antiqua" w:cs="Segoe UI"/>
          <w:sz w:val="24"/>
          <w:szCs w:val="24"/>
          <w:lang w:val="es-PR"/>
        </w:rPr>
        <w:t xml:space="preserve">Por ejemplo, 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tras el huracán Katrina, </w:t>
      </w:r>
      <w:r w:rsidR="002864FD" w:rsidRPr="001E3667">
        <w:rPr>
          <w:rFonts w:ascii="Book Antiqua" w:hAnsi="Book Antiqua" w:cs="Segoe UI"/>
          <w:sz w:val="24"/>
          <w:szCs w:val="24"/>
          <w:lang w:val="es-PR"/>
        </w:rPr>
        <w:t xml:space="preserve">en </w:t>
      </w:r>
      <w:r w:rsidR="00984928">
        <w:rPr>
          <w:rFonts w:ascii="Book Antiqua" w:hAnsi="Book Antiqua" w:cs="Segoe UI"/>
          <w:sz w:val="24"/>
          <w:szCs w:val="24"/>
          <w:lang w:val="es-PR"/>
        </w:rPr>
        <w:t>Nueva</w:t>
      </w:r>
      <w:r w:rsidR="002864FD" w:rsidRPr="001E3667">
        <w:rPr>
          <w:rFonts w:ascii="Book Antiqua" w:hAnsi="Book Antiqua" w:cs="Segoe UI"/>
          <w:sz w:val="24"/>
          <w:szCs w:val="24"/>
          <w:lang w:val="es-PR"/>
        </w:rPr>
        <w:t xml:space="preserve"> Orleans se implementaron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protecciones contra el discrimen por fuente de ingresos</w:t>
      </w:r>
      <w:r w:rsidR="002864FD" w:rsidRPr="001E3667">
        <w:rPr>
          <w:rFonts w:ascii="Book Antiqua" w:hAnsi="Book Antiqua" w:cs="Segoe UI"/>
          <w:sz w:val="24"/>
          <w:szCs w:val="24"/>
          <w:lang w:val="es-PR"/>
        </w:rPr>
        <w:t>, lo que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permitió aumentar la tasa de reocupación de viviendas en zonas afectadas en un 41% durante </w:t>
      </w:r>
      <w:r w:rsidR="009C2498" w:rsidRPr="001E3667">
        <w:rPr>
          <w:rFonts w:ascii="Book Antiqua" w:hAnsi="Book Antiqua" w:cs="Segoe UI"/>
          <w:sz w:val="24"/>
          <w:szCs w:val="24"/>
          <w:lang w:val="es-PR"/>
        </w:rPr>
        <w:t xml:space="preserve">un periodo de </w:t>
      </w:r>
      <w:r w:rsidRPr="001E3667">
        <w:rPr>
          <w:rFonts w:ascii="Book Antiqua" w:hAnsi="Book Antiqua" w:cs="Segoe UI"/>
          <w:sz w:val="24"/>
          <w:szCs w:val="24"/>
          <w:lang w:val="es-PR"/>
        </w:rPr>
        <w:t>cinco años.</w:t>
      </w:r>
      <w:r w:rsidR="00D169EE" w:rsidRPr="001E3667">
        <w:rPr>
          <w:rStyle w:val="FootnoteReference"/>
          <w:rFonts w:ascii="Book Antiqua" w:hAnsi="Book Antiqua" w:cs="Segoe UI"/>
          <w:sz w:val="24"/>
          <w:szCs w:val="24"/>
          <w:lang w:val="es-PR"/>
        </w:rPr>
        <w:footnoteReference w:id="4"/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En Puerto Rico, la ausencia de salvaguardas similares ha </w:t>
      </w:r>
      <w:r w:rsidRPr="001E3667">
        <w:rPr>
          <w:rFonts w:ascii="Book Antiqua" w:hAnsi="Book Antiqua" w:cs="Segoe UI"/>
          <w:sz w:val="24"/>
          <w:szCs w:val="24"/>
          <w:lang w:val="es-PR"/>
        </w:rPr>
        <w:lastRenderedPageBreak/>
        <w:t xml:space="preserve">generado un déficit estimado de 18,000 viviendas accesibles, agravado por la especulación inmobiliaria en zonas urbanas </w:t>
      </w:r>
      <w:proofErr w:type="spellStart"/>
      <w:r w:rsidRPr="001E3667">
        <w:rPr>
          <w:rFonts w:ascii="Book Antiqua" w:hAnsi="Book Antiqua" w:cs="Segoe UI"/>
          <w:sz w:val="24"/>
          <w:szCs w:val="24"/>
          <w:lang w:val="es-PR"/>
        </w:rPr>
        <w:t>post-desastre</w:t>
      </w:r>
      <w:proofErr w:type="spellEnd"/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. </w:t>
      </w:r>
      <w:r w:rsidR="0029793F" w:rsidRPr="001E3667">
        <w:rPr>
          <w:rFonts w:ascii="Book Antiqua" w:hAnsi="Book Antiqua" w:cs="Segoe UI"/>
          <w:sz w:val="24"/>
          <w:szCs w:val="24"/>
          <w:lang w:val="es-PR"/>
        </w:rPr>
        <w:t>Jurisdicciones como California y Washington</w:t>
      </w:r>
      <w:r w:rsidR="0051063B">
        <w:rPr>
          <w:rFonts w:ascii="Book Antiqua" w:hAnsi="Book Antiqua" w:cs="Segoe UI"/>
          <w:sz w:val="24"/>
          <w:szCs w:val="24"/>
          <w:lang w:val="es-PR"/>
        </w:rPr>
        <w:t>,</w:t>
      </w:r>
      <w:r w:rsidR="0029793F" w:rsidRPr="001E3667">
        <w:rPr>
          <w:rFonts w:ascii="Book Antiqua" w:hAnsi="Book Antiqua" w:cs="Segoe UI"/>
          <w:sz w:val="24"/>
          <w:szCs w:val="24"/>
          <w:lang w:val="es-PR"/>
        </w:rPr>
        <w:t xml:space="preserve"> D.C. han penalizado explícitamente estas prácticas discriminatorias, logrando un aumento del 34% en las tasas exitosas para </w:t>
      </w:r>
      <w:r w:rsidR="009C2498" w:rsidRPr="001E3667">
        <w:rPr>
          <w:rFonts w:ascii="Book Antiqua" w:hAnsi="Book Antiqua" w:cs="Segoe UI"/>
          <w:sz w:val="24"/>
          <w:szCs w:val="24"/>
          <w:lang w:val="es-PR"/>
        </w:rPr>
        <w:t xml:space="preserve">estos </w:t>
      </w:r>
      <w:r w:rsidR="0029793F" w:rsidRPr="001E3667">
        <w:rPr>
          <w:rFonts w:ascii="Book Antiqua" w:hAnsi="Book Antiqua" w:cs="Segoe UI"/>
          <w:sz w:val="24"/>
          <w:szCs w:val="24"/>
          <w:lang w:val="es-PR"/>
        </w:rPr>
        <w:t>programas subsidiados.</w:t>
      </w:r>
      <w:r w:rsidR="00EE4AB6" w:rsidRPr="001E3667">
        <w:rPr>
          <w:rStyle w:val="FootnoteReference"/>
          <w:rFonts w:ascii="Book Antiqua" w:hAnsi="Book Antiqua" w:cs="Segoe UI"/>
          <w:sz w:val="24"/>
          <w:szCs w:val="24"/>
          <w:lang w:val="es-PR"/>
        </w:rPr>
        <w:footnoteReference w:id="5"/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</w:t>
      </w:r>
    </w:p>
    <w:p w14:paraId="78446D16" w14:textId="77777777" w:rsidR="00E137FF" w:rsidRPr="001E3667" w:rsidRDefault="00E14E23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>Aunque la </w:t>
      </w:r>
      <w:r w:rsidRPr="001E3667">
        <w:rPr>
          <w:rFonts w:ascii="Book Antiqua" w:hAnsi="Book Antiqua"/>
          <w:sz w:val="24"/>
          <w:szCs w:val="24"/>
          <w:lang w:val="es-PR"/>
        </w:rPr>
        <w:t>Ley Federal de Vivienda Justa (</w:t>
      </w:r>
      <w:proofErr w:type="spellStart"/>
      <w:r w:rsidRPr="0068118A">
        <w:rPr>
          <w:rFonts w:ascii="Book Antiqua" w:hAnsi="Book Antiqua"/>
          <w:i/>
          <w:iCs/>
          <w:sz w:val="24"/>
          <w:szCs w:val="24"/>
          <w:lang w:val="es-PR"/>
        </w:rPr>
        <w:t>Fair</w:t>
      </w:r>
      <w:proofErr w:type="spellEnd"/>
      <w:r w:rsidRPr="0068118A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Pr="0068118A">
        <w:rPr>
          <w:rFonts w:ascii="Book Antiqua" w:hAnsi="Book Antiqua"/>
          <w:i/>
          <w:iCs/>
          <w:sz w:val="24"/>
          <w:szCs w:val="24"/>
          <w:lang w:val="es-PR"/>
        </w:rPr>
        <w:t>Housing</w:t>
      </w:r>
      <w:proofErr w:type="spellEnd"/>
      <w:r w:rsidRPr="0068118A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Pr="0068118A">
        <w:rPr>
          <w:rFonts w:ascii="Book Antiqua" w:hAnsi="Book Antiqua"/>
          <w:i/>
          <w:iCs/>
          <w:sz w:val="24"/>
          <w:szCs w:val="24"/>
          <w:lang w:val="es-PR"/>
        </w:rPr>
        <w:t>Act</w:t>
      </w:r>
      <w:proofErr w:type="spellEnd"/>
      <w:r w:rsidRPr="001E3667">
        <w:rPr>
          <w:rFonts w:ascii="Book Antiqua" w:hAnsi="Book Antiqua"/>
          <w:sz w:val="24"/>
          <w:szCs w:val="24"/>
          <w:lang w:val="es-PR"/>
        </w:rPr>
        <w:t xml:space="preserve">)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prohíbe la discriminación por raza, género o religión, excluye categóricamente la “fuente de ingresos” como </w:t>
      </w:r>
      <w:r w:rsidR="009C2498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motivo protegido.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>Este vacío legal ha permitido que el 78% de las quejas recibidas por la Procuraduría de Vivienda en 2023 involucren el rechazo a fondos federales de recuperació</w:t>
      </w:r>
      <w:r w:rsidR="00CB4A55" w:rsidRPr="001E3667">
        <w:rPr>
          <w:rFonts w:ascii="Book Antiqua" w:eastAsia="Times New Roman" w:hAnsi="Book Antiqua" w:cs="Segoe UI"/>
          <w:sz w:val="24"/>
          <w:szCs w:val="24"/>
          <w:lang w:val="es-PR"/>
        </w:rPr>
        <w:t>n,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a pesar de que dichos recursos cumplen con todos los requisitos de solvencia.</w:t>
      </w:r>
      <w:r w:rsidR="003E0B60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</w:t>
      </w:r>
      <w:r w:rsidR="00FA01D5" w:rsidRPr="001E3667">
        <w:rPr>
          <w:rFonts w:ascii="Book Antiqua" w:hAnsi="Book Antiqua" w:cs="Segoe UI"/>
          <w:sz w:val="24"/>
          <w:szCs w:val="24"/>
          <w:lang w:val="es-PR"/>
        </w:rPr>
        <w:t xml:space="preserve">Para enfrentar esta problemática, resulta imperativo tipificar como práctica discriminatoria el rechazo a fondos federales para transacciones inmobiliarias y establecer penalidades claras contra estas </w:t>
      </w:r>
      <w:r w:rsidR="00CB4A55" w:rsidRPr="001E3667">
        <w:rPr>
          <w:rFonts w:ascii="Book Antiqua" w:hAnsi="Book Antiqua" w:cs="Segoe UI"/>
          <w:sz w:val="24"/>
          <w:szCs w:val="24"/>
          <w:lang w:val="es-PR"/>
        </w:rPr>
        <w:t>acciones.</w:t>
      </w:r>
      <w:r w:rsidR="004D5FBA" w:rsidRPr="001E3667">
        <w:rPr>
          <w:rFonts w:ascii="Book Antiqua" w:hAnsi="Book Antiqua" w:cs="Segoe UI"/>
          <w:sz w:val="24"/>
          <w:szCs w:val="24"/>
          <w:lang w:val="es-PR"/>
        </w:rPr>
        <w:t xml:space="preserve"> Con esto, </w:t>
      </w:r>
      <w:r w:rsidR="00F57032" w:rsidRPr="001E3667">
        <w:rPr>
          <w:rFonts w:ascii="Book Antiqua" w:hAnsi="Book Antiqua" w:cs="Segoe UI"/>
          <w:sz w:val="24"/>
          <w:szCs w:val="24"/>
          <w:lang w:val="es-PR"/>
        </w:rPr>
        <w:t>Puerto Rico puede garantizar un acceso equitativo a programas subsidiados y frenar el éxodo poblacional que debilita a sus municipios.</w:t>
      </w:r>
    </w:p>
    <w:p w14:paraId="7419D1C9" w14:textId="46038EC0" w:rsidR="00CB4A55" w:rsidRPr="001E3667" w:rsidRDefault="00EC73D5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Para abordar esta crisis demográfica </w:t>
      </w:r>
      <w:r w:rsidR="002864FD" w:rsidRPr="001E3667">
        <w:rPr>
          <w:rFonts w:ascii="Book Antiqua" w:hAnsi="Book Antiqua" w:cs="Segoe UI"/>
          <w:sz w:val="24"/>
          <w:szCs w:val="24"/>
          <w:lang w:val="es-PR"/>
        </w:rPr>
        <w:t xml:space="preserve">y de vivienda, la presente legislación 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propone una estrategia integral que combine incentivos fiscales con regulaciones claras contra prácticas discriminatorias. La enmienda al Código de Rentas Internas busca </w:t>
      </w:r>
      <w:r w:rsidR="00561AA8">
        <w:rPr>
          <w:rFonts w:ascii="Book Antiqua" w:hAnsi="Book Antiqua" w:cs="Segoe UI"/>
          <w:sz w:val="24"/>
          <w:szCs w:val="24"/>
          <w:lang w:val="es-PR"/>
        </w:rPr>
        <w:t>establecer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una </w:t>
      </w:r>
      <w:r w:rsidR="00561AA8">
        <w:rPr>
          <w:rFonts w:ascii="Book Antiqua" w:hAnsi="Book Antiqua" w:cs="Segoe UI"/>
          <w:sz w:val="24"/>
          <w:szCs w:val="24"/>
          <w:lang w:val="es-PR"/>
        </w:rPr>
        <w:t>tasa de tributación especial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sobre ganancias de capital</w:t>
      </w:r>
      <w:r w:rsidR="006D41A1">
        <w:rPr>
          <w:rFonts w:ascii="Book Antiqua" w:hAnsi="Book Antiqua" w:cs="Segoe UI"/>
          <w:sz w:val="24"/>
          <w:szCs w:val="24"/>
          <w:lang w:val="es-PR"/>
        </w:rPr>
        <w:t>,</w:t>
      </w:r>
      <w:r w:rsidRPr="001E3667">
        <w:rPr>
          <w:rFonts w:ascii="Book Antiqua" w:hAnsi="Book Antiqua" w:cs="Segoe UI"/>
          <w:sz w:val="24"/>
          <w:szCs w:val="24"/>
          <w:lang w:val="es-PR"/>
        </w:rPr>
        <w:t xml:space="preserve"> producto de ventas realizadas a beneficiarios certificados bajo programas federales como CDBG-DR. </w:t>
      </w:r>
    </w:p>
    <w:p w14:paraId="6F229118" w14:textId="5C30C71A" w:rsidR="00BD47D7" w:rsidRDefault="00B13059" w:rsidP="007A54C0">
      <w:pPr>
        <w:spacing w:before="120" w:after="120"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La implementación de esta </w:t>
      </w:r>
      <w:r w:rsidR="00E96CBC">
        <w:rPr>
          <w:rFonts w:ascii="Book Antiqua" w:eastAsia="Times New Roman" w:hAnsi="Book Antiqua" w:cs="Segoe UI"/>
          <w:sz w:val="24"/>
          <w:szCs w:val="24"/>
          <w:lang w:val="es-PR"/>
        </w:rPr>
        <w:t xml:space="preserve">legislación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no solo garantizará el uso efectivo de </w:t>
      </w:r>
      <w:r w:rsidR="00236A59" w:rsidRPr="001E3667">
        <w:rPr>
          <w:rFonts w:ascii="Book Antiqua" w:eastAsia="Times New Roman" w:hAnsi="Book Antiqua" w:cs="Segoe UI"/>
          <w:sz w:val="24"/>
          <w:szCs w:val="24"/>
          <w:lang w:val="es-PR"/>
        </w:rPr>
        <w:t>los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fondos </w:t>
      </w:r>
      <w:r w:rsidR="00236A59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federales destinados a la </w:t>
      </w:r>
      <w:r w:rsidR="00B3276A" w:rsidRPr="001E3667">
        <w:rPr>
          <w:rFonts w:ascii="Book Antiqua" w:eastAsia="Times New Roman" w:hAnsi="Book Antiqua" w:cs="Segoe UI"/>
          <w:sz w:val="24"/>
          <w:szCs w:val="24"/>
          <w:lang w:val="es-PR"/>
        </w:rPr>
        <w:t>recuperación,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sino que sentará las bases para un mercado inmobiliario inclusivo. Al facilitar la compra de viviendas fuera de zonas de riesgo, se mitigará el </w:t>
      </w:r>
      <w:r w:rsidR="001E3667" w:rsidRPr="001E3667">
        <w:rPr>
          <w:rFonts w:ascii="Book Antiqua" w:eastAsia="Times New Roman" w:hAnsi="Book Antiqua" w:cs="Segoe UI"/>
          <w:sz w:val="24"/>
          <w:szCs w:val="24"/>
          <w:lang w:val="es-PR"/>
        </w:rPr>
        <w:t>problema de éxodo poblacional en los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municip</w:t>
      </w:r>
      <w:r w:rsidR="001E3667" w:rsidRPr="001E3667">
        <w:rPr>
          <w:rFonts w:ascii="Book Antiqua" w:eastAsia="Times New Roman" w:hAnsi="Book Antiqua" w:cs="Segoe UI"/>
          <w:sz w:val="24"/>
          <w:szCs w:val="24"/>
          <w:lang w:val="es-PR"/>
        </w:rPr>
        <w:t>ios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y se fortalecerá la resiliencia 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lastRenderedPageBreak/>
        <w:t>comunitaria. Además, la exención contributiva propuesta incentivará a vendedores a participar activamente en la reconstrucción</w:t>
      </w:r>
      <w:r w:rsidR="00636190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 de nuestra isla</w:t>
      </w: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>.</w:t>
      </w:r>
      <w:r w:rsidR="00E24734" w:rsidRPr="001E3667">
        <w:rPr>
          <w:rFonts w:ascii="Book Antiqua" w:eastAsia="Times New Roman" w:hAnsi="Book Antiqua" w:cs="Times New Roman"/>
          <w:sz w:val="24"/>
          <w:szCs w:val="24"/>
          <w:highlight w:val="green"/>
          <w:lang w:val="es-PR"/>
        </w:rPr>
        <w:t xml:space="preserve"> </w:t>
      </w:r>
    </w:p>
    <w:p w14:paraId="05704987" w14:textId="23C8F317" w:rsidR="00E137FF" w:rsidRPr="00F20445" w:rsidRDefault="00636190" w:rsidP="00BD47D7">
      <w:pPr>
        <w:spacing w:line="360" w:lineRule="auto"/>
        <w:ind w:firstLine="720"/>
        <w:jc w:val="both"/>
        <w:rPr>
          <w:rFonts w:ascii="Book Antiqua" w:hAnsi="Book Antiqua" w:cs="Segoe UI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Por todo lo anterior, esta Asamblea Legislativa </w:t>
      </w:r>
      <w:r w:rsidR="00B13059" w:rsidRPr="001E3667">
        <w:rPr>
          <w:rFonts w:ascii="Book Antiqua" w:eastAsia="Times New Roman" w:hAnsi="Book Antiqua" w:cs="Segoe UI"/>
          <w:sz w:val="24"/>
          <w:szCs w:val="24"/>
          <w:lang w:val="es-PR"/>
        </w:rPr>
        <w:t xml:space="preserve">reafirma </w:t>
      </w:r>
      <w:r w:rsidR="00653DCC" w:rsidRPr="001E3667">
        <w:rPr>
          <w:rFonts w:ascii="Book Antiqua" w:hAnsi="Book Antiqua"/>
          <w:sz w:val="24"/>
          <w:szCs w:val="24"/>
          <w:lang w:val="es-PR"/>
        </w:rPr>
        <w:t>su compromiso con un Puerto Rico resiliente, donde el derecho a la vivienda digna trascienda barreras discriminatorias y se convierta en piedra angular de nuestra recuperación colectiva</w:t>
      </w:r>
      <w:r w:rsidR="00653DCC" w:rsidRPr="001E3667">
        <w:rPr>
          <w:rFonts w:ascii="Book Antiqua" w:hAnsi="Book Antiqua"/>
          <w:color w:val="FF0000"/>
          <w:sz w:val="24"/>
          <w:szCs w:val="24"/>
          <w:lang w:val="es-PR"/>
        </w:rPr>
        <w:t xml:space="preserve">.  </w:t>
      </w:r>
    </w:p>
    <w:p w14:paraId="3FC180EE" w14:textId="77777777" w:rsidR="00653DCC" w:rsidRPr="001E3667" w:rsidRDefault="00653DCC" w:rsidP="00DB5479">
      <w:pPr>
        <w:spacing w:line="240" w:lineRule="auto"/>
        <w:jc w:val="both"/>
        <w:rPr>
          <w:rFonts w:ascii="Book Antiqua" w:hAnsi="Book Antiqua"/>
          <w:color w:val="FF0000"/>
          <w:sz w:val="24"/>
          <w:szCs w:val="24"/>
          <w:lang w:val="es-PR"/>
        </w:rPr>
      </w:pPr>
    </w:p>
    <w:p w14:paraId="7D7C0FD6" w14:textId="77777777" w:rsidR="00E137FF" w:rsidRPr="007A54C0" w:rsidRDefault="005062C0" w:rsidP="000D1110">
      <w:pPr>
        <w:spacing w:line="360" w:lineRule="auto"/>
        <w:rPr>
          <w:rFonts w:ascii="Book Antiqua" w:eastAsia="Times New Roman" w:hAnsi="Book Antiqua" w:cs="Times New Roman"/>
          <w:b/>
          <w:bCs/>
          <w:iCs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b/>
          <w:bCs/>
          <w:iCs/>
          <w:sz w:val="24"/>
          <w:szCs w:val="24"/>
          <w:lang w:val="es-PR"/>
        </w:rPr>
        <w:t xml:space="preserve">DECRÉTASE POR LA ASAMBLEA LEGISLATIVA DE PUERTO RICO </w:t>
      </w:r>
    </w:p>
    <w:p w14:paraId="1B787BBB" w14:textId="77777777" w:rsidR="00E137FF" w:rsidRPr="001E3667" w:rsidRDefault="00E137FF" w:rsidP="000D1110">
      <w:pPr>
        <w:spacing w:line="360" w:lineRule="auto"/>
        <w:rPr>
          <w:rFonts w:ascii="Book Antiqua" w:eastAsia="Times New Roman" w:hAnsi="Book Antiqua" w:cs="Times New Roman"/>
          <w:sz w:val="24"/>
          <w:szCs w:val="24"/>
          <w:lang w:val="es-PR"/>
        </w:rPr>
        <w:sectPr w:rsidR="00E137FF" w:rsidRPr="001E3667" w:rsidSect="00B91B7C">
          <w:headerReference w:type="default" r:id="rId12"/>
          <w:headerReference w:type="first" r:id="rId13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299"/>
        </w:sectPr>
      </w:pPr>
    </w:p>
    <w:p w14:paraId="782F797D" w14:textId="77777777" w:rsidR="00E137FF" w:rsidRPr="001E3667" w:rsidRDefault="005062C0" w:rsidP="0068118A">
      <w:pPr>
        <w:spacing w:line="480" w:lineRule="auto"/>
        <w:ind w:firstLine="720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Artículo 1.</w:t>
      </w:r>
      <w:r w:rsidR="006B37F2">
        <w:rPr>
          <w:rFonts w:ascii="Book Antiqua" w:eastAsia="Times New Roman" w:hAnsi="Book Antiqua" w:cs="Times New Roman"/>
          <w:sz w:val="24"/>
          <w:szCs w:val="24"/>
          <w:lang w:val="es-PR"/>
        </w:rPr>
        <w:t>-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Título</w:t>
      </w:r>
    </w:p>
    <w:p w14:paraId="5054B854" w14:textId="1F609F55" w:rsidR="00E137FF" w:rsidRPr="007A54C0" w:rsidRDefault="005062C0" w:rsidP="005E1374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Esta Ley se conocerá y podrá ser citada como la “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Ley para </w:t>
      </w:r>
      <w:r w:rsidR="006F602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Gestión de Fondos de Recuperación Destinados a la Compra de Viviendas y la Repoblación de</w:t>
      </w:r>
      <w:r w:rsidR="005E137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Municipios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”.</w:t>
      </w:r>
    </w:p>
    <w:p w14:paraId="5D305B89" w14:textId="77777777" w:rsidR="00E137FF" w:rsidRPr="007A54C0" w:rsidRDefault="005062C0" w:rsidP="009C2498">
      <w:pPr>
        <w:spacing w:line="480" w:lineRule="auto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  <w:t>Artículo 2.</w:t>
      </w:r>
      <w:r w:rsidR="006B37F2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-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Propósito</w:t>
      </w:r>
    </w:p>
    <w:p w14:paraId="23347BA0" w14:textId="6B56B254" w:rsidR="00E137FF" w:rsidRPr="001E3667" w:rsidRDefault="005062C0" w:rsidP="009C2498">
      <w:p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El propósito de esta 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>L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ey es establecer salvaguardas para evitar el discrimen contra las personas que utilicen fondos provenientes de programas de asistencia gubernamental para adquirir una vivienda segura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luego de que ocurra un desastre. La discriminación por el origen de los fondos atenta contra la recuperación </w:t>
      </w:r>
      <w:proofErr w:type="spellStart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</w:t>
      </w:r>
      <w:r w:rsidR="00766E8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t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-desastre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Puerto Rico, así como los derechos y la dignidad de las personas sobrevivientes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desastre.  </w:t>
      </w:r>
    </w:p>
    <w:p w14:paraId="2F776F56" w14:textId="77777777" w:rsidR="00E137FF" w:rsidRPr="001E3667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3.-Definiciones. </w:t>
      </w:r>
    </w:p>
    <w:p w14:paraId="13F6F14A" w14:textId="77777777" w:rsidR="00E137FF" w:rsidRPr="001E3667" w:rsidRDefault="00E37AF7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hAnsi="Book Antiqua"/>
          <w:sz w:val="24"/>
          <w:szCs w:val="24"/>
          <w:lang w:val="es-PR"/>
        </w:rPr>
        <w:t>Los siguientes términos tendrán los significados que a continuación se expresan, excepto donde el contexto en que se utilice claramente indique otra cosa</w:t>
      </w:r>
      <w:r w:rsidR="000D1110" w:rsidRPr="001E3667">
        <w:rPr>
          <w:rFonts w:ascii="Book Antiqua" w:hAnsi="Book Antiqua"/>
          <w:sz w:val="24"/>
          <w:szCs w:val="24"/>
          <w:lang w:val="es-PR"/>
        </w:rPr>
        <w:t xml:space="preserve">: </w:t>
      </w:r>
    </w:p>
    <w:p w14:paraId="03935C75" w14:textId="5D5551CE" w:rsidR="00ED592B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“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Comprador participante”- se refiere a cualquier persona o personas que hayan resultado elegibles para participar </w:t>
      </w:r>
      <w:r w:rsidR="00483AB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cualquier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programa federal </w:t>
      </w:r>
      <w:r w:rsidR="00483AB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recuperación o mitigación </w:t>
      </w:r>
      <w:proofErr w:type="spellStart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que utilice tales beneficios, en todo o en parte, para adquirir, reparar o reconstruir su vivienda principal.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</w:t>
      </w:r>
    </w:p>
    <w:p w14:paraId="474EAD4D" w14:textId="3DC3ECA6" w:rsidR="00ED592B" w:rsidRPr="000277C0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0277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“Conducta discriminatoria” - se refiere a actos, acciones, prácticas, y expresiones, incluyendo conducta escrita, verbal, simbólica, física o de otro tipo que se considere contrario a esta Ley. </w:t>
      </w:r>
    </w:p>
    <w:p w14:paraId="305B30AD" w14:textId="77777777" w:rsidR="00ED592B" w:rsidRPr="001E3667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“Corredor de Bienes Raíces” - significa cualquier persona, empresa o servicio de listados, clasificados, corredor u organización de bienes raíces o cualquier otro servicio de corretaje, organización, instalación o persona relacionada al negocio de la venta, subasta, alquiler, subarrendamiento o que de otro modo esté relacionado con el intercambio, la oferta o el intento de negociación de la venta, el alquiler o el subarrendamiento de propiedad inmueble, incluyendo lotes y parcelas vacantes. </w:t>
      </w:r>
    </w:p>
    <w:p w14:paraId="35671E30" w14:textId="77777777" w:rsidR="00ED592B" w:rsidRPr="001E3667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“Departamento” - significa el Departamento de la Vivienda de Puerto Rico. </w:t>
      </w:r>
    </w:p>
    <w:p w14:paraId="4FFDD9E6" w14:textId="3094CCFE" w:rsidR="00F73C27" w:rsidRPr="007A54C0" w:rsidRDefault="005062C0" w:rsidP="00F73C27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“Fondos de recuperación” - se refiere a los fondos en forma de vale o aportación similar dirigido a la compra de una vivienda principal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proveniente de </w:t>
      </w:r>
      <w:r w:rsidR="00C70A5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cualquier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programa de asistencia gubernamental subsidiado con fondos</w:t>
      </w:r>
      <w:r w:rsidR="005F4CAB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44D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federales de recuperación o mitigación </w:t>
      </w:r>
      <w:proofErr w:type="spellStart"/>
      <w:r w:rsidR="00044D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="00044D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 incluyendo</w:t>
      </w:r>
      <w:r w:rsidR="003E464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 pero sin limitarse a:</w:t>
      </w:r>
    </w:p>
    <w:p w14:paraId="51CD48C5" w14:textId="4E002640" w:rsidR="00631F8B" w:rsidRPr="007A54C0" w:rsidRDefault="00631F8B" w:rsidP="00631F8B">
      <w:pPr>
        <w:pStyle w:val="ListParagraph"/>
        <w:spacing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PR"/>
        </w:rPr>
      </w:pPr>
      <w:r w:rsidRPr="007A54C0">
        <w:rPr>
          <w:rFonts w:ascii="Book Antiqua" w:hAnsi="Book Antiqua"/>
          <w:sz w:val="24"/>
          <w:szCs w:val="24"/>
          <w:lang w:val="es-PR"/>
        </w:rPr>
        <w:t xml:space="preserve">1) </w:t>
      </w:r>
      <w:r w:rsidRPr="007A54C0">
        <w:rPr>
          <w:rFonts w:ascii="Book Antiqua" w:hAnsi="Book Antiqua"/>
          <w:sz w:val="24"/>
          <w:szCs w:val="24"/>
          <w:lang w:val="es-PR"/>
        </w:rPr>
        <w:tab/>
        <w:t>Programa de Reparación, Reconstrucción y Reubicación (R3) creado con fondos de la Subvención en Bloque para Desarrollo Comunitario por Desastres (CDBG-DR, por sus siglas en inglés);</w:t>
      </w:r>
    </w:p>
    <w:p w14:paraId="51D17206" w14:textId="1C289BC6" w:rsidR="00631F8B" w:rsidRPr="007A54C0" w:rsidRDefault="00631F8B" w:rsidP="00631F8B">
      <w:pPr>
        <w:pStyle w:val="ListParagraph"/>
        <w:spacing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PR"/>
        </w:rPr>
      </w:pPr>
      <w:r w:rsidRPr="007A54C0">
        <w:rPr>
          <w:rFonts w:ascii="Book Antiqua" w:hAnsi="Book Antiqua"/>
          <w:sz w:val="24"/>
          <w:szCs w:val="24"/>
          <w:lang w:val="es-PR"/>
        </w:rPr>
        <w:t xml:space="preserve">2) </w:t>
      </w:r>
      <w:r w:rsidRPr="007A54C0">
        <w:rPr>
          <w:rFonts w:ascii="Book Antiqua" w:hAnsi="Book Antiqua"/>
          <w:sz w:val="24"/>
          <w:szCs w:val="24"/>
          <w:lang w:val="es-PR"/>
        </w:rPr>
        <w:tab/>
        <w:t xml:space="preserve">Programa de Mitigación para Viviendas Unifamiliares (SFM, por sus siglas en inglés) financiado con fondos de la Subvención en Bloque para </w:t>
      </w:r>
      <w:r w:rsidRPr="007A54C0">
        <w:rPr>
          <w:rFonts w:ascii="Book Antiqua" w:hAnsi="Book Antiqua"/>
          <w:sz w:val="24"/>
          <w:szCs w:val="24"/>
          <w:lang w:val="es-PR"/>
        </w:rPr>
        <w:lastRenderedPageBreak/>
        <w:t>Desarrollo Comunitario - Mitigación (CDBG-MIT, por sus siglas en inglés);</w:t>
      </w:r>
    </w:p>
    <w:p w14:paraId="2DAFD27F" w14:textId="41F8B6BD" w:rsidR="00631F8B" w:rsidRPr="007A54C0" w:rsidRDefault="00631F8B" w:rsidP="00631F8B">
      <w:pPr>
        <w:pStyle w:val="ListParagraph"/>
        <w:spacing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PR"/>
        </w:rPr>
      </w:pPr>
      <w:r w:rsidRPr="007A54C0">
        <w:rPr>
          <w:rFonts w:ascii="Book Antiqua" w:hAnsi="Book Antiqua"/>
          <w:sz w:val="24"/>
          <w:szCs w:val="24"/>
          <w:lang w:val="es-PR"/>
        </w:rPr>
        <w:t xml:space="preserve">3) </w:t>
      </w:r>
      <w:r w:rsidRPr="007A54C0">
        <w:rPr>
          <w:rFonts w:ascii="Book Antiqua" w:hAnsi="Book Antiqua"/>
          <w:sz w:val="24"/>
          <w:szCs w:val="24"/>
          <w:lang w:val="es-PR"/>
        </w:rPr>
        <w:tab/>
        <w:t xml:space="preserve">Programa </w:t>
      </w:r>
      <w:proofErr w:type="spellStart"/>
      <w:r w:rsidRPr="007A54C0">
        <w:rPr>
          <w:rFonts w:ascii="Book Antiqua" w:hAnsi="Book Antiqua"/>
          <w:sz w:val="24"/>
          <w:szCs w:val="24"/>
          <w:lang w:val="es-PR"/>
        </w:rPr>
        <w:t>ReSURge</w:t>
      </w:r>
      <w:proofErr w:type="spellEnd"/>
      <w:r w:rsidRPr="007A54C0">
        <w:rPr>
          <w:rFonts w:ascii="Book Antiqua" w:hAnsi="Book Antiqua"/>
          <w:sz w:val="24"/>
          <w:szCs w:val="24"/>
          <w:lang w:val="es-PR"/>
        </w:rPr>
        <w:t>, que provee asistencia para personas afectadas por los terremotos ocurridos en los años 2019 y 2020; y</w:t>
      </w:r>
    </w:p>
    <w:p w14:paraId="579C7229" w14:textId="5230EB24" w:rsidR="001A484F" w:rsidRPr="007A54C0" w:rsidRDefault="00631F8B" w:rsidP="00631F8B">
      <w:pPr>
        <w:pStyle w:val="ListParagraph"/>
        <w:spacing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PR"/>
        </w:rPr>
      </w:pPr>
      <w:r w:rsidRPr="007A54C0">
        <w:rPr>
          <w:rFonts w:ascii="Book Antiqua" w:hAnsi="Book Antiqua"/>
          <w:sz w:val="24"/>
          <w:szCs w:val="24"/>
          <w:lang w:val="es-PR"/>
        </w:rPr>
        <w:t xml:space="preserve">4) </w:t>
      </w:r>
      <w:r w:rsidRPr="007A54C0">
        <w:rPr>
          <w:rFonts w:ascii="Book Antiqua" w:hAnsi="Book Antiqua"/>
          <w:sz w:val="24"/>
          <w:szCs w:val="24"/>
          <w:lang w:val="es-PR"/>
        </w:rPr>
        <w:tab/>
        <w:t>Cualquier otro programa federal similar que se establezca en el futuro para la recuperación y reubicación de familias afectadas por desastres naturales.</w:t>
      </w:r>
    </w:p>
    <w:p w14:paraId="589D2AD0" w14:textId="77777777" w:rsidR="00ED592B" w:rsidRPr="007A54C0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hAnsi="Book Antiqua" w:cs="Segoe UI"/>
          <w:sz w:val="24"/>
          <w:szCs w:val="24"/>
          <w:lang w:val="es-PR"/>
        </w:rPr>
        <w:t>“Inversionista” o “desarrollador”- Toda entidad o individuo que posea más de dos propiedades inmuebles en la zona afectada o cuyo ingreso bruto derive principalmente de la compraventa de propiedades.</w:t>
      </w:r>
    </w:p>
    <w:p w14:paraId="1E9E8BDB" w14:textId="77777777" w:rsidR="003C5756" w:rsidRPr="007A54C0" w:rsidRDefault="005062C0" w:rsidP="003C5756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“Persona" </w:t>
      </w:r>
      <w:r w:rsidR="0018360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– se refiere 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una o más personas naturales, patrimonios, sociedades, asociaciones, asociaciones de grupos, organizaciones, organismos o agencias gubernamentales, incluyendo dependencias municipales y estatales, corporaciones, representantes legales, sociedades mutuas, cooperativas, fideicomisos y fideicomisarios o administradores judiciales.</w:t>
      </w:r>
    </w:p>
    <w:p w14:paraId="7725AAB8" w14:textId="5B54CB43" w:rsidR="00E137FF" w:rsidRPr="007A54C0" w:rsidRDefault="005062C0" w:rsidP="003C5756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“Práctica discriminatoria” </w:t>
      </w:r>
      <w:r w:rsidR="00F6251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-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significa cualquier acto prohibido mediante esta Ley. Incluye aquellos actos discriminatorios relacionados al mercado inmobiliario, </w:t>
      </w:r>
      <w:r w:rsidR="003B005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relacionados 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la adquisición de una vivienda con vales</w:t>
      </w:r>
      <w:r w:rsidR="0079098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o aportación similar</w:t>
      </w:r>
      <w:r w:rsidR="005F1D2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proveniente de cualquier programa </w:t>
      </w:r>
      <w:r w:rsidR="00CB2D4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federal de recuperación o mitigación </w:t>
      </w:r>
      <w:proofErr w:type="spellStart"/>
      <w:r w:rsidR="00CB2D4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, tales como anuncios, demostraciones de las propiedades, tasaciones, fijación de precios o cargos,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financiamiento o compra, entre otras transacciones.</w:t>
      </w:r>
      <w:r w:rsidR="003C5756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5756" w:rsidRPr="007A54C0">
        <w:rPr>
          <w:rStyle w:val="Emphasis"/>
          <w:rFonts w:ascii="Book Antiqua" w:hAnsi="Book Antiqua" w:cs="Segoe UI"/>
          <w:i w:val="0"/>
          <w:iCs w:val="0"/>
          <w:spacing w:val="1"/>
          <w:sz w:val="24"/>
          <w:szCs w:val="24"/>
          <w:lang w:val="es-PR"/>
        </w:rPr>
        <w:t xml:space="preserve">Las prácticas discriminatorias, según definidas en este inciso, constituyen una manifestación específica de conducta discriminatoria en el sector inmobiliario y de transacciones de vivienda relacionadas con programas federales de recuperación </w:t>
      </w:r>
      <w:proofErr w:type="spellStart"/>
      <w:r w:rsidR="003C5756" w:rsidRPr="007A54C0">
        <w:rPr>
          <w:rStyle w:val="Emphasis"/>
          <w:rFonts w:ascii="Book Antiqua" w:hAnsi="Book Antiqua" w:cs="Segoe UI"/>
          <w:i w:val="0"/>
          <w:iCs w:val="0"/>
          <w:spacing w:val="1"/>
          <w:sz w:val="24"/>
          <w:szCs w:val="24"/>
          <w:lang w:val="es-PR"/>
        </w:rPr>
        <w:t>post-desastre</w:t>
      </w:r>
      <w:proofErr w:type="spellEnd"/>
      <w:r w:rsidR="003C5756" w:rsidRPr="007A54C0">
        <w:rPr>
          <w:rStyle w:val="Emphasis"/>
          <w:rFonts w:ascii="Book Antiqua" w:hAnsi="Book Antiqua" w:cs="Segoe UI"/>
          <w:i w:val="0"/>
          <w:iCs w:val="0"/>
          <w:spacing w:val="1"/>
          <w:sz w:val="24"/>
          <w:szCs w:val="24"/>
          <w:lang w:val="es-PR"/>
        </w:rPr>
        <w:t xml:space="preserve">. Todo acto que constituya práctica discriminatoria bajo esta Ley será considerado simultáneamente como conducta discriminatoria para todos los efectos legales pertinentes. </w:t>
      </w:r>
    </w:p>
    <w:p w14:paraId="7B135F88" w14:textId="19A989EC" w:rsidR="00E137FF" w:rsidRPr="007A54C0" w:rsidRDefault="005062C0" w:rsidP="009C2498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“Vendedor”</w:t>
      </w:r>
      <w:r w:rsidR="00E20BEB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-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significa una persona o grupo de personas, naturales o jurídicas, que directamente o a través de una o más personas empleadas, contratadas o autorizadas por 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>e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ste, ofrezca para la venta, o para negociar la compra y venta de una vivienda o unidad de vivienda. </w:t>
      </w:r>
    </w:p>
    <w:p w14:paraId="3144ED00" w14:textId="77777777" w:rsidR="00ED592B" w:rsidRPr="007A54C0" w:rsidRDefault="00ED592B" w:rsidP="00ED592B">
      <w:pPr>
        <w:numPr>
          <w:ilvl w:val="0"/>
          <w:numId w:val="2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“Vivienda” o “unidad de vivienda” - podrán utilizarse indistintamente y significarán cualquier estructura, edificio o parte de este que es utilizado, ocupado, destinado, adaptado, o diseñado para ser utilizado u ocupado como el hogar, la residencia o el lugar donde pernoctar para una o más personas o familias. Incluye estructuras o edificios construidos o que se construirán en el futuro. Aplicará también a cualquier terreno o lote vacante que se ofrezca en venta o alquiler para construir o ubicar un edificio, estructura o parte de esta.  </w:t>
      </w:r>
    </w:p>
    <w:p w14:paraId="3C44F7EF" w14:textId="77777777" w:rsidR="00E137FF" w:rsidRPr="007A54C0" w:rsidRDefault="005062C0" w:rsidP="009C2498">
      <w:pPr>
        <w:spacing w:line="480" w:lineRule="auto"/>
        <w:ind w:firstLine="720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</w:t>
      </w:r>
      <w:r w:rsidR="002A7086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4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.- Actividades prohibidas</w:t>
      </w:r>
      <w:r w:rsidR="002A7086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3CE86AFC" w14:textId="2AC2C2D2" w:rsidR="00E137FF" w:rsidRPr="007A54C0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Constituirá una práctica discriminatoria que el dueño, agente, administrador u otra persona o grupo de personas con derecho a anunciar, vender, prometer o aprobar la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venta de una unidad de vivienda construida o que se construirá en el futuro, o lote de terreno, que tenga interés en esta, o cualquier agente o empleado de esta </w:t>
      </w:r>
      <w:r w:rsidR="009B16A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or razón de ser participantes</w:t>
      </w:r>
      <w:r w:rsidR="006B357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5116B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programas federales de recuperación o mitigación </w:t>
      </w:r>
      <w:proofErr w:type="spellStart"/>
      <w:r w:rsidR="005116B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Se considerarán actos discriminatorios quien, por razón de ser participantes </w:t>
      </w:r>
      <w:r w:rsidR="00671CF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programas federales de recuperación o mitigación </w:t>
      </w:r>
      <w:proofErr w:type="spellStart"/>
      <w:r w:rsidR="00671CF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:</w:t>
      </w:r>
    </w:p>
    <w:p w14:paraId="3B5D1340" w14:textId="77777777" w:rsidR="00E137FF" w:rsidRPr="007A54C0" w:rsidRDefault="005062C0" w:rsidP="009C2498">
      <w:pPr>
        <w:numPr>
          <w:ilvl w:val="0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Rehúse o tenga la intención de restringir la venta, promesa o la aprobación de alguna venta, se rehúse a negociar o de otro modo restrinja la disponibilidad, altere los términos, deniegue o retenga la disponibilidad a cualquier persona o grupo de personas una unidad de vivienda.</w:t>
      </w:r>
    </w:p>
    <w:p w14:paraId="7CB83F96" w14:textId="2BCA3BB9" w:rsidR="00E137FF" w:rsidRPr="007A54C0" w:rsidRDefault="005062C0" w:rsidP="009C2498">
      <w:pPr>
        <w:numPr>
          <w:ilvl w:val="0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Discriminar, hacer distinciones o de otro modo impactar o afectar adversamente los términos y las condiciones o los privilegios de la venta de una </w:t>
      </w:r>
      <w:r w:rsidR="00B91B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unidad 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cualquier persona o grupo de personas 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una unidad de vivienda.</w:t>
      </w:r>
    </w:p>
    <w:p w14:paraId="436C4651" w14:textId="77777777" w:rsidR="00E137FF" w:rsidRPr="007A54C0" w:rsidRDefault="005062C0" w:rsidP="009C2498">
      <w:pPr>
        <w:numPr>
          <w:ilvl w:val="0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Ofrecer información falsa o incorrecta en cuanto a la disponibilidad o falta de disponibilidad de una vivienda. </w:t>
      </w:r>
    </w:p>
    <w:p w14:paraId="2BD26FC3" w14:textId="77777777" w:rsidR="00E137FF" w:rsidRPr="007A54C0" w:rsidRDefault="005062C0" w:rsidP="009C2498">
      <w:pPr>
        <w:numPr>
          <w:ilvl w:val="0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Se considerará que un corredor, vendedor, agente o empleado de bienes raíces, tasador o agente de este incurre en una práctica discriminatoria, si:</w:t>
      </w:r>
    </w:p>
    <w:p w14:paraId="4316599E" w14:textId="77777777" w:rsidR="00E137FF" w:rsidRPr="007A54C0" w:rsidRDefault="005062C0" w:rsidP="009C2498">
      <w:pPr>
        <w:numPr>
          <w:ilvl w:val="1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Se rehúsa a vender, promocionar o anunciar cualquier unidad de vivienda, o se rehúsa a negociar para fines de venta una unidad de vivienda.</w:t>
      </w:r>
    </w:p>
    <w:p w14:paraId="4B78CAB4" w14:textId="5D8F017B" w:rsidR="00E137FF" w:rsidRPr="007A54C0" w:rsidRDefault="005062C0" w:rsidP="009C2498">
      <w:pPr>
        <w:numPr>
          <w:ilvl w:val="1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Altera los términos y condiciones de la vivienda disponible, amparado en que los fondos </w:t>
      </w:r>
      <w:r w:rsidR="005F411B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provienen de programas federales de recuperación o mitigación </w:t>
      </w:r>
      <w:proofErr w:type="spellStart"/>
      <w:r w:rsidR="005F411B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="00A673E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74054017" w14:textId="77777777" w:rsidR="00E137FF" w:rsidRPr="007A54C0" w:rsidRDefault="005062C0" w:rsidP="009C2498">
      <w:pPr>
        <w:numPr>
          <w:ilvl w:val="1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Declara, reproduc</w:t>
      </w:r>
      <w:r w:rsidR="00BC71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</w:t>
      </w:r>
      <w:r w:rsidR="004F508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circula o provoca que se declare, reproduzca o circule un aviso, declaración, anuncio, servicio de listados múltiples o publicación, o utilizar cualquier formulario de solicitud para comprar, alquilar, arrendar o subarrendar cualquier unidad de vivienda, o tomar constancia o hacer una investigación en relación con la posible compra.</w:t>
      </w:r>
    </w:p>
    <w:p w14:paraId="0878B75B" w14:textId="77777777" w:rsidR="000C516D" w:rsidRPr="007A54C0" w:rsidRDefault="005062C0" w:rsidP="009C2498">
      <w:pPr>
        <w:numPr>
          <w:ilvl w:val="1"/>
          <w:numId w:val="1"/>
        </w:numPr>
        <w:spacing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Induc</w:t>
      </w:r>
      <w:r w:rsidR="00BC71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o intenta inducir a cualquier persona a no vender, </w:t>
      </w:r>
      <w:proofErr w:type="spellStart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opcionar</w:t>
      </w:r>
      <w:proofErr w:type="spell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o prometer una unidad de vivienda, mediante representaciones explícitas o implícitas sobre el origen de los fondos para la transacción.</w:t>
      </w:r>
    </w:p>
    <w:p w14:paraId="1A1EE16C" w14:textId="51DF7FD2" w:rsidR="00E137FF" w:rsidRPr="007A54C0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Artículo 5.-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Excepciones y limitaciones</w:t>
      </w:r>
      <w:r w:rsidR="00D4420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2DBAAB07" w14:textId="77777777" w:rsidR="00E137FF" w:rsidRPr="007A54C0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Las disposiciones de esta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ey no le serán de aplicación a unidades de viviendas en venta por entidades religiosas. Tampoco </w:t>
      </w:r>
      <w:proofErr w:type="gramStart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será de aplicación</w:t>
      </w:r>
      <w:proofErr w:type="gramEnd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 individuos vendiendo una unidad de vivienda sin el servicio de corredor de bienes raíces, según definido en esta Ley, a menos que el vendedor sea dueño de más de dos unidades de vivienda. </w:t>
      </w:r>
    </w:p>
    <w:p w14:paraId="15565827" w14:textId="77777777" w:rsidR="00FE77FE" w:rsidRPr="007A54C0" w:rsidRDefault="00FE77FE" w:rsidP="00FE77FE">
      <w:pPr>
        <w:pStyle w:val="my-2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>Asimismo, no se considerarán prácticas discriminatorias prohibidas bajo esta Ley las siguientes situaciones:</w:t>
      </w:r>
    </w:p>
    <w:p w14:paraId="2C808585" w14:textId="61BFC9DD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lastRenderedPageBreak/>
        <w:t xml:space="preserve">a)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Demoras en gestiones administrativas relacionadas con la certificación de participantes o la cualificación de propiedades por parte de agencias gubernamentales;</w:t>
      </w:r>
    </w:p>
    <w:p w14:paraId="598F1662" w14:textId="5F5C0879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b)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Procedimientos judiciales pendientes de resolución, incluyendo litigios, gravámenes u otras cargas legales que afecten la propiedad;</w:t>
      </w:r>
    </w:p>
    <w:p w14:paraId="615A89FD" w14:textId="26C6A488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c)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Diferencias en el proceso de valoración de la propiedad o dificultades relacionadas con el financiamiento que no sean atribuibles a la condición del comprador como participante del programa;</w:t>
      </w:r>
    </w:p>
    <w:p w14:paraId="696C8753" w14:textId="4C074B34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d)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Circunstancias apremiantes del propietario que requieran una venta inmediata, tales como fallecimiento de familiares, condiciones de salud, reubicación necesaria u otras situaciones de fuerza mayor debidamente documentadas;</w:t>
      </w:r>
    </w:p>
    <w:p w14:paraId="039061E2" w14:textId="78C5E773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e)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La existencia de ofertas de compra más favorables provenientes de compradores que no participan en programas gubernamentales de asistencia;</w:t>
      </w:r>
    </w:p>
    <w:p w14:paraId="5507CFB3" w14:textId="56EFFB74" w:rsidR="00FE77FE" w:rsidRPr="007A54C0" w:rsidRDefault="00FE77FE" w:rsidP="00FE77FE">
      <w:pPr>
        <w:pStyle w:val="my-2"/>
        <w:spacing w:before="0" w:beforeAutospacing="0" w:after="0" w:afterAutospacing="0" w:line="480" w:lineRule="auto"/>
        <w:ind w:left="1080" w:hanging="36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f) 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ab/>
        <w:t>Actos, omisiones, incumplimientos o decisiones del propietario o vendedor de la propiedad que estén fuera del control o responsabilidad del corredor, agente o vendedor de bienes raíces.</w:t>
      </w:r>
    </w:p>
    <w:p w14:paraId="4389F2A8" w14:textId="79C1C3C3" w:rsidR="00D2691A" w:rsidRPr="007A54C0" w:rsidRDefault="00FE77FE" w:rsidP="00F35DDB">
      <w:pPr>
        <w:pStyle w:val="my-2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PR"/>
        </w:rPr>
      </w:pPr>
      <w:r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Las excepciones establecidas en este </w:t>
      </w:r>
      <w:r w:rsidR="006D41A1">
        <w:rPr>
          <w:rStyle w:val="Strong"/>
          <w:rFonts w:ascii="Book Antiqua" w:hAnsi="Book Antiqua"/>
          <w:b w:val="0"/>
          <w:bCs w:val="0"/>
          <w:lang w:val="es-PR"/>
        </w:rPr>
        <w:t>A</w:t>
      </w:r>
      <w:r w:rsidRPr="007A54C0">
        <w:rPr>
          <w:rStyle w:val="Strong"/>
          <w:rFonts w:ascii="Book Antiqua" w:hAnsi="Book Antiqua"/>
          <w:b w:val="0"/>
          <w:bCs w:val="0"/>
          <w:lang w:val="es-PR"/>
        </w:rPr>
        <w:t>rtículo deberán ser invocadas de buena fe y estar debidamente sustentadas con documentación apropiada cuando sea requerida por el Departamento</w:t>
      </w:r>
      <w:r w:rsidR="007375BC"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 de la Vivienda de Puerto Rico o el Departamento de</w:t>
      </w:r>
      <w:r w:rsidR="003679F7" w:rsidRPr="007A54C0">
        <w:rPr>
          <w:rStyle w:val="Strong"/>
          <w:rFonts w:ascii="Book Antiqua" w:hAnsi="Book Antiqua"/>
          <w:b w:val="0"/>
          <w:bCs w:val="0"/>
          <w:lang w:val="es-PR"/>
        </w:rPr>
        <w:t xml:space="preserve"> Vivienda y Desarrollo Urbano de los Estados Unidos (HUD, por sus siglas en inglés). </w:t>
      </w:r>
    </w:p>
    <w:p w14:paraId="6D3FE742" w14:textId="77777777" w:rsidR="00E137FF" w:rsidRPr="007A54C0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Artículo 6.-Responsabilidad del Departamento</w:t>
      </w:r>
      <w:r w:rsidR="00D4420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</w:p>
    <w:p w14:paraId="4797C643" w14:textId="77777777" w:rsidR="00E137FF" w:rsidRPr="007A54C0" w:rsidRDefault="005062C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El Departamento tendrá la obligación de, en estricto cumplimiento con las normas y guías para el uso de los fondos federales, atender con premura y diligencia </w:t>
      </w:r>
      <w:r w:rsidR="00B91B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todos los procedimientos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compra y venta de propiedades</w:t>
      </w:r>
      <w:r w:rsidR="008E029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inmuebles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</w:t>
      </w:r>
      <w:r w:rsidR="00991D0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cuya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transacción estén involucrados fondos de recuperación.</w:t>
      </w:r>
    </w:p>
    <w:p w14:paraId="249DD8C6" w14:textId="77777777" w:rsidR="00E137FF" w:rsidRPr="007A54C0" w:rsidRDefault="005062C0" w:rsidP="009C2498">
      <w:pPr>
        <w:spacing w:line="480" w:lineRule="auto"/>
        <w:ind w:firstLine="720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Artículo 7.- Querellas y sanciones</w:t>
      </w:r>
      <w:r w:rsidR="00065C1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3B8FB4CC" w14:textId="7EA093CE" w:rsidR="00CC644E" w:rsidRPr="007A54C0" w:rsidRDefault="005062C0" w:rsidP="00CC644E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Cualquier persona que reclame haber sido perjudicada por una práctica discriminatoria podrá presentar ante el Departamento, directamente o mediante su representante autorizado, una querella conforme a los requisitos establecidos </w:t>
      </w:r>
      <w:proofErr w:type="gramStart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en </w:t>
      </w:r>
      <w:r w:rsidR="00E54B5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E3682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la</w:t>
      </w:r>
      <w:proofErr w:type="gramEnd"/>
      <w:r w:rsidR="00E3682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Política </w:t>
      </w:r>
      <w:r w:rsidR="00A0439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de Equidad de Vivienda e Igualdad de Oportunidades (</w:t>
      </w:r>
      <w:r w:rsidR="0094054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Política</w:t>
      </w:r>
      <w:r w:rsidR="00A0439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F</w:t>
      </w:r>
      <w:r w:rsidR="0094054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HEO, por sus siglas en ingl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>é</w:t>
      </w:r>
      <w:r w:rsidR="0094054D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s).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CC644E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El Departamento referirá dicha querella a la Oficina de Vivienda Justa y Oportunidad Equitativa del Departamento de Vivienda y Desarrollo Urbano de los Estados Unidos (HUD FHEO, por sus siglas en inglés) para su correspondiente evaluación, investigación y adjudicación dentro de un término de dos (2) días laborables.</w:t>
      </w:r>
    </w:p>
    <w:p w14:paraId="3476C58A" w14:textId="13538FB8" w:rsidR="00CC644E" w:rsidRPr="007A54C0" w:rsidRDefault="00CC644E" w:rsidP="00CC644E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En caso de que HUD FHEO no atienda la querella dentro de un término de noventa (90) días, o decida no intervenir, el Departamento podrá retomar jurisdicción sobre el asunto y adjudicarla conforme al Reglamento sobre </w:t>
      </w:r>
      <w:r w:rsidR="00ED6AE2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rocedimientos </w:t>
      </w:r>
      <w:r w:rsidR="0031600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djudicativos </w:t>
      </w:r>
      <w:r w:rsidR="0031600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F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ormales del Departamento de la Vivienda y sus </w:t>
      </w:r>
      <w:r w:rsidR="0031600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gencias </w:t>
      </w:r>
      <w:r w:rsidR="0031600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dscritas.</w:t>
      </w:r>
    </w:p>
    <w:p w14:paraId="3870EF5F" w14:textId="4D4E48E3" w:rsidR="00E137FF" w:rsidRPr="007A54C0" w:rsidRDefault="005062C0" w:rsidP="00260E62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Departamento podrá penalizar el incumplimiento con las disposiciones de esta </w:t>
      </w:r>
      <w:r w:rsidR="00F204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ey co</w:t>
      </w:r>
      <w:r w:rsidR="00B91B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n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una multa administrativa </w:t>
      </w:r>
      <w:r w:rsidR="008A324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fluctúe entre mil dólares ($1,000.00) y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cinco mil dólares ($5,000.00) por cada violación</w:t>
      </w:r>
      <w:r w:rsidR="005B216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, según la gravedad de</w:t>
      </w:r>
      <w:r w:rsidR="00C0771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 incumplimiento</w:t>
      </w:r>
      <w:r w:rsidR="005B216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 Las sanciones podrán reducirse por circunstancias atenuantes cuando se tomen medidas para mitigar los efectos de</w:t>
      </w:r>
      <w:r w:rsidR="00F1717E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 incumplimiento</w:t>
      </w:r>
      <w:r w:rsidR="005B216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5F9BD857" w14:textId="77777777" w:rsidR="00513772" w:rsidRPr="001E3667" w:rsidRDefault="006C78D0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Artículo 8.- </w:t>
      </w:r>
      <w:r w:rsidR="00513772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Interpretación.</w:t>
      </w:r>
    </w:p>
    <w:p w14:paraId="78C770B9" w14:textId="3F8395B8" w:rsidR="00513772" w:rsidRPr="001E3667" w:rsidRDefault="00513772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Nada de lo aquí dispuesto prohíbe que un tasador de bienes inmuebles evalúe el valor de una propiedad tomando en cuenta otros factores distintos de aquellos que están </w:t>
      </w:r>
      <w:r w:rsidRP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protegidos bajo esta Ley. Tampoco se entenderá que esta </w:t>
      </w:r>
      <w:r w:rsidR="00F20445" w:rsidRPr="006D41A1">
        <w:rPr>
          <w:rFonts w:ascii="Book Antiqua" w:eastAsia="Times New Roman" w:hAnsi="Book Antiqua" w:cs="Times New Roman"/>
          <w:sz w:val="24"/>
          <w:szCs w:val="24"/>
          <w:lang w:val="es-PR"/>
        </w:rPr>
        <w:t>L</w:t>
      </w:r>
      <w:r w:rsidRPr="006D41A1">
        <w:rPr>
          <w:rFonts w:ascii="Book Antiqua" w:eastAsia="Times New Roman" w:hAnsi="Book Antiqua" w:cs="Times New Roman"/>
          <w:sz w:val="24"/>
          <w:szCs w:val="24"/>
          <w:lang w:val="es-PR"/>
        </w:rPr>
        <w:t>ey obligará a cualquier persona a vender su propiedad bajo términos que entiende no le son favorables o la compra y venta</w:t>
      </w:r>
      <w:r w:rsidR="008B22EB" w:rsidRP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</w:t>
      </w:r>
      <w:r w:rsidRP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propiedades que no cumplan con los requisitos establecidos en la normativa y políticas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establecidas por el gobierno federal y los recipientes de los fondos de recuperación.</w:t>
      </w:r>
    </w:p>
    <w:p w14:paraId="163C515C" w14:textId="3731E3DE" w:rsidR="00E570CD" w:rsidRPr="001E3667" w:rsidRDefault="00E570CD" w:rsidP="009C2498">
      <w:pPr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</w:t>
      </w:r>
      <w:r w:rsidR="00371E8B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9</w:t>
      </w: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.- </w:t>
      </w:r>
      <w:r w:rsidR="00D03684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Se añade el</w:t>
      </w:r>
      <w:r w:rsidR="00D731C1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E46AF4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subinciso (</w:t>
      </w:r>
      <w:r w:rsidR="00E96CBC">
        <w:rPr>
          <w:rFonts w:ascii="Book Antiqua" w:eastAsia="Times New Roman" w:hAnsi="Book Antiqua" w:cs="Times New Roman"/>
          <w:sz w:val="24"/>
          <w:szCs w:val="24"/>
          <w:lang w:val="es-PR"/>
        </w:rPr>
        <w:t>9</w:t>
      </w:r>
      <w:r w:rsidR="00E46AF4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) </w:t>
      </w:r>
      <w:r w:rsidR="0009742A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al inciso (a) de</w:t>
      </w:r>
      <w:r w:rsidR="00D731C1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5B590D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Sección 1022.04 </w:t>
      </w:r>
      <w:bookmarkStart w:id="5" w:name="_Hlk196133038"/>
      <w:r w:rsidR="005B590D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de la Ley 1</w:t>
      </w:r>
      <w:r w:rsidR="002E337B">
        <w:rPr>
          <w:rFonts w:ascii="Book Antiqua" w:eastAsia="Times New Roman" w:hAnsi="Book Antiqua" w:cs="Times New Roman"/>
          <w:sz w:val="24"/>
          <w:szCs w:val="24"/>
          <w:lang w:val="es-PR"/>
        </w:rPr>
        <w:t>-</w:t>
      </w:r>
      <w:r w:rsidR="001227E6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2011, según enmendada, </w:t>
      </w:r>
      <w:r w:rsidR="009E50C2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conocida</w:t>
      </w:r>
      <w:r w:rsidR="001227E6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como “Código de Rentas Internas para un Nuevo Puerto Rico”</w:t>
      </w:r>
      <w:r w:rsidR="003441F7"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, para que lea como sigue: </w:t>
      </w:r>
    </w:p>
    <w:bookmarkEnd w:id="5"/>
    <w:p w14:paraId="2309FC7B" w14:textId="6456D529" w:rsidR="00056401" w:rsidRPr="001E3667" w:rsidRDefault="00056401" w:rsidP="00730450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“</w:t>
      </w:r>
      <w:r w:rsidRPr="001E3667">
        <w:rPr>
          <w:rFonts w:ascii="Book Antiqua" w:hAnsi="Book Antiqua"/>
          <w:sz w:val="24"/>
          <w:szCs w:val="24"/>
          <w:lang w:val="es-PR"/>
        </w:rPr>
        <w:t xml:space="preserve">Sección 1022.04. — Determinación del Ingreso Neto Alternativo Mínimo. </w:t>
      </w:r>
    </w:p>
    <w:p w14:paraId="5127CE27" w14:textId="77777777" w:rsidR="00D731C1" w:rsidRPr="001E3667" w:rsidRDefault="00056401" w:rsidP="00730450">
      <w:pPr>
        <w:pStyle w:val="ListParagraph"/>
        <w:numPr>
          <w:ilvl w:val="4"/>
          <w:numId w:val="1"/>
        </w:numPr>
        <w:spacing w:line="480" w:lineRule="auto"/>
        <w:ind w:left="1080"/>
        <w:jc w:val="both"/>
        <w:rPr>
          <w:rFonts w:ascii="Book Antiqua" w:hAnsi="Book Antiqua"/>
          <w:sz w:val="24"/>
          <w:szCs w:val="24"/>
          <w:lang w:val="es-PR"/>
        </w:rPr>
      </w:pPr>
      <w:r w:rsidRPr="001E3667">
        <w:rPr>
          <w:rFonts w:ascii="Book Antiqua" w:hAnsi="Book Antiqua"/>
          <w:sz w:val="24"/>
          <w:szCs w:val="24"/>
          <w:lang w:val="es-PR"/>
        </w:rPr>
        <w:t>Ajustes. — En la determinación del monto del ingreso neto alternativo mínimo para cualquier año contributivo, se seguirá el siguiente procedimiento, en lugar del procedimiento aplicable en la determinación de la contribución regular.</w:t>
      </w:r>
    </w:p>
    <w:p w14:paraId="7F1C9557" w14:textId="77777777" w:rsidR="00056401" w:rsidRPr="001E3667" w:rsidRDefault="00AB0888" w:rsidP="00730450">
      <w:pPr>
        <w:pStyle w:val="ListParagraph"/>
        <w:numPr>
          <w:ilvl w:val="3"/>
          <w:numId w:val="2"/>
        </w:numPr>
        <w:tabs>
          <w:tab w:val="left" w:pos="1350"/>
        </w:tabs>
        <w:spacing w:line="480" w:lineRule="auto"/>
        <w:ind w:left="14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…</w:t>
      </w:r>
    </w:p>
    <w:p w14:paraId="069A2F62" w14:textId="77777777" w:rsidR="00AB0888" w:rsidRPr="007A54C0" w:rsidRDefault="00AB0888" w:rsidP="00730450">
      <w:pPr>
        <w:pStyle w:val="ListParagraph"/>
        <w:tabs>
          <w:tab w:val="left" w:pos="1350"/>
        </w:tabs>
        <w:spacing w:line="480" w:lineRule="auto"/>
        <w:ind w:left="14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1E3667">
        <w:rPr>
          <w:rFonts w:ascii="Book Antiqua" w:eastAsia="Times New Roman" w:hAnsi="Book Antiqua" w:cs="Times New Roman"/>
          <w:sz w:val="24"/>
          <w:szCs w:val="24"/>
          <w:lang w:val="es-PR"/>
        </w:rPr>
        <w:t>…</w:t>
      </w:r>
    </w:p>
    <w:p w14:paraId="641870FB" w14:textId="0E3DDD19" w:rsidR="00C5025F" w:rsidRPr="007A54C0" w:rsidRDefault="00AB0888" w:rsidP="00730450">
      <w:pPr>
        <w:tabs>
          <w:tab w:val="left" w:pos="1080"/>
          <w:tab w:val="left" w:pos="1350"/>
        </w:tabs>
        <w:spacing w:line="480" w:lineRule="auto"/>
        <w:ind w:left="1440" w:hanging="36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(</w:t>
      </w:r>
      <w:r w:rsidR="00E96CBC">
        <w:rPr>
          <w:rFonts w:ascii="Book Antiqua" w:eastAsia="Times New Roman" w:hAnsi="Book Antiqua" w:cs="Times New Roman"/>
          <w:sz w:val="24"/>
          <w:szCs w:val="24"/>
          <w:lang w:val="es-PR"/>
        </w:rPr>
        <w:t>9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) </w:t>
      </w:r>
      <w:r w:rsidR="00AB1EFE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Contribución </w:t>
      </w:r>
      <w:r w:rsidR="00C5025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para ventas </w:t>
      </w:r>
      <w:r w:rsidR="0073045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propiedades inmuebles </w:t>
      </w:r>
      <w:r w:rsidR="00C5025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 beneficiarios de programas federales</w:t>
      </w:r>
      <w:r w:rsidR="00CC032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recuperación </w:t>
      </w:r>
      <w:proofErr w:type="spellStart"/>
      <w:r w:rsidR="00CC032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="00CC032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 – Las ganancias netas de capita</w:t>
      </w:r>
      <w:r w:rsidR="00D10ED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 derivadas de la venta de propiedad inmueble a personas certificadas como beneficiarios de programas de recuperación </w:t>
      </w:r>
      <w:proofErr w:type="spellStart"/>
      <w:r w:rsidR="00D10ED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post-desastre</w:t>
      </w:r>
      <w:proofErr w:type="spellEnd"/>
      <w:r w:rsidR="00D10ED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D10ED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subsidiados</w:t>
      </w:r>
      <w:r w:rsidR="0075739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con fondos federales, incluyendo el programa CDBG-DR, </w:t>
      </w:r>
      <w:r w:rsidR="00AB1EFE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tributarán</w:t>
      </w:r>
      <w:r w:rsidR="00723A3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un dos (2) por ciento</w:t>
      </w:r>
      <w:r w:rsidR="00537913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, siempre que: </w:t>
      </w:r>
    </w:p>
    <w:p w14:paraId="18B337BC" w14:textId="65ACA615" w:rsidR="005167CC" w:rsidRPr="007A54C0" w:rsidRDefault="00537913" w:rsidP="009857F2">
      <w:pPr>
        <w:spacing w:line="504" w:lineRule="auto"/>
        <w:ind w:left="189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(</w:t>
      </w:r>
      <w:r w:rsidR="00C5058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) </w:t>
      </w:r>
      <w:r w:rsidR="00BB07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bookmarkStart w:id="6" w:name="_Hlk196141656"/>
      <w:r w:rsidR="00AC189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La propiedad est</w:t>
      </w:r>
      <w:r w:rsidR="002D597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é</w:t>
      </w:r>
      <w:r w:rsidR="00AC189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ubicada en una zona declarada en estado de desastre por el Gobierno de </w:t>
      </w:r>
      <w:r w:rsidR="0020400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Puerto Rico </w:t>
      </w:r>
      <w:r w:rsidR="0073045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y/</w:t>
      </w:r>
      <w:r w:rsidR="0020400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 el Presidente de </w:t>
      </w:r>
      <w:proofErr w:type="gramStart"/>
      <w:r w:rsidR="0020400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EE</w:t>
      </w:r>
      <w:r w:rsidR="000A003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.UU.</w:t>
      </w:r>
      <w:proofErr w:type="gramEnd"/>
      <w:r w:rsidR="000A0031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dentro de los últimos diez (10) años</w:t>
      </w:r>
      <w:r w:rsidR="005167C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; </w:t>
      </w:r>
    </w:p>
    <w:bookmarkEnd w:id="6"/>
    <w:p w14:paraId="2E6DE603" w14:textId="1F992F71" w:rsidR="008D3C33" w:rsidRPr="007A54C0" w:rsidRDefault="005167CC" w:rsidP="009857F2">
      <w:pPr>
        <w:spacing w:line="504" w:lineRule="auto"/>
        <w:ind w:left="189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(</w:t>
      </w:r>
      <w:r w:rsidR="00C5058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B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)</w:t>
      </w:r>
      <w:r w:rsidR="00BB07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BB07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bookmarkStart w:id="7" w:name="_Hlk196141745"/>
      <w:r w:rsidR="00A174A8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comprador </w:t>
      </w:r>
      <w:r w:rsidR="00D1004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sea certificado </w:t>
      </w:r>
      <w:r w:rsidR="0032368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por el Departamento de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la</w:t>
      </w:r>
      <w:r w:rsidR="0032368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Vivienda como beneficiario de un programa federal de </w:t>
      </w:r>
      <w:r w:rsidR="008D3C33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recuperación; </w:t>
      </w:r>
    </w:p>
    <w:bookmarkEnd w:id="7"/>
    <w:p w14:paraId="491DDC34" w14:textId="2E960F0A" w:rsidR="00174FC6" w:rsidRPr="007A54C0" w:rsidRDefault="00063949" w:rsidP="009857F2">
      <w:pPr>
        <w:spacing w:line="504" w:lineRule="auto"/>
        <w:ind w:left="189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(</w:t>
      </w:r>
      <w:r w:rsidR="00C5058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C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) </w:t>
      </w:r>
      <w:r w:rsidR="00BB07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bookmarkStart w:id="8" w:name="_Hlk196141762"/>
      <w:r w:rsidR="0050074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propiedad se destine a rehabilitación, reconstrucción o uso comunitario </w:t>
      </w:r>
      <w:r w:rsidR="00E65A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en dicha zona, según certificado por el Departamento de 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</w:t>
      </w:r>
      <w:r w:rsidR="00E65AA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Vivienda; </w:t>
      </w:r>
      <w:bookmarkEnd w:id="8"/>
    </w:p>
    <w:p w14:paraId="19958BF0" w14:textId="77777777" w:rsidR="000D383E" w:rsidRPr="007A54C0" w:rsidRDefault="000D383E" w:rsidP="009857F2">
      <w:pPr>
        <w:spacing w:line="504" w:lineRule="auto"/>
        <w:ind w:left="189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(D) </w:t>
      </w:r>
      <w:r w:rsidR="00D62AB4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bookmarkStart w:id="9" w:name="_Hlk196141791"/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Esta </w:t>
      </w:r>
      <w:r w:rsidR="00672AD8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exención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no aplicar</w:t>
      </w:r>
      <w:r w:rsidR="0073045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á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 propiedades </w:t>
      </w:r>
      <w:r w:rsidR="0022137A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adquiridas con fines especulativos o por entidades dedicadas al desarrollo inmobiliario comercial; </w:t>
      </w:r>
      <w:bookmarkEnd w:id="9"/>
    </w:p>
    <w:p w14:paraId="6907C5B2" w14:textId="7E4183D3" w:rsidR="00063949" w:rsidRPr="007A54C0" w:rsidRDefault="00174FC6" w:rsidP="009857F2">
      <w:pPr>
        <w:spacing w:line="504" w:lineRule="auto"/>
        <w:ind w:left="1890" w:hanging="54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(</w:t>
      </w:r>
      <w:r w:rsidR="00BF7BC0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E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)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bookmarkStart w:id="10" w:name="_Hlk196141836"/>
      <w:r w:rsidR="00833B92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El vendedor </w:t>
      </w:r>
      <w:r w:rsidR="00AD71E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no haya utilizado esta exención en </w:t>
      </w:r>
      <w:r w:rsidR="00193B6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más</w:t>
      </w:r>
      <w:r w:rsidR="00AD71E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una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transacción</w:t>
      </w:r>
      <w:r w:rsidR="00AD71E9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 los últimos cinco (5) años.</w:t>
      </w:r>
      <w:r w:rsidR="003702E5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”</w:t>
      </w:r>
      <w:r w:rsidR="00833B92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</w:p>
    <w:bookmarkEnd w:id="10"/>
    <w:p w14:paraId="6A381A46" w14:textId="77777777" w:rsidR="00BF47A3" w:rsidRPr="007A54C0" w:rsidRDefault="00BF47A3" w:rsidP="009857F2">
      <w:pPr>
        <w:spacing w:line="504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</w:t>
      </w:r>
      <w:r w:rsidR="00F5400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1</w:t>
      </w:r>
      <w:r w:rsidR="00FB772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0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  <w:r w:rsidR="00F5400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-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Reglamentación</w:t>
      </w:r>
    </w:p>
    <w:p w14:paraId="0554DCC1" w14:textId="77777777" w:rsidR="00C74475" w:rsidRPr="007A54C0" w:rsidRDefault="00316496" w:rsidP="009857F2">
      <w:pPr>
        <w:pStyle w:val="my-0"/>
        <w:spacing w:before="0" w:beforeAutospacing="0" w:after="0" w:afterAutospacing="0" w:line="504" w:lineRule="auto"/>
        <w:ind w:firstLine="720"/>
        <w:jc w:val="both"/>
        <w:rPr>
          <w:rFonts w:ascii="Book Antiqua" w:hAnsi="Book Antiqua" w:cs="Segoe UI"/>
          <w:lang w:val="es-PR"/>
        </w:rPr>
      </w:pPr>
      <w:r w:rsidRPr="007A54C0">
        <w:rPr>
          <w:rFonts w:ascii="Book Antiqua" w:hAnsi="Book Antiqua" w:cs="Segoe UI"/>
          <w:lang w:val="es-PR"/>
        </w:rPr>
        <w:t>Los</w:t>
      </w:r>
      <w:r w:rsidR="00C74475" w:rsidRPr="007A54C0">
        <w:rPr>
          <w:rFonts w:ascii="Book Antiqua" w:hAnsi="Book Antiqua" w:cs="Segoe UI"/>
          <w:lang w:val="es-PR"/>
        </w:rPr>
        <w:t xml:space="preserve"> Secretario</w:t>
      </w:r>
      <w:r w:rsidR="008D3A08" w:rsidRPr="007A54C0">
        <w:rPr>
          <w:rFonts w:ascii="Book Antiqua" w:hAnsi="Book Antiqua" w:cs="Segoe UI"/>
          <w:lang w:val="es-PR"/>
        </w:rPr>
        <w:t>s</w:t>
      </w:r>
      <w:r w:rsidR="00C74475" w:rsidRPr="007A54C0">
        <w:rPr>
          <w:rFonts w:ascii="Book Antiqua" w:hAnsi="Book Antiqua" w:cs="Segoe UI"/>
          <w:lang w:val="es-PR"/>
        </w:rPr>
        <w:t xml:space="preserve"> del Departamento</w:t>
      </w:r>
      <w:r w:rsidRPr="007A54C0">
        <w:rPr>
          <w:rFonts w:ascii="Book Antiqua" w:hAnsi="Book Antiqua" w:cs="Segoe UI"/>
          <w:lang w:val="es-PR"/>
        </w:rPr>
        <w:t xml:space="preserve"> de la Vivienda y Departamento</w:t>
      </w:r>
      <w:r w:rsidR="00C74475" w:rsidRPr="007A54C0">
        <w:rPr>
          <w:rFonts w:ascii="Book Antiqua" w:hAnsi="Book Antiqua" w:cs="Segoe UI"/>
          <w:lang w:val="es-PR"/>
        </w:rPr>
        <w:t xml:space="preserve"> de Hacienda queda</w:t>
      </w:r>
      <w:r w:rsidRPr="007A54C0">
        <w:rPr>
          <w:rFonts w:ascii="Book Antiqua" w:hAnsi="Book Antiqua" w:cs="Segoe UI"/>
          <w:lang w:val="es-PR"/>
        </w:rPr>
        <w:t>n</w:t>
      </w:r>
      <w:r w:rsidR="00C74475" w:rsidRPr="007A54C0">
        <w:rPr>
          <w:rFonts w:ascii="Book Antiqua" w:hAnsi="Book Antiqua" w:cs="Segoe UI"/>
          <w:lang w:val="es-PR"/>
        </w:rPr>
        <w:t xml:space="preserve"> expresamente autorizado</w:t>
      </w:r>
      <w:r w:rsidRPr="007A54C0">
        <w:rPr>
          <w:rFonts w:ascii="Book Antiqua" w:hAnsi="Book Antiqua" w:cs="Segoe UI"/>
          <w:lang w:val="es-PR"/>
        </w:rPr>
        <w:t>s</w:t>
      </w:r>
      <w:r w:rsidR="00C74475" w:rsidRPr="007A54C0">
        <w:rPr>
          <w:rFonts w:ascii="Book Antiqua" w:hAnsi="Book Antiqua" w:cs="Segoe UI"/>
          <w:lang w:val="es-PR"/>
        </w:rPr>
        <w:t xml:space="preserve"> y facultado</w:t>
      </w:r>
      <w:r w:rsidRPr="007A54C0">
        <w:rPr>
          <w:rFonts w:ascii="Book Antiqua" w:hAnsi="Book Antiqua" w:cs="Segoe UI"/>
          <w:lang w:val="es-PR"/>
        </w:rPr>
        <w:t>s</w:t>
      </w:r>
      <w:r w:rsidR="00C74475" w:rsidRPr="007A54C0">
        <w:rPr>
          <w:rFonts w:ascii="Book Antiqua" w:hAnsi="Book Antiqua" w:cs="Segoe UI"/>
          <w:lang w:val="es-PR"/>
        </w:rPr>
        <w:t xml:space="preserve"> para adoptar, promulgar, enmendar y derogar los reglamentos necesarios para implementar las disposiciones contenidas en esta Ley. Dichos reglamentos deberán ser adoptados conforme a las disposiciones de la </w:t>
      </w:r>
      <w:r w:rsidR="00C74475" w:rsidRPr="007A54C0">
        <w:rPr>
          <w:rFonts w:ascii="Book Antiqua" w:hAnsi="Book Antiqua" w:cs="Segoe UI"/>
          <w:lang w:val="es-PR"/>
        </w:rPr>
        <w:lastRenderedPageBreak/>
        <w:t xml:space="preserve">Ley 38-2017, según enmendada, conocida como “Ley de Procedimiento Administrativo Uniforme del Gobierno de Puerto Rico”.  </w:t>
      </w:r>
    </w:p>
    <w:p w14:paraId="23A58C1E" w14:textId="6F50DBCF" w:rsidR="00513772" w:rsidRPr="007A54C0" w:rsidRDefault="00C74475" w:rsidP="009857F2">
      <w:pPr>
        <w:pStyle w:val="my-0"/>
        <w:spacing w:before="0" w:beforeAutospacing="0" w:after="0" w:afterAutospacing="0" w:line="504" w:lineRule="auto"/>
        <w:ind w:firstLine="720"/>
        <w:jc w:val="both"/>
        <w:rPr>
          <w:rFonts w:ascii="Book Antiqua" w:hAnsi="Book Antiqua" w:cs="Segoe UI"/>
          <w:lang w:val="es-PR"/>
        </w:rPr>
      </w:pPr>
      <w:r w:rsidRPr="007A54C0">
        <w:rPr>
          <w:rFonts w:ascii="Book Antiqua" w:hAnsi="Book Antiqua" w:cs="Segoe UI"/>
          <w:lang w:val="es-PR"/>
        </w:rPr>
        <w:t xml:space="preserve">Asimismo, cualquier normativa aplicable que esté vigente al momento de la aprobación de esta Ley deberá ser modificada o enmendada, en la medida que sea necesario, para garantizar el cumplimiento con los propósitos y objetivos establecidos en esta Ley. Para lo cual, </w:t>
      </w:r>
      <w:r w:rsidR="008155D7" w:rsidRPr="007A54C0">
        <w:rPr>
          <w:rFonts w:ascii="Book Antiqua" w:hAnsi="Book Antiqua" w:cs="Segoe UI"/>
          <w:lang w:val="es-PR"/>
        </w:rPr>
        <w:t>los Secretario</w:t>
      </w:r>
      <w:r w:rsidR="003B117F" w:rsidRPr="007A54C0">
        <w:rPr>
          <w:rFonts w:ascii="Book Antiqua" w:hAnsi="Book Antiqua" w:cs="Segoe UI"/>
          <w:lang w:val="es-PR"/>
        </w:rPr>
        <w:t>s</w:t>
      </w:r>
      <w:r w:rsidR="008155D7" w:rsidRPr="007A54C0">
        <w:rPr>
          <w:rFonts w:ascii="Book Antiqua" w:hAnsi="Book Antiqua" w:cs="Segoe UI"/>
          <w:lang w:val="es-PR"/>
        </w:rPr>
        <w:t xml:space="preserve"> del Departamento de la Vivienda y Departamento de Hacienda </w:t>
      </w:r>
      <w:r w:rsidRPr="007A54C0">
        <w:rPr>
          <w:rFonts w:ascii="Book Antiqua" w:hAnsi="Book Antiqua" w:cs="Segoe UI"/>
          <w:lang w:val="es-PR"/>
        </w:rPr>
        <w:t>tendrá</w:t>
      </w:r>
      <w:r w:rsidR="00335076" w:rsidRPr="007A54C0">
        <w:rPr>
          <w:rFonts w:ascii="Book Antiqua" w:hAnsi="Book Antiqua" w:cs="Segoe UI"/>
          <w:lang w:val="es-PR"/>
        </w:rPr>
        <w:t>n</w:t>
      </w:r>
      <w:r w:rsidRPr="007A54C0">
        <w:rPr>
          <w:rFonts w:ascii="Book Antiqua" w:hAnsi="Book Antiqua" w:cs="Segoe UI"/>
          <w:lang w:val="es-PR"/>
        </w:rPr>
        <w:t xml:space="preserve"> un término máximo de </w:t>
      </w:r>
      <w:r w:rsidR="00763C6D" w:rsidRPr="007A54C0">
        <w:rPr>
          <w:rFonts w:ascii="Book Antiqua" w:hAnsi="Book Antiqua" w:cs="Segoe UI"/>
          <w:lang w:val="es-PR"/>
        </w:rPr>
        <w:t xml:space="preserve">ciento ochenta </w:t>
      </w:r>
      <w:r w:rsidRPr="007A54C0">
        <w:rPr>
          <w:rFonts w:ascii="Book Antiqua" w:hAnsi="Book Antiqua" w:cs="Segoe UI"/>
          <w:lang w:val="es-PR"/>
        </w:rPr>
        <w:t>(</w:t>
      </w:r>
      <w:r w:rsidR="00763C6D" w:rsidRPr="007A54C0">
        <w:rPr>
          <w:rFonts w:ascii="Book Antiqua" w:hAnsi="Book Antiqua" w:cs="Segoe UI"/>
          <w:lang w:val="es-PR"/>
        </w:rPr>
        <w:t>180</w:t>
      </w:r>
      <w:r w:rsidRPr="007A54C0">
        <w:rPr>
          <w:rFonts w:ascii="Book Antiqua" w:hAnsi="Book Antiqua" w:cs="Segoe UI"/>
          <w:lang w:val="es-PR"/>
        </w:rPr>
        <w:t>) días a partir de la aprobación de esta Ley para adoptar los reglamentos correspondientes.</w:t>
      </w:r>
    </w:p>
    <w:p w14:paraId="20FD10A0" w14:textId="77777777" w:rsidR="00E137FF" w:rsidRPr="007A54C0" w:rsidRDefault="005062C0" w:rsidP="009857F2">
      <w:pPr>
        <w:spacing w:line="504" w:lineRule="auto"/>
        <w:ind w:firstLine="720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</w:t>
      </w:r>
      <w:r w:rsidR="00F5400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1</w:t>
      </w:r>
      <w:r w:rsidR="00FB772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1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.-Separabilidad. </w:t>
      </w:r>
    </w:p>
    <w:p w14:paraId="277386AB" w14:textId="70FE023C" w:rsidR="00E137FF" w:rsidRPr="007A54C0" w:rsidRDefault="005062C0" w:rsidP="009857F2">
      <w:pPr>
        <w:spacing w:line="504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</w:t>
      </w:r>
      <w:r w:rsidR="00B91B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</w:t>
      </w:r>
      <w:r w:rsidR="006D41A1">
        <w:rPr>
          <w:rFonts w:ascii="Book Antiqua" w:eastAsia="Times New Roman" w:hAnsi="Book Antiqua" w:cs="Times New Roman"/>
          <w:sz w:val="24"/>
          <w:szCs w:val="24"/>
          <w:lang w:val="es-PR"/>
        </w:rPr>
        <w:t>e</w:t>
      </w:r>
      <w:r w:rsidR="00B91B7C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sta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que así hubiere sido anulada o declarada inconstitucional. Si la aplicación a una persona o a una circunstancia de cualquier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remanente de esta Ley a aquellas personas o circunstancias en que se pueda aplicar válidamente. </w:t>
      </w:r>
    </w:p>
    <w:p w14:paraId="16021EF9" w14:textId="77777777" w:rsidR="00E137FF" w:rsidRPr="007A54C0" w:rsidRDefault="005062C0" w:rsidP="009857F2">
      <w:pPr>
        <w:spacing w:line="504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Artículo </w:t>
      </w:r>
      <w:r w:rsidR="00F54007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1</w:t>
      </w:r>
      <w:r w:rsidR="00FB772F"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>2</w:t>
      </w: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.-Vigencia.  </w:t>
      </w:r>
    </w:p>
    <w:p w14:paraId="6A6AE98E" w14:textId="77777777" w:rsidR="00E137FF" w:rsidRDefault="005062C0" w:rsidP="009857F2">
      <w:pPr>
        <w:spacing w:line="504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7A54C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Esta Ley comenzará a regir inmediatamente después de su aprobación. </w:t>
      </w:r>
    </w:p>
    <w:p w14:paraId="11C4FB31" w14:textId="77777777" w:rsidR="00D81E8D" w:rsidRDefault="00D81E8D" w:rsidP="00D81E8D">
      <w:pPr>
        <w:suppressLineNumbers/>
        <w:spacing w:line="504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sectPr w:rsidR="00D81E8D" w:rsidSect="009C2498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17FE3" w14:textId="77777777" w:rsidR="00AA7F36" w:rsidRDefault="00AA7F36">
      <w:pPr>
        <w:spacing w:line="240" w:lineRule="auto"/>
      </w:pPr>
      <w:r>
        <w:separator/>
      </w:r>
    </w:p>
  </w:endnote>
  <w:endnote w:type="continuationSeparator" w:id="0">
    <w:p w14:paraId="708FE247" w14:textId="77777777" w:rsidR="00AA7F36" w:rsidRDefault="00AA7F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FE690" w14:textId="77777777" w:rsidR="00AA7F36" w:rsidRDefault="00AA7F36">
      <w:pPr>
        <w:spacing w:line="240" w:lineRule="auto"/>
      </w:pPr>
      <w:r>
        <w:separator/>
      </w:r>
    </w:p>
  </w:footnote>
  <w:footnote w:type="continuationSeparator" w:id="0">
    <w:p w14:paraId="392D7B29" w14:textId="77777777" w:rsidR="00AA7F36" w:rsidRDefault="00AA7F36">
      <w:pPr>
        <w:spacing w:line="240" w:lineRule="auto"/>
      </w:pPr>
      <w:r>
        <w:continuationSeparator/>
      </w:r>
    </w:p>
  </w:footnote>
  <w:footnote w:id="1">
    <w:p w14:paraId="45FBC546" w14:textId="77777777" w:rsidR="00306151" w:rsidRPr="005F6B61" w:rsidRDefault="00306151">
      <w:pPr>
        <w:pStyle w:val="FootnoteText"/>
        <w:rPr>
          <w:rFonts w:ascii="Book Antiqua" w:hAnsi="Book Antiqua"/>
          <w:lang w:val="es-PR"/>
        </w:rPr>
      </w:pPr>
      <w:r w:rsidRPr="00306151">
        <w:rPr>
          <w:rStyle w:val="FootnoteReference"/>
          <w:rFonts w:ascii="Book Antiqua" w:hAnsi="Book Antiqua"/>
        </w:rPr>
        <w:footnoteRef/>
      </w:r>
      <w:r w:rsidRPr="00306151">
        <w:rPr>
          <w:rFonts w:ascii="Book Antiqua" w:hAnsi="Book Antiqua"/>
          <w:lang w:val="es-PR"/>
        </w:rPr>
        <w:t xml:space="preserve"> </w:t>
      </w:r>
      <w:r w:rsidRPr="00306151">
        <w:rPr>
          <w:rFonts w:ascii="Book Antiqua" w:hAnsi="Book Antiqua"/>
          <w:i/>
          <w:iCs/>
          <w:lang w:val="es-PR"/>
        </w:rPr>
        <w:t>Cdbg-Dr</w:t>
      </w:r>
      <w:r w:rsidRPr="00306151">
        <w:rPr>
          <w:rFonts w:ascii="Book Antiqua" w:hAnsi="Book Antiqua"/>
          <w:lang w:val="es-PR"/>
        </w:rPr>
        <w:t xml:space="preserve">. (2023, noviembre 13). </w:t>
      </w:r>
      <w:r w:rsidRPr="005F6B61">
        <w:rPr>
          <w:rFonts w:ascii="Book Antiqua" w:hAnsi="Book Antiqua"/>
          <w:lang w:val="es-PR"/>
        </w:rPr>
        <w:t>CDBG. https://recuperacion.pr.gov/en/cdbg-dr/</w:t>
      </w:r>
    </w:p>
  </w:footnote>
  <w:footnote w:id="2">
    <w:p w14:paraId="66CBDD54" w14:textId="77777777" w:rsidR="00363EEA" w:rsidRPr="00B93652" w:rsidRDefault="00363EEA" w:rsidP="00094A06">
      <w:pPr>
        <w:pStyle w:val="NormalWeb"/>
        <w:tabs>
          <w:tab w:val="left" w:pos="180"/>
        </w:tabs>
        <w:spacing w:before="0" w:beforeAutospacing="0" w:after="0" w:afterAutospacing="0"/>
        <w:ind w:left="90" w:hanging="90"/>
        <w:rPr>
          <w:rFonts w:ascii="Book Antiqua" w:hAnsi="Book Antiqua"/>
          <w:sz w:val="20"/>
          <w:szCs w:val="20"/>
          <w:lang w:val="es-PR"/>
        </w:rPr>
      </w:pPr>
      <w:r w:rsidRPr="00B93652">
        <w:rPr>
          <w:rStyle w:val="FootnoteReference"/>
          <w:rFonts w:ascii="Book Antiqua" w:hAnsi="Book Antiqua"/>
          <w:sz w:val="20"/>
          <w:szCs w:val="20"/>
        </w:rPr>
        <w:footnoteRef/>
      </w:r>
      <w:r w:rsidR="00094A06">
        <w:rPr>
          <w:rFonts w:ascii="Book Antiqua" w:hAnsi="Book Antiqua"/>
          <w:sz w:val="20"/>
          <w:szCs w:val="20"/>
          <w:lang w:val="es-PR"/>
        </w:rPr>
        <w:t xml:space="preserve"> </w:t>
      </w:r>
      <w:r w:rsidR="00B93652" w:rsidRPr="00B93652">
        <w:rPr>
          <w:rFonts w:ascii="Book Antiqua" w:hAnsi="Book Antiqua"/>
          <w:sz w:val="20"/>
          <w:szCs w:val="20"/>
          <w:lang w:val="es-PR"/>
        </w:rPr>
        <w:t xml:space="preserve">Metro Puerto </w:t>
      </w:r>
      <w:r w:rsidRPr="00B93652">
        <w:rPr>
          <w:rFonts w:ascii="Book Antiqua" w:hAnsi="Book Antiqua"/>
          <w:sz w:val="20"/>
          <w:szCs w:val="20"/>
          <w:lang w:val="es-PR"/>
        </w:rPr>
        <w:t>Rico. (2023, diciembre 8). </w:t>
      </w:r>
      <w:r w:rsidRPr="00B93652">
        <w:rPr>
          <w:rFonts w:ascii="Book Antiqua" w:hAnsi="Book Antiqua"/>
          <w:i/>
          <w:iCs/>
          <w:sz w:val="20"/>
          <w:szCs w:val="20"/>
          <w:lang w:val="es-PR"/>
        </w:rPr>
        <w:t>Difícil lograr la reubicación con vales de Vivienda</w:t>
      </w:r>
      <w:r w:rsidRPr="00B93652">
        <w:rPr>
          <w:rFonts w:ascii="Book Antiqua" w:hAnsi="Book Antiqua"/>
          <w:sz w:val="20"/>
          <w:szCs w:val="20"/>
          <w:lang w:val="es-PR"/>
        </w:rPr>
        <w:t>. https://www.metro.pr/noticias/2023/12/08/dificil-lograr-la-reubicacion-con-vales-de-vivienda/</w:t>
      </w:r>
    </w:p>
    <w:p w14:paraId="35F6C39F" w14:textId="77777777" w:rsidR="00363EEA" w:rsidRPr="00363EEA" w:rsidRDefault="00363EEA">
      <w:pPr>
        <w:pStyle w:val="FootnoteText"/>
        <w:rPr>
          <w:lang w:val="es-PR"/>
        </w:rPr>
      </w:pPr>
    </w:p>
  </w:footnote>
  <w:footnote w:id="3">
    <w:p w14:paraId="56BB7803" w14:textId="77777777" w:rsidR="00332AE4" w:rsidRPr="00D34E57" w:rsidRDefault="00332AE4" w:rsidP="00D34E57">
      <w:pPr>
        <w:pStyle w:val="NormalWeb"/>
        <w:spacing w:before="0" w:beforeAutospacing="0" w:after="0" w:afterAutospacing="0"/>
        <w:ind w:left="90" w:hanging="90"/>
        <w:rPr>
          <w:rFonts w:ascii="Book Antiqua" w:hAnsi="Book Antiqua"/>
          <w:sz w:val="20"/>
          <w:szCs w:val="20"/>
        </w:rPr>
      </w:pPr>
      <w:r w:rsidRPr="00D34E57">
        <w:rPr>
          <w:rStyle w:val="FootnoteReference"/>
          <w:rFonts w:ascii="Book Antiqua" w:hAnsi="Book Antiqua"/>
          <w:sz w:val="20"/>
          <w:szCs w:val="20"/>
        </w:rPr>
        <w:footnoteRef/>
      </w:r>
      <w:r w:rsidRPr="00D34E57">
        <w:rPr>
          <w:rFonts w:ascii="Book Antiqua" w:hAnsi="Book Antiqua"/>
          <w:sz w:val="20"/>
          <w:szCs w:val="20"/>
        </w:rPr>
        <w:t xml:space="preserve"> “Puerto Rico’s Population Has Shrunk by 2%; Southwest Most Affected”. </w:t>
      </w:r>
      <w:r w:rsidRPr="00D34E57">
        <w:rPr>
          <w:rFonts w:ascii="Book Antiqua" w:hAnsi="Book Antiqua"/>
          <w:i/>
          <w:iCs/>
          <w:sz w:val="20"/>
          <w:szCs w:val="20"/>
        </w:rPr>
        <w:t>News Is My Business</w:t>
      </w:r>
      <w:r w:rsidRPr="00D34E57">
        <w:rPr>
          <w:rFonts w:ascii="Book Antiqua" w:hAnsi="Book Antiqua"/>
          <w:sz w:val="20"/>
          <w:szCs w:val="20"/>
        </w:rPr>
        <w:t>, el 31 de marzo de 2023, https:</w:t>
      </w:r>
      <w:r w:rsidR="00797FB4">
        <w:rPr>
          <w:rFonts w:ascii="Book Antiqua" w:hAnsi="Book Antiqua"/>
          <w:sz w:val="20"/>
          <w:szCs w:val="20"/>
        </w:rPr>
        <w:t>/</w:t>
      </w:r>
      <w:r w:rsidRPr="00D34E57">
        <w:rPr>
          <w:rFonts w:ascii="Book Antiqua" w:hAnsi="Book Antiqua"/>
          <w:sz w:val="20"/>
          <w:szCs w:val="20"/>
        </w:rPr>
        <w:t>/newsismybusiness.com/puerto-ricos-population-has-shrunk-by-2-southwest-most-affected/.</w:t>
      </w:r>
    </w:p>
  </w:footnote>
  <w:footnote w:id="4">
    <w:p w14:paraId="70F7EF57" w14:textId="77777777" w:rsidR="00D169EE" w:rsidRPr="00100956" w:rsidRDefault="00D169EE" w:rsidP="00100956">
      <w:pPr>
        <w:pStyle w:val="NormalWeb"/>
        <w:spacing w:before="0" w:beforeAutospacing="0" w:after="0" w:afterAutospacing="0"/>
        <w:ind w:left="90" w:hanging="90"/>
        <w:rPr>
          <w:rFonts w:ascii="Book Antiqua" w:hAnsi="Book Antiqua"/>
          <w:sz w:val="20"/>
          <w:szCs w:val="20"/>
          <w:lang w:val="es-PR"/>
        </w:rPr>
      </w:pPr>
      <w:r w:rsidRPr="00D34E57">
        <w:rPr>
          <w:rStyle w:val="FootnoteReference"/>
          <w:rFonts w:ascii="Book Antiqua" w:hAnsi="Book Antiqua"/>
          <w:sz w:val="20"/>
          <w:szCs w:val="20"/>
        </w:rPr>
        <w:footnoteRef/>
      </w:r>
      <w:r w:rsidRPr="00D34E57">
        <w:rPr>
          <w:rFonts w:ascii="Book Antiqua" w:hAnsi="Book Antiqua"/>
          <w:sz w:val="20"/>
          <w:szCs w:val="20"/>
        </w:rPr>
        <w:t xml:space="preserve"> </w:t>
      </w:r>
      <w:r w:rsidR="00D34E57">
        <w:rPr>
          <w:rFonts w:ascii="Book Antiqua" w:hAnsi="Book Antiqua"/>
          <w:sz w:val="20"/>
          <w:szCs w:val="20"/>
        </w:rPr>
        <w:t>“</w:t>
      </w:r>
      <w:r w:rsidR="00372D42" w:rsidRPr="00D34E57">
        <w:rPr>
          <w:rFonts w:ascii="Book Antiqua" w:hAnsi="Book Antiqua"/>
          <w:sz w:val="20"/>
          <w:szCs w:val="20"/>
        </w:rPr>
        <w:t xml:space="preserve">After Katrina: Rebuilding Opportunity and Equity into the </w:t>
      </w:r>
      <w:r w:rsidR="00D34E57" w:rsidRPr="00D34E57">
        <w:rPr>
          <w:rFonts w:ascii="Book Antiqua" w:hAnsi="Book Antiqua"/>
          <w:i/>
          <w:iCs/>
          <w:sz w:val="20"/>
          <w:szCs w:val="20"/>
        </w:rPr>
        <w:t>New</w:t>
      </w:r>
      <w:r w:rsidR="00D34E57" w:rsidRPr="00D34E57">
        <w:rPr>
          <w:rFonts w:ascii="Book Antiqua" w:hAnsi="Book Antiqua"/>
          <w:sz w:val="20"/>
          <w:szCs w:val="20"/>
        </w:rPr>
        <w:t xml:space="preserve"> New Orleans</w:t>
      </w:r>
      <w:r w:rsidR="00D34E57">
        <w:rPr>
          <w:rFonts w:ascii="Book Antiqua" w:hAnsi="Book Antiqua"/>
          <w:sz w:val="20"/>
          <w:szCs w:val="20"/>
        </w:rPr>
        <w:t>”</w:t>
      </w:r>
      <w:r w:rsidR="00D34E57" w:rsidRPr="00D34E57">
        <w:rPr>
          <w:rFonts w:ascii="Book Antiqua" w:hAnsi="Book Antiqua"/>
          <w:sz w:val="20"/>
          <w:szCs w:val="20"/>
        </w:rPr>
        <w:t xml:space="preserve">. </w:t>
      </w:r>
      <w:r w:rsidR="00D34E57" w:rsidRPr="00D34E57">
        <w:rPr>
          <w:rFonts w:ascii="Book Antiqua" w:hAnsi="Book Antiqua"/>
          <w:sz w:val="20"/>
          <w:szCs w:val="20"/>
          <w:lang w:val="es-PR"/>
        </w:rPr>
        <w:t xml:space="preserve">The Urban Institute. </w:t>
      </w:r>
      <w:r w:rsidRPr="00D34E57">
        <w:rPr>
          <w:rFonts w:ascii="Book Antiqua" w:hAnsi="Book Antiqua"/>
          <w:sz w:val="20"/>
          <w:szCs w:val="20"/>
          <w:lang w:val="es-PR"/>
        </w:rPr>
        <w:t>Urban.org. Recuperado de https://www.urban.org/sites/default/files/publication/51026/900914-Rebuilding-Affordable-Housing-in-New-Orleans.PDF</w:t>
      </w:r>
    </w:p>
  </w:footnote>
  <w:footnote w:id="5">
    <w:p w14:paraId="72A5DE27" w14:textId="77777777" w:rsidR="00EE4AB6" w:rsidRPr="00EE4AB6" w:rsidRDefault="00EE4AB6" w:rsidP="00100956">
      <w:pPr>
        <w:pStyle w:val="NormalWeb"/>
        <w:spacing w:before="0" w:beforeAutospacing="0" w:after="0" w:afterAutospacing="0"/>
        <w:ind w:left="90" w:hanging="90"/>
        <w:rPr>
          <w:rFonts w:ascii="Book Antiqua" w:hAnsi="Book Antiqua"/>
          <w:sz w:val="20"/>
          <w:szCs w:val="20"/>
        </w:rPr>
      </w:pPr>
      <w:r w:rsidRPr="00EE4AB6">
        <w:rPr>
          <w:rStyle w:val="FootnoteReference"/>
          <w:rFonts w:ascii="Book Antiqua" w:hAnsi="Book Antiqua"/>
          <w:sz w:val="20"/>
          <w:szCs w:val="20"/>
        </w:rPr>
        <w:footnoteRef/>
      </w:r>
      <w:r w:rsidRPr="00EE4AB6">
        <w:rPr>
          <w:rFonts w:ascii="Book Antiqua" w:hAnsi="Book Antiqua"/>
          <w:sz w:val="20"/>
          <w:szCs w:val="20"/>
        </w:rPr>
        <w:t>Equal Rights Center. (2023, mayo 17). Housing discrimination against people with vouchers in DC is illegal! A guide to new protections under the Eviction Record Sealing and Fairness in Renting Amendment Act. </w:t>
      </w:r>
      <w:r w:rsidRPr="00EE4AB6">
        <w:rPr>
          <w:rFonts w:ascii="Book Antiqua" w:hAnsi="Book Antiqua"/>
          <w:i/>
          <w:iCs/>
          <w:sz w:val="20"/>
          <w:szCs w:val="20"/>
        </w:rPr>
        <w:t>Equal Rights Center – Identifying Unlawful and Unfair Discrimination</w:t>
      </w:r>
      <w:r w:rsidRPr="00EE4AB6">
        <w:rPr>
          <w:rFonts w:ascii="Book Antiqua" w:hAnsi="Book Antiqua"/>
          <w:sz w:val="20"/>
          <w:szCs w:val="20"/>
        </w:rPr>
        <w:t>. https://equalrightscenter.org/voucher-discrimination-new-protections/</w:t>
      </w:r>
    </w:p>
    <w:p w14:paraId="6048809E" w14:textId="77777777" w:rsidR="00EE4AB6" w:rsidRPr="00EE4AB6" w:rsidRDefault="00EE4AB6">
      <w:pPr>
        <w:pStyle w:val="FootnoteText"/>
        <w:rPr>
          <w:lang w:val="en-US"/>
        </w:rPr>
      </w:pP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68C14" w14:textId="77777777" w:rsidR="00E137FF" w:rsidRDefault="005062C0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B91B7C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8C62" w14:textId="77777777" w:rsidR="007A54C0" w:rsidRDefault="007A54C0" w:rsidP="007A54C0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spacing w:line="240" w:lineRule="auto"/>
      <w:jc w:val="center"/>
      <w:rPr>
        <w:rFonts w:ascii="Book Antiqua" w:eastAsia="Times New Roman" w:hAnsi="Book Antiqua"/>
        <w:b/>
        <w:sz w:val="24"/>
        <w:szCs w:val="20"/>
        <w:lang w:val="es-ES"/>
      </w:rPr>
    </w:pPr>
    <w:bookmarkStart w:id="4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702793E5" w14:textId="77777777" w:rsidR="007A54C0" w:rsidRDefault="007A54C0" w:rsidP="007A54C0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spacing w:line="240" w:lineRule="auto"/>
      <w:jc w:val="center"/>
      <w:rPr>
        <w:rFonts w:ascii="Book Antiqua" w:eastAsia="MS Mincho" w:hAnsi="Book Antiqua"/>
        <w:b/>
        <w:lang w:val="en-US"/>
      </w:rPr>
    </w:pPr>
    <w:r>
      <w:rPr>
        <w:rFonts w:ascii="Book Antiqua" w:eastAsia="MS Mincho" w:hAnsi="Book Antiqua"/>
        <w:b/>
      </w:rPr>
      <w:t>(23 DE OCTUBRE DE 2025)</w:t>
    </w:r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EE3"/>
    <w:multiLevelType w:val="multilevel"/>
    <w:tmpl w:val="9E34D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60D75"/>
    <w:multiLevelType w:val="multilevel"/>
    <w:tmpl w:val="D2C2EE5E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1A4A45DC"/>
    <w:multiLevelType w:val="hybridMultilevel"/>
    <w:tmpl w:val="678014D8"/>
    <w:lvl w:ilvl="0" w:tplc="E0DE2212">
      <w:start w:val="1"/>
      <w:numFmt w:val="lowerRoman"/>
      <w:lvlText w:val="(%1)"/>
      <w:lvlJc w:val="right"/>
      <w:pPr>
        <w:ind w:left="1980" w:hanging="360"/>
      </w:pPr>
      <w:rPr>
        <w:rFonts w:ascii="Book Antiqua" w:eastAsia="Arial" w:hAnsi="Book Antiqua" w:cs="Arial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25CF2933"/>
    <w:multiLevelType w:val="hybridMultilevel"/>
    <w:tmpl w:val="0A28248A"/>
    <w:lvl w:ilvl="0" w:tplc="3F0282F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813E70"/>
    <w:multiLevelType w:val="hybridMultilevel"/>
    <w:tmpl w:val="1B2CD9FC"/>
    <w:lvl w:ilvl="0" w:tplc="CA4A09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42222"/>
    <w:multiLevelType w:val="multilevel"/>
    <w:tmpl w:val="3E26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B473F2"/>
    <w:multiLevelType w:val="multilevel"/>
    <w:tmpl w:val="BE1C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271CA8"/>
    <w:multiLevelType w:val="hybridMultilevel"/>
    <w:tmpl w:val="B4D853F2"/>
    <w:lvl w:ilvl="0" w:tplc="DB20EBF6">
      <w:start w:val="1"/>
      <w:numFmt w:val="lowerRoman"/>
      <w:lvlText w:val="(%1)"/>
      <w:lvlJc w:val="left"/>
      <w:pPr>
        <w:ind w:left="720" w:hanging="360"/>
      </w:pPr>
      <w:rPr>
        <w:rFonts w:ascii="Book Antiqua" w:eastAsia="Times New Roman" w:hAnsi="Book Antiqua" w:cs="Times New Roman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FC0649"/>
    <w:multiLevelType w:val="multilevel"/>
    <w:tmpl w:val="BB6E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605722"/>
    <w:multiLevelType w:val="multilevel"/>
    <w:tmpl w:val="0F82567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169373124">
    <w:abstractNumId w:val="1"/>
  </w:num>
  <w:num w:numId="2" w16cid:durableId="497768532">
    <w:abstractNumId w:val="9"/>
  </w:num>
  <w:num w:numId="3" w16cid:durableId="1378504205">
    <w:abstractNumId w:val="7"/>
  </w:num>
  <w:num w:numId="4" w16cid:durableId="334306534">
    <w:abstractNumId w:val="6"/>
  </w:num>
  <w:num w:numId="5" w16cid:durableId="1208025377">
    <w:abstractNumId w:val="8"/>
  </w:num>
  <w:num w:numId="6" w16cid:durableId="2133669548">
    <w:abstractNumId w:val="0"/>
  </w:num>
  <w:num w:numId="7" w16cid:durableId="719666915">
    <w:abstractNumId w:val="5"/>
  </w:num>
  <w:num w:numId="8" w16cid:durableId="1476221320">
    <w:abstractNumId w:val="3"/>
  </w:num>
  <w:num w:numId="9" w16cid:durableId="2130583584">
    <w:abstractNumId w:val="4"/>
  </w:num>
  <w:num w:numId="10" w16cid:durableId="806895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53A"/>
    <w:rsid w:val="00003813"/>
    <w:rsid w:val="00005380"/>
    <w:rsid w:val="00007BE8"/>
    <w:rsid w:val="0001163A"/>
    <w:rsid w:val="00015D74"/>
    <w:rsid w:val="00016871"/>
    <w:rsid w:val="00016C01"/>
    <w:rsid w:val="0002251F"/>
    <w:rsid w:val="000277C0"/>
    <w:rsid w:val="00030211"/>
    <w:rsid w:val="00041292"/>
    <w:rsid w:val="00041C0A"/>
    <w:rsid w:val="00044DAF"/>
    <w:rsid w:val="000450B0"/>
    <w:rsid w:val="00052858"/>
    <w:rsid w:val="000544C0"/>
    <w:rsid w:val="00056401"/>
    <w:rsid w:val="00063949"/>
    <w:rsid w:val="000643AF"/>
    <w:rsid w:val="00065C11"/>
    <w:rsid w:val="00071DEB"/>
    <w:rsid w:val="00075757"/>
    <w:rsid w:val="0008341A"/>
    <w:rsid w:val="00084DBE"/>
    <w:rsid w:val="00092D18"/>
    <w:rsid w:val="00094A06"/>
    <w:rsid w:val="0009742A"/>
    <w:rsid w:val="000A0031"/>
    <w:rsid w:val="000B129D"/>
    <w:rsid w:val="000B1D38"/>
    <w:rsid w:val="000B520F"/>
    <w:rsid w:val="000C223B"/>
    <w:rsid w:val="000C321D"/>
    <w:rsid w:val="000C49C1"/>
    <w:rsid w:val="000C516D"/>
    <w:rsid w:val="000C6AC7"/>
    <w:rsid w:val="000D1110"/>
    <w:rsid w:val="000D3683"/>
    <w:rsid w:val="000D383E"/>
    <w:rsid w:val="000D4129"/>
    <w:rsid w:val="000E0E92"/>
    <w:rsid w:val="000E107B"/>
    <w:rsid w:val="000E27F2"/>
    <w:rsid w:val="000E2918"/>
    <w:rsid w:val="000F0991"/>
    <w:rsid w:val="000F1530"/>
    <w:rsid w:val="000F1B51"/>
    <w:rsid w:val="00100956"/>
    <w:rsid w:val="00101204"/>
    <w:rsid w:val="00103A08"/>
    <w:rsid w:val="0011110A"/>
    <w:rsid w:val="00114FD7"/>
    <w:rsid w:val="001227E6"/>
    <w:rsid w:val="00125275"/>
    <w:rsid w:val="001267BB"/>
    <w:rsid w:val="00130EC7"/>
    <w:rsid w:val="00131AD5"/>
    <w:rsid w:val="00131ADD"/>
    <w:rsid w:val="00135076"/>
    <w:rsid w:val="001378DD"/>
    <w:rsid w:val="0014486D"/>
    <w:rsid w:val="001534FF"/>
    <w:rsid w:val="001543EF"/>
    <w:rsid w:val="001633DF"/>
    <w:rsid w:val="0016783B"/>
    <w:rsid w:val="00170C1F"/>
    <w:rsid w:val="00172B80"/>
    <w:rsid w:val="00173386"/>
    <w:rsid w:val="00174FC6"/>
    <w:rsid w:val="0018165A"/>
    <w:rsid w:val="00183604"/>
    <w:rsid w:val="00187542"/>
    <w:rsid w:val="001901EA"/>
    <w:rsid w:val="00193A8C"/>
    <w:rsid w:val="00193B6C"/>
    <w:rsid w:val="00197273"/>
    <w:rsid w:val="001A484F"/>
    <w:rsid w:val="001A4FA4"/>
    <w:rsid w:val="001A7389"/>
    <w:rsid w:val="001B7FD2"/>
    <w:rsid w:val="001C1343"/>
    <w:rsid w:val="001C2428"/>
    <w:rsid w:val="001C7C2C"/>
    <w:rsid w:val="001D2B64"/>
    <w:rsid w:val="001D7D70"/>
    <w:rsid w:val="001E015D"/>
    <w:rsid w:val="001E3667"/>
    <w:rsid w:val="001F0B16"/>
    <w:rsid w:val="002030F1"/>
    <w:rsid w:val="00204000"/>
    <w:rsid w:val="00207253"/>
    <w:rsid w:val="00207ACF"/>
    <w:rsid w:val="00220990"/>
    <w:rsid w:val="00220C5C"/>
    <w:rsid w:val="0022137A"/>
    <w:rsid w:val="0022598A"/>
    <w:rsid w:val="0023461C"/>
    <w:rsid w:val="00236A59"/>
    <w:rsid w:val="002427DF"/>
    <w:rsid w:val="00247EA4"/>
    <w:rsid w:val="00252C22"/>
    <w:rsid w:val="00256255"/>
    <w:rsid w:val="00260E62"/>
    <w:rsid w:val="00262B68"/>
    <w:rsid w:val="00272257"/>
    <w:rsid w:val="00280060"/>
    <w:rsid w:val="002803DE"/>
    <w:rsid w:val="002826DC"/>
    <w:rsid w:val="00284CD4"/>
    <w:rsid w:val="002864FD"/>
    <w:rsid w:val="00295106"/>
    <w:rsid w:val="00295875"/>
    <w:rsid w:val="0029587E"/>
    <w:rsid w:val="002958DF"/>
    <w:rsid w:val="0029793F"/>
    <w:rsid w:val="002A17B2"/>
    <w:rsid w:val="002A7086"/>
    <w:rsid w:val="002B0088"/>
    <w:rsid w:val="002B0E44"/>
    <w:rsid w:val="002B1883"/>
    <w:rsid w:val="002C1643"/>
    <w:rsid w:val="002D3DC7"/>
    <w:rsid w:val="002D5979"/>
    <w:rsid w:val="002E0636"/>
    <w:rsid w:val="002E337B"/>
    <w:rsid w:val="002F1D29"/>
    <w:rsid w:val="002F1FD6"/>
    <w:rsid w:val="002F3591"/>
    <w:rsid w:val="003016D6"/>
    <w:rsid w:val="0030251E"/>
    <w:rsid w:val="00302702"/>
    <w:rsid w:val="00306151"/>
    <w:rsid w:val="003063F9"/>
    <w:rsid w:val="003130D7"/>
    <w:rsid w:val="0031317E"/>
    <w:rsid w:val="00316009"/>
    <w:rsid w:val="00316496"/>
    <w:rsid w:val="0031772D"/>
    <w:rsid w:val="00323684"/>
    <w:rsid w:val="0033132F"/>
    <w:rsid w:val="00332AE4"/>
    <w:rsid w:val="00335076"/>
    <w:rsid w:val="003441F7"/>
    <w:rsid w:val="00344B46"/>
    <w:rsid w:val="00353D3D"/>
    <w:rsid w:val="0035584B"/>
    <w:rsid w:val="00357E3A"/>
    <w:rsid w:val="00363EEA"/>
    <w:rsid w:val="00367123"/>
    <w:rsid w:val="003679F7"/>
    <w:rsid w:val="003702E5"/>
    <w:rsid w:val="00371E8B"/>
    <w:rsid w:val="00372B10"/>
    <w:rsid w:val="00372D42"/>
    <w:rsid w:val="00376757"/>
    <w:rsid w:val="00377DFF"/>
    <w:rsid w:val="003855F8"/>
    <w:rsid w:val="00386187"/>
    <w:rsid w:val="00386481"/>
    <w:rsid w:val="003A0E9F"/>
    <w:rsid w:val="003A49E4"/>
    <w:rsid w:val="003B0054"/>
    <w:rsid w:val="003B0A52"/>
    <w:rsid w:val="003B117F"/>
    <w:rsid w:val="003B2123"/>
    <w:rsid w:val="003B7CA7"/>
    <w:rsid w:val="003C1B64"/>
    <w:rsid w:val="003C1B69"/>
    <w:rsid w:val="003C46DF"/>
    <w:rsid w:val="003C5756"/>
    <w:rsid w:val="003D02E5"/>
    <w:rsid w:val="003D1A9E"/>
    <w:rsid w:val="003D4924"/>
    <w:rsid w:val="003E0B60"/>
    <w:rsid w:val="003E40A4"/>
    <w:rsid w:val="003E464C"/>
    <w:rsid w:val="003E51E5"/>
    <w:rsid w:val="003F0055"/>
    <w:rsid w:val="003F4F5D"/>
    <w:rsid w:val="003F5E41"/>
    <w:rsid w:val="004003A3"/>
    <w:rsid w:val="004025A0"/>
    <w:rsid w:val="00405EC6"/>
    <w:rsid w:val="00405FF5"/>
    <w:rsid w:val="00407615"/>
    <w:rsid w:val="00441246"/>
    <w:rsid w:val="0044218A"/>
    <w:rsid w:val="00444F43"/>
    <w:rsid w:val="00455DA3"/>
    <w:rsid w:val="00463595"/>
    <w:rsid w:val="00465BF1"/>
    <w:rsid w:val="00480227"/>
    <w:rsid w:val="004834BE"/>
    <w:rsid w:val="004837F6"/>
    <w:rsid w:val="00483AB9"/>
    <w:rsid w:val="00483F37"/>
    <w:rsid w:val="0049527D"/>
    <w:rsid w:val="004A7BF8"/>
    <w:rsid w:val="004B05F3"/>
    <w:rsid w:val="004C0C4E"/>
    <w:rsid w:val="004C146C"/>
    <w:rsid w:val="004C2234"/>
    <w:rsid w:val="004C4D0E"/>
    <w:rsid w:val="004C65EB"/>
    <w:rsid w:val="004D5FBA"/>
    <w:rsid w:val="004D6216"/>
    <w:rsid w:val="004D6712"/>
    <w:rsid w:val="004E175F"/>
    <w:rsid w:val="004F0B40"/>
    <w:rsid w:val="004F508C"/>
    <w:rsid w:val="004F7DF3"/>
    <w:rsid w:val="0050074F"/>
    <w:rsid w:val="00503A22"/>
    <w:rsid w:val="00503A81"/>
    <w:rsid w:val="00503FA9"/>
    <w:rsid w:val="00504535"/>
    <w:rsid w:val="005062C0"/>
    <w:rsid w:val="005073B3"/>
    <w:rsid w:val="005100E0"/>
    <w:rsid w:val="0051063B"/>
    <w:rsid w:val="005116BD"/>
    <w:rsid w:val="00513772"/>
    <w:rsid w:val="00513AE1"/>
    <w:rsid w:val="005167CC"/>
    <w:rsid w:val="00516FC9"/>
    <w:rsid w:val="00522206"/>
    <w:rsid w:val="005245E6"/>
    <w:rsid w:val="00537913"/>
    <w:rsid w:val="00540386"/>
    <w:rsid w:val="0054068B"/>
    <w:rsid w:val="00540BF1"/>
    <w:rsid w:val="00541C69"/>
    <w:rsid w:val="00546743"/>
    <w:rsid w:val="005473AC"/>
    <w:rsid w:val="0055038C"/>
    <w:rsid w:val="00554A1C"/>
    <w:rsid w:val="005566C9"/>
    <w:rsid w:val="00556FC0"/>
    <w:rsid w:val="0055713B"/>
    <w:rsid w:val="00560127"/>
    <w:rsid w:val="00561AA8"/>
    <w:rsid w:val="00571816"/>
    <w:rsid w:val="005849F5"/>
    <w:rsid w:val="00585316"/>
    <w:rsid w:val="005964D6"/>
    <w:rsid w:val="005A3CEB"/>
    <w:rsid w:val="005B216F"/>
    <w:rsid w:val="005B590D"/>
    <w:rsid w:val="005C1DE6"/>
    <w:rsid w:val="005E1374"/>
    <w:rsid w:val="005E1A15"/>
    <w:rsid w:val="005E6644"/>
    <w:rsid w:val="005F0D99"/>
    <w:rsid w:val="005F1D2C"/>
    <w:rsid w:val="005F411B"/>
    <w:rsid w:val="005F4CAB"/>
    <w:rsid w:val="005F6B61"/>
    <w:rsid w:val="005F70EA"/>
    <w:rsid w:val="005F7331"/>
    <w:rsid w:val="005F7949"/>
    <w:rsid w:val="005F7B39"/>
    <w:rsid w:val="00600134"/>
    <w:rsid w:val="00602FF8"/>
    <w:rsid w:val="006032AE"/>
    <w:rsid w:val="00605AA5"/>
    <w:rsid w:val="006105E5"/>
    <w:rsid w:val="00620BD9"/>
    <w:rsid w:val="00621C03"/>
    <w:rsid w:val="00621DD1"/>
    <w:rsid w:val="006227CD"/>
    <w:rsid w:val="00626555"/>
    <w:rsid w:val="00631F8B"/>
    <w:rsid w:val="00635998"/>
    <w:rsid w:val="00636190"/>
    <w:rsid w:val="00646778"/>
    <w:rsid w:val="0065235E"/>
    <w:rsid w:val="00653DCC"/>
    <w:rsid w:val="00657805"/>
    <w:rsid w:val="0066293C"/>
    <w:rsid w:val="00663E2A"/>
    <w:rsid w:val="00664891"/>
    <w:rsid w:val="00670A79"/>
    <w:rsid w:val="00671CF9"/>
    <w:rsid w:val="00672AD8"/>
    <w:rsid w:val="00673C54"/>
    <w:rsid w:val="0068118A"/>
    <w:rsid w:val="00682482"/>
    <w:rsid w:val="00685080"/>
    <w:rsid w:val="00687912"/>
    <w:rsid w:val="0068791B"/>
    <w:rsid w:val="006911C2"/>
    <w:rsid w:val="006A2351"/>
    <w:rsid w:val="006B2533"/>
    <w:rsid w:val="006B32F3"/>
    <w:rsid w:val="006B3571"/>
    <w:rsid w:val="006B37F2"/>
    <w:rsid w:val="006B3C6A"/>
    <w:rsid w:val="006B44E3"/>
    <w:rsid w:val="006C4334"/>
    <w:rsid w:val="006C6347"/>
    <w:rsid w:val="006C78D0"/>
    <w:rsid w:val="006D0C28"/>
    <w:rsid w:val="006D41A1"/>
    <w:rsid w:val="006E1453"/>
    <w:rsid w:val="006E38E3"/>
    <w:rsid w:val="006E435A"/>
    <w:rsid w:val="006E731B"/>
    <w:rsid w:val="006F01E6"/>
    <w:rsid w:val="006F602A"/>
    <w:rsid w:val="00700086"/>
    <w:rsid w:val="0070231E"/>
    <w:rsid w:val="007074A7"/>
    <w:rsid w:val="00710BFE"/>
    <w:rsid w:val="007136EB"/>
    <w:rsid w:val="007209F1"/>
    <w:rsid w:val="00723A37"/>
    <w:rsid w:val="00730450"/>
    <w:rsid w:val="00732DC7"/>
    <w:rsid w:val="00734733"/>
    <w:rsid w:val="007375BC"/>
    <w:rsid w:val="0074175E"/>
    <w:rsid w:val="007529D9"/>
    <w:rsid w:val="0075739A"/>
    <w:rsid w:val="00763C6D"/>
    <w:rsid w:val="00766065"/>
    <w:rsid w:val="00766E8A"/>
    <w:rsid w:val="007731AF"/>
    <w:rsid w:val="007830E9"/>
    <w:rsid w:val="00790989"/>
    <w:rsid w:val="0079178B"/>
    <w:rsid w:val="00791887"/>
    <w:rsid w:val="00793166"/>
    <w:rsid w:val="00794A01"/>
    <w:rsid w:val="00796930"/>
    <w:rsid w:val="00797FB4"/>
    <w:rsid w:val="007A330C"/>
    <w:rsid w:val="007A5219"/>
    <w:rsid w:val="007A54C0"/>
    <w:rsid w:val="007A6D3C"/>
    <w:rsid w:val="007C24A7"/>
    <w:rsid w:val="007C3233"/>
    <w:rsid w:val="007C425B"/>
    <w:rsid w:val="007C5884"/>
    <w:rsid w:val="007C67C0"/>
    <w:rsid w:val="007D0B95"/>
    <w:rsid w:val="007D48DE"/>
    <w:rsid w:val="007D5F14"/>
    <w:rsid w:val="007E15F7"/>
    <w:rsid w:val="007E28E0"/>
    <w:rsid w:val="007E30CA"/>
    <w:rsid w:val="007F5A60"/>
    <w:rsid w:val="00800AC6"/>
    <w:rsid w:val="00804A3A"/>
    <w:rsid w:val="00810791"/>
    <w:rsid w:val="00812D4A"/>
    <w:rsid w:val="008155D7"/>
    <w:rsid w:val="00816BE6"/>
    <w:rsid w:val="00825013"/>
    <w:rsid w:val="008252C6"/>
    <w:rsid w:val="00825472"/>
    <w:rsid w:val="00832874"/>
    <w:rsid w:val="00832FD0"/>
    <w:rsid w:val="00833B92"/>
    <w:rsid w:val="00840011"/>
    <w:rsid w:val="00842D89"/>
    <w:rsid w:val="008435AF"/>
    <w:rsid w:val="0084679C"/>
    <w:rsid w:val="00850C0E"/>
    <w:rsid w:val="00851EC4"/>
    <w:rsid w:val="00856CB1"/>
    <w:rsid w:val="008641B5"/>
    <w:rsid w:val="00866BA3"/>
    <w:rsid w:val="0087467F"/>
    <w:rsid w:val="00876D88"/>
    <w:rsid w:val="00885720"/>
    <w:rsid w:val="00887E0D"/>
    <w:rsid w:val="00890AEA"/>
    <w:rsid w:val="0089114C"/>
    <w:rsid w:val="008A3245"/>
    <w:rsid w:val="008B22EB"/>
    <w:rsid w:val="008B3104"/>
    <w:rsid w:val="008B3488"/>
    <w:rsid w:val="008C29BF"/>
    <w:rsid w:val="008C3BCE"/>
    <w:rsid w:val="008C3C52"/>
    <w:rsid w:val="008C4E4A"/>
    <w:rsid w:val="008D3A08"/>
    <w:rsid w:val="008D3C33"/>
    <w:rsid w:val="008E0299"/>
    <w:rsid w:val="008F21D1"/>
    <w:rsid w:val="008F2C4B"/>
    <w:rsid w:val="00921A62"/>
    <w:rsid w:val="009270D7"/>
    <w:rsid w:val="009307B7"/>
    <w:rsid w:val="0093083A"/>
    <w:rsid w:val="00931EF3"/>
    <w:rsid w:val="009338F2"/>
    <w:rsid w:val="0093409E"/>
    <w:rsid w:val="00940488"/>
    <w:rsid w:val="0094054D"/>
    <w:rsid w:val="00944768"/>
    <w:rsid w:val="00946419"/>
    <w:rsid w:val="00952C33"/>
    <w:rsid w:val="00955146"/>
    <w:rsid w:val="00965DAC"/>
    <w:rsid w:val="009669F5"/>
    <w:rsid w:val="00966E95"/>
    <w:rsid w:val="00973DAB"/>
    <w:rsid w:val="00982D2A"/>
    <w:rsid w:val="00984928"/>
    <w:rsid w:val="0098509A"/>
    <w:rsid w:val="009857F2"/>
    <w:rsid w:val="00991D00"/>
    <w:rsid w:val="009921B5"/>
    <w:rsid w:val="009955BA"/>
    <w:rsid w:val="009961A1"/>
    <w:rsid w:val="009A1312"/>
    <w:rsid w:val="009B16A7"/>
    <w:rsid w:val="009B41B9"/>
    <w:rsid w:val="009B4492"/>
    <w:rsid w:val="009B58CF"/>
    <w:rsid w:val="009C18AA"/>
    <w:rsid w:val="009C2498"/>
    <w:rsid w:val="009D0387"/>
    <w:rsid w:val="009D03D9"/>
    <w:rsid w:val="009E129B"/>
    <w:rsid w:val="009E50C2"/>
    <w:rsid w:val="009F4B2B"/>
    <w:rsid w:val="00A04394"/>
    <w:rsid w:val="00A0740A"/>
    <w:rsid w:val="00A14BFE"/>
    <w:rsid w:val="00A1569B"/>
    <w:rsid w:val="00A174A8"/>
    <w:rsid w:val="00A207C5"/>
    <w:rsid w:val="00A22063"/>
    <w:rsid w:val="00A262F8"/>
    <w:rsid w:val="00A36C18"/>
    <w:rsid w:val="00A41353"/>
    <w:rsid w:val="00A4562F"/>
    <w:rsid w:val="00A52E79"/>
    <w:rsid w:val="00A62612"/>
    <w:rsid w:val="00A673E4"/>
    <w:rsid w:val="00A8258B"/>
    <w:rsid w:val="00A9089B"/>
    <w:rsid w:val="00A96693"/>
    <w:rsid w:val="00AA7F36"/>
    <w:rsid w:val="00AB0888"/>
    <w:rsid w:val="00AB1EFE"/>
    <w:rsid w:val="00AB3260"/>
    <w:rsid w:val="00AB495B"/>
    <w:rsid w:val="00AB5C26"/>
    <w:rsid w:val="00AC09E2"/>
    <w:rsid w:val="00AC1899"/>
    <w:rsid w:val="00AD353A"/>
    <w:rsid w:val="00AD43F2"/>
    <w:rsid w:val="00AD5DB8"/>
    <w:rsid w:val="00AD71E9"/>
    <w:rsid w:val="00AE2D33"/>
    <w:rsid w:val="00AF15D2"/>
    <w:rsid w:val="00AF3DB1"/>
    <w:rsid w:val="00AF53E1"/>
    <w:rsid w:val="00B00B89"/>
    <w:rsid w:val="00B0202C"/>
    <w:rsid w:val="00B0424B"/>
    <w:rsid w:val="00B045C9"/>
    <w:rsid w:val="00B04BAB"/>
    <w:rsid w:val="00B05D0A"/>
    <w:rsid w:val="00B06D9B"/>
    <w:rsid w:val="00B07C42"/>
    <w:rsid w:val="00B13059"/>
    <w:rsid w:val="00B16139"/>
    <w:rsid w:val="00B22309"/>
    <w:rsid w:val="00B27E20"/>
    <w:rsid w:val="00B3276A"/>
    <w:rsid w:val="00B33910"/>
    <w:rsid w:val="00B34261"/>
    <w:rsid w:val="00B373FB"/>
    <w:rsid w:val="00B449E8"/>
    <w:rsid w:val="00B45048"/>
    <w:rsid w:val="00B45C16"/>
    <w:rsid w:val="00B52B6E"/>
    <w:rsid w:val="00B5488A"/>
    <w:rsid w:val="00B57E79"/>
    <w:rsid w:val="00B615CA"/>
    <w:rsid w:val="00B639AC"/>
    <w:rsid w:val="00B63C76"/>
    <w:rsid w:val="00B703D9"/>
    <w:rsid w:val="00B70CF1"/>
    <w:rsid w:val="00B72696"/>
    <w:rsid w:val="00B73723"/>
    <w:rsid w:val="00B76893"/>
    <w:rsid w:val="00B855F3"/>
    <w:rsid w:val="00B8587A"/>
    <w:rsid w:val="00B91406"/>
    <w:rsid w:val="00B91B7C"/>
    <w:rsid w:val="00B91FB2"/>
    <w:rsid w:val="00B93652"/>
    <w:rsid w:val="00BA3148"/>
    <w:rsid w:val="00BA3821"/>
    <w:rsid w:val="00BA6FE0"/>
    <w:rsid w:val="00BA73F6"/>
    <w:rsid w:val="00BB077C"/>
    <w:rsid w:val="00BB0CE5"/>
    <w:rsid w:val="00BB6F81"/>
    <w:rsid w:val="00BC1887"/>
    <w:rsid w:val="00BC2A2B"/>
    <w:rsid w:val="00BC6707"/>
    <w:rsid w:val="00BC71AF"/>
    <w:rsid w:val="00BD3E57"/>
    <w:rsid w:val="00BD47D7"/>
    <w:rsid w:val="00BD6648"/>
    <w:rsid w:val="00BD6669"/>
    <w:rsid w:val="00BD6F50"/>
    <w:rsid w:val="00BE0B9D"/>
    <w:rsid w:val="00BE121D"/>
    <w:rsid w:val="00BE39DE"/>
    <w:rsid w:val="00BF393F"/>
    <w:rsid w:val="00BF398C"/>
    <w:rsid w:val="00BF3B30"/>
    <w:rsid w:val="00BF47A3"/>
    <w:rsid w:val="00BF7BC0"/>
    <w:rsid w:val="00C01887"/>
    <w:rsid w:val="00C01DB5"/>
    <w:rsid w:val="00C02824"/>
    <w:rsid w:val="00C05AEC"/>
    <w:rsid w:val="00C0771C"/>
    <w:rsid w:val="00C20CD3"/>
    <w:rsid w:val="00C22850"/>
    <w:rsid w:val="00C231FD"/>
    <w:rsid w:val="00C2545F"/>
    <w:rsid w:val="00C37A3B"/>
    <w:rsid w:val="00C420E4"/>
    <w:rsid w:val="00C45628"/>
    <w:rsid w:val="00C459A1"/>
    <w:rsid w:val="00C5025F"/>
    <w:rsid w:val="00C50585"/>
    <w:rsid w:val="00C50FC0"/>
    <w:rsid w:val="00C57AB0"/>
    <w:rsid w:val="00C642A1"/>
    <w:rsid w:val="00C67143"/>
    <w:rsid w:val="00C70A5C"/>
    <w:rsid w:val="00C74475"/>
    <w:rsid w:val="00C760C2"/>
    <w:rsid w:val="00C8781F"/>
    <w:rsid w:val="00C900F4"/>
    <w:rsid w:val="00C94E66"/>
    <w:rsid w:val="00CA1931"/>
    <w:rsid w:val="00CA3CC8"/>
    <w:rsid w:val="00CB0B0C"/>
    <w:rsid w:val="00CB14E3"/>
    <w:rsid w:val="00CB2D41"/>
    <w:rsid w:val="00CB4A55"/>
    <w:rsid w:val="00CB576D"/>
    <w:rsid w:val="00CB5E7A"/>
    <w:rsid w:val="00CB6F95"/>
    <w:rsid w:val="00CC0325"/>
    <w:rsid w:val="00CC644E"/>
    <w:rsid w:val="00CD1D2E"/>
    <w:rsid w:val="00CD4B4C"/>
    <w:rsid w:val="00CE1EFC"/>
    <w:rsid w:val="00CE50E6"/>
    <w:rsid w:val="00CF37FA"/>
    <w:rsid w:val="00CF72AD"/>
    <w:rsid w:val="00D007FA"/>
    <w:rsid w:val="00D018AA"/>
    <w:rsid w:val="00D02FB5"/>
    <w:rsid w:val="00D03684"/>
    <w:rsid w:val="00D10044"/>
    <w:rsid w:val="00D10EDC"/>
    <w:rsid w:val="00D12662"/>
    <w:rsid w:val="00D13EA7"/>
    <w:rsid w:val="00D1406E"/>
    <w:rsid w:val="00D153C1"/>
    <w:rsid w:val="00D1642E"/>
    <w:rsid w:val="00D169EE"/>
    <w:rsid w:val="00D16CBD"/>
    <w:rsid w:val="00D25FAE"/>
    <w:rsid w:val="00D2691A"/>
    <w:rsid w:val="00D34E57"/>
    <w:rsid w:val="00D412A5"/>
    <w:rsid w:val="00D420A5"/>
    <w:rsid w:val="00D440E4"/>
    <w:rsid w:val="00D4420F"/>
    <w:rsid w:val="00D45640"/>
    <w:rsid w:val="00D4645B"/>
    <w:rsid w:val="00D46DEB"/>
    <w:rsid w:val="00D47F0F"/>
    <w:rsid w:val="00D57128"/>
    <w:rsid w:val="00D62AB4"/>
    <w:rsid w:val="00D648DC"/>
    <w:rsid w:val="00D668C4"/>
    <w:rsid w:val="00D7021D"/>
    <w:rsid w:val="00D731C1"/>
    <w:rsid w:val="00D81E8D"/>
    <w:rsid w:val="00D84A8D"/>
    <w:rsid w:val="00D86AF4"/>
    <w:rsid w:val="00D92515"/>
    <w:rsid w:val="00D9594C"/>
    <w:rsid w:val="00DA4C8D"/>
    <w:rsid w:val="00DB5479"/>
    <w:rsid w:val="00DB653A"/>
    <w:rsid w:val="00DC028A"/>
    <w:rsid w:val="00DC3BB3"/>
    <w:rsid w:val="00DC6EAA"/>
    <w:rsid w:val="00DE29DA"/>
    <w:rsid w:val="00DE5223"/>
    <w:rsid w:val="00DE5E3B"/>
    <w:rsid w:val="00DF36E3"/>
    <w:rsid w:val="00DF42D4"/>
    <w:rsid w:val="00E1039D"/>
    <w:rsid w:val="00E137FF"/>
    <w:rsid w:val="00E14E23"/>
    <w:rsid w:val="00E162FF"/>
    <w:rsid w:val="00E1797C"/>
    <w:rsid w:val="00E20BEB"/>
    <w:rsid w:val="00E22749"/>
    <w:rsid w:val="00E230C4"/>
    <w:rsid w:val="00E24734"/>
    <w:rsid w:val="00E25B6B"/>
    <w:rsid w:val="00E303AA"/>
    <w:rsid w:val="00E305F8"/>
    <w:rsid w:val="00E32068"/>
    <w:rsid w:val="00E33176"/>
    <w:rsid w:val="00E33745"/>
    <w:rsid w:val="00E3624C"/>
    <w:rsid w:val="00E364D0"/>
    <w:rsid w:val="00E3682D"/>
    <w:rsid w:val="00E36A7B"/>
    <w:rsid w:val="00E37AF7"/>
    <w:rsid w:val="00E431F4"/>
    <w:rsid w:val="00E45755"/>
    <w:rsid w:val="00E46AF4"/>
    <w:rsid w:val="00E479D6"/>
    <w:rsid w:val="00E53AF5"/>
    <w:rsid w:val="00E54B5A"/>
    <w:rsid w:val="00E570CD"/>
    <w:rsid w:val="00E6061F"/>
    <w:rsid w:val="00E613A6"/>
    <w:rsid w:val="00E65AAF"/>
    <w:rsid w:val="00E66654"/>
    <w:rsid w:val="00E7511F"/>
    <w:rsid w:val="00E83A56"/>
    <w:rsid w:val="00E960E8"/>
    <w:rsid w:val="00E96CBC"/>
    <w:rsid w:val="00EA0EA3"/>
    <w:rsid w:val="00EA35EF"/>
    <w:rsid w:val="00EA543C"/>
    <w:rsid w:val="00EB0728"/>
    <w:rsid w:val="00EB16BF"/>
    <w:rsid w:val="00EB17D7"/>
    <w:rsid w:val="00EB3E12"/>
    <w:rsid w:val="00EC0448"/>
    <w:rsid w:val="00EC5D70"/>
    <w:rsid w:val="00EC73D5"/>
    <w:rsid w:val="00ED1381"/>
    <w:rsid w:val="00ED592B"/>
    <w:rsid w:val="00ED6AE2"/>
    <w:rsid w:val="00EE3117"/>
    <w:rsid w:val="00EE4AB6"/>
    <w:rsid w:val="00EE52ED"/>
    <w:rsid w:val="00EE6E88"/>
    <w:rsid w:val="00EF09F9"/>
    <w:rsid w:val="00EF1588"/>
    <w:rsid w:val="00EF165F"/>
    <w:rsid w:val="00EF4D14"/>
    <w:rsid w:val="00EF523E"/>
    <w:rsid w:val="00F0027A"/>
    <w:rsid w:val="00F00625"/>
    <w:rsid w:val="00F0149F"/>
    <w:rsid w:val="00F05168"/>
    <w:rsid w:val="00F114CE"/>
    <w:rsid w:val="00F16CF6"/>
    <w:rsid w:val="00F1717E"/>
    <w:rsid w:val="00F20445"/>
    <w:rsid w:val="00F260A9"/>
    <w:rsid w:val="00F2777B"/>
    <w:rsid w:val="00F31204"/>
    <w:rsid w:val="00F339A4"/>
    <w:rsid w:val="00F34F38"/>
    <w:rsid w:val="00F35C95"/>
    <w:rsid w:val="00F35DDB"/>
    <w:rsid w:val="00F41C5F"/>
    <w:rsid w:val="00F435B2"/>
    <w:rsid w:val="00F44B85"/>
    <w:rsid w:val="00F54007"/>
    <w:rsid w:val="00F55AEB"/>
    <w:rsid w:val="00F55E89"/>
    <w:rsid w:val="00F56948"/>
    <w:rsid w:val="00F57032"/>
    <w:rsid w:val="00F57D36"/>
    <w:rsid w:val="00F62510"/>
    <w:rsid w:val="00F64337"/>
    <w:rsid w:val="00F677E8"/>
    <w:rsid w:val="00F70447"/>
    <w:rsid w:val="00F73C27"/>
    <w:rsid w:val="00F819A8"/>
    <w:rsid w:val="00F86E59"/>
    <w:rsid w:val="00F91213"/>
    <w:rsid w:val="00F92BEF"/>
    <w:rsid w:val="00FA01D5"/>
    <w:rsid w:val="00FB27A1"/>
    <w:rsid w:val="00FB772F"/>
    <w:rsid w:val="00FC178A"/>
    <w:rsid w:val="00FC7FF4"/>
    <w:rsid w:val="00FD1198"/>
    <w:rsid w:val="00FD1748"/>
    <w:rsid w:val="00FE77FE"/>
    <w:rsid w:val="00FF0D85"/>
    <w:rsid w:val="00FF1D1A"/>
    <w:rsid w:val="00FF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6BB6E"/>
  <w15:docId w15:val="{E0257C57-6F50-419F-B9E7-34F78268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LineNumber">
    <w:name w:val="line number"/>
    <w:basedOn w:val="DefaultParagraphFont"/>
    <w:uiPriority w:val="99"/>
    <w:semiHidden/>
    <w:unhideWhenUsed/>
    <w:rsid w:val="00B91B7C"/>
  </w:style>
  <w:style w:type="paragraph" w:styleId="FootnoteText">
    <w:name w:val="footnote text"/>
    <w:basedOn w:val="Normal"/>
    <w:link w:val="FootnoteTextChar"/>
    <w:uiPriority w:val="99"/>
    <w:semiHidden/>
    <w:unhideWhenUsed/>
    <w:rsid w:val="00252C2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252C22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252C2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5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whitespace-nowrap">
    <w:name w:val="whitespace-nowrap"/>
    <w:basedOn w:val="DefaultParagraphFont"/>
    <w:rsid w:val="003B0A52"/>
  </w:style>
  <w:style w:type="character" w:customStyle="1" w:styleId="hoverbg-super">
    <w:name w:val="hover:bg-super"/>
    <w:basedOn w:val="DefaultParagraphFont"/>
    <w:rsid w:val="003B0A52"/>
  </w:style>
  <w:style w:type="paragraph" w:customStyle="1" w:styleId="my-0">
    <w:name w:val="my-0"/>
    <w:basedOn w:val="Normal"/>
    <w:rsid w:val="00C74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56401"/>
    <w:pPr>
      <w:ind w:left="720"/>
      <w:contextualSpacing/>
    </w:pPr>
  </w:style>
  <w:style w:type="character" w:styleId="Strong">
    <w:name w:val="Strong"/>
    <w:uiPriority w:val="22"/>
    <w:qFormat/>
    <w:rsid w:val="000D383E"/>
    <w:rPr>
      <w:b/>
      <w:bCs/>
    </w:rPr>
  </w:style>
  <w:style w:type="paragraph" w:customStyle="1" w:styleId="Default">
    <w:name w:val="Default"/>
    <w:rsid w:val="00207253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my-2">
    <w:name w:val="my-2"/>
    <w:basedOn w:val="Normal"/>
    <w:rsid w:val="00FE7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C575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A54C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4C0"/>
    <w:rPr>
      <w:sz w:val="22"/>
      <w:szCs w:val="22"/>
      <w:lang w:val="en"/>
    </w:rPr>
  </w:style>
  <w:style w:type="paragraph" w:styleId="Footer">
    <w:name w:val="footer"/>
    <w:basedOn w:val="Normal"/>
    <w:link w:val="FooterChar"/>
    <w:uiPriority w:val="99"/>
    <w:unhideWhenUsed/>
    <w:rsid w:val="007A54C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4C0"/>
    <w:rPr>
      <w:sz w:val="22"/>
      <w:szCs w:val="2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4SQX5P7U7WPY-958212181-817092</_dlc_DocId>
    <_dlc_DocIdUrl xmlns="c890fddd-4e87-4e08-8b51-545f2a3f7b06">
      <Url>https://senpr.sharepoint.com/sites/obralegislativa/_layouts/15/DocIdRedir.aspx?ID=4SQX5P7U7WPY-958212181-817092</Url>
      <Description>4SQX5P7U7WPY-958212181-817092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734357-9906-45D4-BEC5-9BEBFC9476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5B2158-4D74-47DF-A970-DDDBC669DD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0B5C70-459D-460F-AA76-A0D593BACD8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10A5722A-ED08-4D5C-B4D3-D285449E2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97B2FBE-B8EB-4888-999A-FECEEBC4592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3561</Words>
  <Characters>20302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J. González (Trámites y Récords)</dc:creator>
  <cp:keywords/>
  <cp:lastModifiedBy>Eric J. González (Trámites y Récords)</cp:lastModifiedBy>
  <cp:revision>10</cp:revision>
  <cp:lastPrinted>2025-09-24T15:44:00Z</cp:lastPrinted>
  <dcterms:created xsi:type="dcterms:W3CDTF">2025-09-26T17:22:00Z</dcterms:created>
  <dcterms:modified xsi:type="dcterms:W3CDTF">2025-10-29T16:16:00Z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4e95b6b0-3cd2-43d2-8301-18517af87529</vt:lpwstr>
  </property>
  <property fmtid="{D5CDD505-2E9C-101B-9397-08002B2CF9AE}" pid="4" name="MediaServiceImageTags">
    <vt:lpwstr/>
  </property>
</Properties>
</file>