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AA5872C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E06415" w:rsidRPr="00E06415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d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4000A953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455A7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698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76655C92" w:rsidR="00DF7D86" w:rsidRDefault="00A829B1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22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6C5F3E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gosto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>
      <w:pPr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63BF9BD9" w14:textId="77777777" w:rsidR="00DF7D86" w:rsidRPr="001711E6" w:rsidRDefault="00DF7D86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61B4DAE" w14:textId="24632B92" w:rsidR="007D458C" w:rsidRDefault="00436471" w:rsidP="004A6CE9">
      <w:pPr>
        <w:spacing w:after="360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P. de la C. </w:t>
      </w:r>
      <w:r w:rsidR="00455A76">
        <w:rPr>
          <w:rFonts w:ascii="Book Antiqua" w:eastAsia="Book Antiqua" w:hAnsi="Book Antiqua" w:cs="Book Antiqua"/>
          <w:color w:val="000000" w:themeColor="text1"/>
          <w:lang w:val="es-PR"/>
        </w:rPr>
        <w:t>698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enti</w:t>
      </w:r>
      <w:r w:rsidR="00A829B1">
        <w:rPr>
          <w:rFonts w:ascii="Book Antiqua" w:eastAsia="Book Antiqua" w:hAnsi="Book Antiqua" w:cs="Book Antiqua"/>
          <w:color w:val="000000" w:themeColor="text1"/>
          <w:lang w:val="es-PR"/>
        </w:rPr>
        <w:t>ri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</w:t>
      </w:r>
    </w:p>
    <w:p w14:paraId="00C5E8B9" w14:textId="77777777" w:rsidR="003B38A4" w:rsidRPr="00251481" w:rsidRDefault="003B38A4" w:rsidP="004A6CE9">
      <w:pPr>
        <w:spacing w:after="12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840F209" w14:textId="3AD59910" w:rsidR="0099305E" w:rsidRDefault="003B38A4" w:rsidP="004A6CE9">
      <w:pPr>
        <w:spacing w:after="360"/>
        <w:ind w:firstLine="720"/>
        <w:jc w:val="both"/>
        <w:rPr>
          <w:rFonts w:ascii="Book Antiqua" w:hAnsi="Book Antiqua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7D458C">
        <w:rPr>
          <w:rFonts w:ascii="Book Antiqua" w:eastAsia="Book Antiqua" w:hAnsi="Book Antiqua" w:cs="Book Antiqua"/>
          <w:color w:val="000000" w:themeColor="text1"/>
          <w:lang w:val="es-PR"/>
        </w:rPr>
        <w:t>698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573DC" w:rsidRPr="001573DC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la Regla 247(b) de Procedimiento Criminal de 1963, según enmendadas, a los fines de establecer los criterios específicos que deberán considerar los </w:t>
      </w:r>
      <w:r w:rsidR="004A6CE9">
        <w:rPr>
          <w:rFonts w:ascii="Book Antiqua" w:eastAsia="Book Antiqua" w:hAnsi="Book Antiqua" w:cs="Book Antiqua"/>
          <w:color w:val="000000" w:themeColor="text1"/>
          <w:lang w:val="es-PR"/>
        </w:rPr>
        <w:t>t</w:t>
      </w:r>
      <w:r w:rsidR="001573DC" w:rsidRPr="001573DC">
        <w:rPr>
          <w:rFonts w:ascii="Book Antiqua" w:eastAsia="Book Antiqua" w:hAnsi="Book Antiqua" w:cs="Book Antiqua"/>
          <w:color w:val="000000" w:themeColor="text1"/>
          <w:lang w:val="es-PR"/>
        </w:rPr>
        <w:t xml:space="preserve">ribunales antes de decretar el sobreseimiento </w:t>
      </w:r>
      <w:r w:rsidR="001573DC" w:rsidRPr="004A6CE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motu prop</w:t>
      </w:r>
      <w:r w:rsidR="001B04F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</w:t>
      </w:r>
      <w:r w:rsidR="001573DC" w:rsidRPr="004A6CE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io</w:t>
      </w:r>
      <w:r w:rsidR="001573DC" w:rsidRPr="001573DC">
        <w:rPr>
          <w:rFonts w:ascii="Book Antiqua" w:eastAsia="Book Antiqua" w:hAnsi="Book Antiqua" w:cs="Book Antiqua"/>
          <w:color w:val="000000" w:themeColor="text1"/>
          <w:lang w:val="es-PR"/>
        </w:rPr>
        <w:t xml:space="preserve"> de una denuncia o acusación; </w:t>
      </w:r>
      <w:r w:rsidR="00A31859" w:rsidRPr="00354AD0">
        <w:rPr>
          <w:rFonts w:ascii="Book Antiqua" w:eastAsia="Book Antiqua" w:hAnsi="Book Antiqua" w:cs="Book Antiqua"/>
          <w:color w:val="000000" w:themeColor="text1"/>
          <w:lang w:val="es-PR"/>
        </w:rPr>
        <w:t>enmendar la Regla 7</w:t>
      </w:r>
      <w:r w:rsidR="007A56A3" w:rsidRPr="00354AD0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9B4405" w:rsidRPr="00354AD0">
        <w:rPr>
          <w:rFonts w:ascii="Book Antiqua" w:eastAsia="Book Antiqua" w:hAnsi="Book Antiqua" w:cs="Book Antiqua"/>
          <w:color w:val="000000" w:themeColor="text1"/>
          <w:lang w:val="es-PR"/>
        </w:rPr>
        <w:t>(2)</w:t>
      </w:r>
      <w:r w:rsidR="00A31859" w:rsidRPr="00354AD0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Procedimiento Criminal de 1963, según enmendadas,</w:t>
      </w:r>
      <w:r w:rsidR="007A56A3" w:rsidRPr="00354AD0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</w:t>
      </w:r>
      <w:r w:rsidR="00D73BB1" w:rsidRPr="00354AD0">
        <w:rPr>
          <w:rFonts w:ascii="Book Antiqua" w:eastAsia="Book Antiqua" w:hAnsi="Book Antiqua" w:cs="Book Antiqua"/>
          <w:color w:val="000000" w:themeColor="text1"/>
          <w:lang w:val="es-PR"/>
        </w:rPr>
        <w:t xml:space="preserve">que se le notifique </w:t>
      </w:r>
      <w:r w:rsidR="00F67C65" w:rsidRPr="00354AD0">
        <w:rPr>
          <w:rFonts w:ascii="Book Antiqua" w:eastAsia="Book Antiqua" w:hAnsi="Book Antiqua" w:cs="Book Antiqua"/>
          <w:color w:val="000000" w:themeColor="text1"/>
          <w:lang w:val="es-PR"/>
        </w:rPr>
        <w:t>por escrito a la víctima cualquier preacuerdo preliminar</w:t>
      </w:r>
      <w:r w:rsidR="00F87D59" w:rsidRPr="00354AD0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B815F8" w:rsidRPr="00354AD0">
        <w:rPr>
          <w:rFonts w:ascii="Book Antiqua" w:eastAsia="Book Antiqua" w:hAnsi="Book Antiqua" w:cs="Book Antiqua"/>
          <w:color w:val="000000" w:themeColor="text1"/>
          <w:lang w:val="es-PR"/>
        </w:rPr>
        <w:t xml:space="preserve">y </w:t>
      </w:r>
      <w:r w:rsidR="00F87D59" w:rsidRPr="00354AD0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que se le permita </w:t>
      </w:r>
      <w:r w:rsidR="00B815F8" w:rsidRPr="00354AD0">
        <w:rPr>
          <w:rFonts w:ascii="Book Antiqua" w:eastAsia="Book Antiqua" w:hAnsi="Book Antiqua" w:cs="Book Antiqua"/>
          <w:color w:val="000000" w:themeColor="text1"/>
          <w:lang w:val="es-PR"/>
        </w:rPr>
        <w:t>a la víctima expresarle a</w:t>
      </w:r>
      <w:r w:rsidR="00151328" w:rsidRPr="00354AD0">
        <w:rPr>
          <w:rFonts w:ascii="Book Antiqua" w:eastAsia="Book Antiqua" w:hAnsi="Book Antiqua" w:cs="Book Antiqua"/>
          <w:color w:val="000000" w:themeColor="text1"/>
          <w:lang w:val="es-PR"/>
        </w:rPr>
        <w:t xml:space="preserve">l tribunal </w:t>
      </w:r>
      <w:r w:rsidR="00346418" w:rsidRPr="00354AD0">
        <w:rPr>
          <w:rFonts w:ascii="Book Antiqua" w:eastAsia="Book Antiqua" w:hAnsi="Book Antiqua" w:cs="Book Antiqua"/>
          <w:color w:val="000000" w:themeColor="text1"/>
          <w:lang w:val="es-PR"/>
        </w:rPr>
        <w:t xml:space="preserve">su postura sobre el </w:t>
      </w:r>
      <w:r w:rsidR="00BC52BE" w:rsidRPr="00354AD0">
        <w:rPr>
          <w:rFonts w:ascii="Book Antiqua" w:eastAsia="Book Antiqua" w:hAnsi="Book Antiqua" w:cs="Book Antiqua"/>
          <w:color w:val="000000" w:themeColor="text1"/>
          <w:lang w:val="es-PR"/>
        </w:rPr>
        <w:t>acuerdo al que lleguen las partes</w:t>
      </w:r>
      <w:r w:rsidR="00BC52BE">
        <w:rPr>
          <w:rFonts w:ascii="Book Antiqua" w:eastAsia="Book Antiqua" w:hAnsi="Book Antiqua" w:cs="Book Antiqua"/>
          <w:color w:val="000000" w:themeColor="text1"/>
          <w:lang w:val="es-PR"/>
        </w:rPr>
        <w:t xml:space="preserve">; </w:t>
      </w:r>
      <w:r w:rsidR="001573DC" w:rsidRPr="001573DC">
        <w:rPr>
          <w:rFonts w:ascii="Book Antiqua" w:eastAsia="Book Antiqua" w:hAnsi="Book Antiqua" w:cs="Book Antiqua"/>
          <w:color w:val="000000" w:themeColor="text1"/>
          <w:lang w:val="es-PR"/>
        </w:rPr>
        <w:t>y para otros fines relacionados.</w:t>
      </w:r>
    </w:p>
    <w:p w14:paraId="4595A8FA" w14:textId="4156B2C0" w:rsidR="003B38A4" w:rsidRPr="001711E6" w:rsidRDefault="003B38A4" w:rsidP="004A6CE9">
      <w:pPr>
        <w:spacing w:after="12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ANÁLISIS DE LA MEDIDA</w:t>
      </w:r>
    </w:p>
    <w:p w14:paraId="56469114" w14:textId="673FFCFF" w:rsidR="00EA2E6E" w:rsidRPr="00EA2E6E" w:rsidRDefault="00E61999" w:rsidP="00EA2E6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En </w:t>
      </w:r>
      <w:r w:rsidR="00EA2E6E" w:rsidRPr="00EA2E6E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Pueblo v. Castellón Calderón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D25F25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1"/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se estableció que la discreción </w:t>
      </w:r>
      <w:r w:rsidR="00486EB4">
        <w:rPr>
          <w:rFonts w:ascii="Book Antiqua" w:eastAsia="Book Antiqua" w:hAnsi="Book Antiqua" w:cs="Book Antiqua"/>
          <w:color w:val="000000" w:themeColor="text1"/>
          <w:lang w:val="es-PR"/>
        </w:rPr>
        <w:t>judicial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de sobreseer una denuncia o acusación no es ilimitada</w:t>
      </w:r>
      <w:r w:rsidR="001A4C40">
        <w:rPr>
          <w:rFonts w:ascii="Book Antiqua" w:eastAsia="Book Antiqua" w:hAnsi="Book Antiqua" w:cs="Book Antiqua"/>
          <w:color w:val="000000" w:themeColor="text1"/>
          <w:lang w:val="es-PR"/>
        </w:rPr>
        <w:t>. Esta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debe ejercerse tras una vista en la que participe el Ministerio Público y se consideren factores objetivos</w:t>
      </w:r>
      <w:r w:rsidR="001A4C40">
        <w:rPr>
          <w:rFonts w:ascii="Book Antiqua" w:eastAsia="Book Antiqua" w:hAnsi="Book Antiqua" w:cs="Book Antiqua"/>
          <w:color w:val="000000" w:themeColor="text1"/>
          <w:lang w:val="es-PR"/>
        </w:rPr>
        <w:t>, tales como: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naturaleza del delito</w:t>
      </w:r>
      <w:r w:rsidR="001A4C40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solidez probatoria</w:t>
      </w:r>
      <w:r w:rsidR="001A4C40">
        <w:rPr>
          <w:rFonts w:ascii="Book Antiqua" w:eastAsia="Book Antiqua" w:hAnsi="Book Antiqua" w:cs="Book Antiqua"/>
          <w:color w:val="000000" w:themeColor="text1"/>
          <w:lang w:val="es-PR"/>
        </w:rPr>
        <w:t>;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riesgos a la víctima</w:t>
      </w:r>
      <w:r w:rsidR="001A4C40">
        <w:rPr>
          <w:rFonts w:ascii="Book Antiqua" w:eastAsia="Book Antiqua" w:hAnsi="Book Antiqua" w:cs="Book Antiqua"/>
          <w:color w:val="000000" w:themeColor="text1"/>
          <w:lang w:val="es-PR"/>
        </w:rPr>
        <w:t>; e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interés público.</w:t>
      </w:r>
      <w:r w:rsidR="009F700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A5426">
        <w:rPr>
          <w:rFonts w:ascii="Book Antiqua" w:eastAsia="Book Antiqua" w:hAnsi="Book Antiqua" w:cs="Book Antiqua"/>
          <w:color w:val="000000" w:themeColor="text1"/>
          <w:lang w:val="es-PR"/>
        </w:rPr>
        <w:t xml:space="preserve">La omisión de </w:t>
      </w:r>
      <w:r w:rsidR="009F7004">
        <w:rPr>
          <w:rFonts w:ascii="Book Antiqua" w:eastAsia="Book Antiqua" w:hAnsi="Book Antiqua" w:cs="Book Antiqua"/>
          <w:color w:val="000000" w:themeColor="text1"/>
          <w:lang w:val="es-PR"/>
        </w:rPr>
        <w:t xml:space="preserve">tales 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criterios en la Regla 247 de Procedimiento Criminal ocasiona prácticas dispares en </w:t>
      </w:r>
      <w:r w:rsidR="004A5426">
        <w:rPr>
          <w:rFonts w:ascii="Book Antiqua" w:eastAsia="Book Antiqua" w:hAnsi="Book Antiqua" w:cs="Book Antiqua"/>
          <w:color w:val="000000" w:themeColor="text1"/>
          <w:lang w:val="es-PR"/>
        </w:rPr>
        <w:t>los</w:t>
      </w:r>
      <w:r w:rsidR="00EA2E6E"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tribunales.</w:t>
      </w:r>
    </w:p>
    <w:p w14:paraId="6C38952A" w14:textId="77777777" w:rsidR="00EA2E6E" w:rsidRPr="00EA2E6E" w:rsidRDefault="00EA2E6E" w:rsidP="00EA2E6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1BF517C" w14:textId="0B5040D3" w:rsidR="00EA2E6E" w:rsidRPr="00EA2E6E" w:rsidRDefault="00EA2E6E" w:rsidP="00EA2E6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Por otro lado, la Regla 72 </w:t>
      </w:r>
      <w:r w:rsidR="0029745E" w:rsidRPr="00EA2E6E">
        <w:rPr>
          <w:rFonts w:ascii="Book Antiqua" w:eastAsia="Book Antiqua" w:hAnsi="Book Antiqua" w:cs="Book Antiqua"/>
          <w:color w:val="000000" w:themeColor="text1"/>
          <w:lang w:val="es-PR"/>
        </w:rPr>
        <w:t>de Procedimiento Criminal</w:t>
      </w:r>
      <w:r w:rsidR="00ED5C81">
        <w:rPr>
          <w:rFonts w:ascii="Book Antiqua" w:eastAsia="Book Antiqua" w:hAnsi="Book Antiqua" w:cs="Book Antiqua"/>
          <w:color w:val="000000" w:themeColor="text1"/>
          <w:lang w:val="es-PR"/>
        </w:rPr>
        <w:t xml:space="preserve"> carece de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mecanismos claros para que </w:t>
      </w:r>
      <w:r w:rsidR="00ED5C81">
        <w:rPr>
          <w:rFonts w:ascii="Book Antiqua" w:eastAsia="Book Antiqua" w:hAnsi="Book Antiqua" w:cs="Book Antiqua"/>
          <w:color w:val="000000" w:themeColor="text1"/>
          <w:lang w:val="es-PR"/>
        </w:rPr>
        <w:t>la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pos</w:t>
      </w:r>
      <w:r w:rsidR="00ED5C81">
        <w:rPr>
          <w:rFonts w:ascii="Book Antiqua" w:eastAsia="Book Antiqua" w:hAnsi="Book Antiqua" w:cs="Book Antiqua"/>
          <w:color w:val="000000" w:themeColor="text1"/>
          <w:lang w:val="es-PR"/>
        </w:rPr>
        <w:t>tura de la víctima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conste en récord antes de que el tribunal convalide un acuerdo. </w:t>
      </w:r>
      <w:r w:rsidR="008D3573">
        <w:rPr>
          <w:rFonts w:ascii="Book Antiqua" w:eastAsia="Book Antiqua" w:hAnsi="Book Antiqua" w:cs="Book Antiqua"/>
          <w:color w:val="000000" w:themeColor="text1"/>
          <w:lang w:val="es-PR"/>
        </w:rPr>
        <w:t>Así, esta medida busca:</w:t>
      </w:r>
    </w:p>
    <w:p w14:paraId="33A5EB2C" w14:textId="77777777" w:rsidR="00EA2E6E" w:rsidRPr="00EA2E6E" w:rsidRDefault="00EA2E6E" w:rsidP="00EA2E6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D1CC878" w14:textId="59AC923E" w:rsidR="00EA2E6E" w:rsidRPr="00EA2E6E" w:rsidRDefault="00EA2E6E" w:rsidP="0055476C">
      <w:pPr>
        <w:ind w:left="144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1.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Codificar los factores que el tribunal debe ponderar antes de archivar una causa </w:t>
      </w:r>
      <w:r w:rsidR="004F7711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motu proprio</w:t>
      </w:r>
      <w:r w:rsidR="004F7711">
        <w:rPr>
          <w:rFonts w:ascii="Book Antiqua" w:eastAsia="Book Antiqua" w:hAnsi="Book Antiqua" w:cs="Book Antiqua"/>
          <w:color w:val="000000" w:themeColor="text1"/>
          <w:lang w:val="es-PR"/>
        </w:rPr>
        <w:t>;</w:t>
      </w:r>
    </w:p>
    <w:p w14:paraId="0443A72C" w14:textId="79C39795" w:rsidR="00EA2E6E" w:rsidRPr="00EA2E6E" w:rsidRDefault="00EA2E6E" w:rsidP="0055476C">
      <w:pPr>
        <w:ind w:left="144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2.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Garantizar una vista en la que el tribunal escuche, bajo juramento, al Ministerio Público y a la víctima </w:t>
      </w:r>
      <w:r w:rsidR="0055476C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o su representante</w:t>
      </w:r>
      <w:r w:rsidR="0055476C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antes de resolver</w:t>
      </w:r>
      <w:r w:rsidR="004F7711">
        <w:rPr>
          <w:rFonts w:ascii="Book Antiqua" w:eastAsia="Book Antiqua" w:hAnsi="Book Antiqua" w:cs="Book Antiqua"/>
          <w:color w:val="000000" w:themeColor="text1"/>
          <w:lang w:val="es-PR"/>
        </w:rPr>
        <w:t>;</w:t>
      </w:r>
    </w:p>
    <w:p w14:paraId="3270F4F6" w14:textId="7ED79C0D" w:rsidR="00EA2E6E" w:rsidRPr="00EA2E6E" w:rsidRDefault="00EA2E6E" w:rsidP="004F7711">
      <w:pPr>
        <w:ind w:left="144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3.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ab/>
        <w:t>Requerir determinaciones escritas a los jueces sobre los fundamentos en los que bas</w:t>
      </w:r>
      <w:r w:rsidR="001E3CBC">
        <w:rPr>
          <w:rFonts w:ascii="Book Antiqua" w:eastAsia="Book Antiqua" w:hAnsi="Book Antiqua" w:cs="Book Antiqua"/>
          <w:color w:val="000000" w:themeColor="text1"/>
          <w:lang w:val="es-PR"/>
        </w:rPr>
        <w:t>aron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su determinación</w:t>
      </w:r>
      <w:r w:rsidR="004F7711">
        <w:rPr>
          <w:rFonts w:ascii="Book Antiqua" w:eastAsia="Book Antiqua" w:hAnsi="Book Antiqua" w:cs="Book Antiqua"/>
          <w:color w:val="000000" w:themeColor="text1"/>
          <w:lang w:val="es-PR"/>
        </w:rPr>
        <w:t>;</w:t>
      </w:r>
    </w:p>
    <w:p w14:paraId="32726120" w14:textId="25F2C698" w:rsidR="00EA2E6E" w:rsidRPr="00EA2E6E" w:rsidRDefault="00EA2E6E" w:rsidP="004F7711">
      <w:pPr>
        <w:ind w:left="144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4.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ab/>
        <w:t>Reconocer</w:t>
      </w:r>
      <w:r w:rsidR="001E3CBC">
        <w:rPr>
          <w:rFonts w:ascii="Book Antiqua" w:eastAsia="Book Antiqua" w:hAnsi="Book Antiqua" w:cs="Book Antiqua"/>
          <w:color w:val="000000" w:themeColor="text1"/>
          <w:lang w:val="es-PR"/>
        </w:rPr>
        <w:t>le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 xml:space="preserve"> a la víctima un derecho a expresarse durante la audiencia de alegación </w:t>
      </w:r>
      <w:proofErr w:type="spellStart"/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preacordada</w:t>
      </w:r>
      <w:proofErr w:type="spellEnd"/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, sin que ello constituya un veto, y obligar al tribunal a exponer en récord c</w:t>
      </w:r>
      <w:r w:rsidR="00FC11E8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mo ponderó dichas expresiones.</w:t>
      </w:r>
    </w:p>
    <w:p w14:paraId="6904E7B5" w14:textId="77777777" w:rsidR="00EA2E6E" w:rsidRPr="00EA2E6E" w:rsidRDefault="00EA2E6E" w:rsidP="00EA2E6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1ED39E" w14:textId="7C39F7D9" w:rsidR="00EA2E6E" w:rsidRDefault="00EA2E6E" w:rsidP="00EA2E6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A2E6E">
        <w:rPr>
          <w:rFonts w:ascii="Book Antiqua" w:eastAsia="Book Antiqua" w:hAnsi="Book Antiqua" w:cs="Book Antiqua"/>
          <w:color w:val="000000" w:themeColor="text1"/>
          <w:lang w:val="es-PR"/>
        </w:rPr>
        <w:t>Con estas enmiendas se promueve la transparencia judicial, la protección de las víctimas y la uniformidad procesal, sin menoscabar la discreción fiscal ni la autoridad constitucional del tribunal.</w:t>
      </w:r>
    </w:p>
    <w:p w14:paraId="0AD9C242" w14:textId="77777777" w:rsidR="00E61999" w:rsidRDefault="00E61999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2EF175" w14:textId="725E6B82" w:rsidR="008E1A90" w:rsidRDefault="00DA1A59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Según solicitado, esta</w:t>
      </w:r>
      <w:r w:rsidR="008E1A90">
        <w:rPr>
          <w:rFonts w:ascii="Book Antiqua" w:eastAsia="Book Antiqua" w:hAnsi="Book Antiqua" w:cs="Book Antiqua"/>
          <w:color w:val="000000" w:themeColor="text1"/>
          <w:lang w:val="es-PR"/>
        </w:rPr>
        <w:t xml:space="preserve"> Comisión recibió memorandos a favor de la medida,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los cuales </w:t>
      </w:r>
      <w:r w:rsidR="005E4CF7">
        <w:rPr>
          <w:rFonts w:ascii="Book Antiqua" w:eastAsia="Book Antiqua" w:hAnsi="Book Antiqua" w:cs="Book Antiqua"/>
          <w:color w:val="000000" w:themeColor="text1"/>
          <w:lang w:val="es-PR"/>
        </w:rPr>
        <w:t xml:space="preserve">se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resum</w:t>
      </w:r>
      <w:r w:rsidR="005E4CF7">
        <w:rPr>
          <w:rFonts w:ascii="Book Antiqua" w:eastAsia="Book Antiqua" w:hAnsi="Book Antiqua" w:cs="Book Antiqua"/>
          <w:color w:val="000000" w:themeColor="text1"/>
          <w:lang w:val="es-PR"/>
        </w:rPr>
        <w:t>en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a continuación.</w:t>
      </w:r>
      <w:r w:rsidR="008E1A9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9139031" w14:textId="77777777" w:rsidR="008E1A90" w:rsidRDefault="008E1A90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859CDEF" w14:textId="32F4649D" w:rsidR="00900FC1" w:rsidRPr="002E54E3" w:rsidRDefault="00C57B5F" w:rsidP="00ED405F">
      <w:pPr>
        <w:spacing w:after="120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Oficina de Administración de los Tribunales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(OAT) </w:t>
      </w:r>
      <w:r w:rsidR="00900FC1">
        <w:rPr>
          <w:rFonts w:ascii="Book Antiqua" w:eastAsia="Book Antiqua" w:hAnsi="Book Antiqua" w:cs="Book Antiqua"/>
          <w:color w:val="000000" w:themeColor="text1"/>
          <w:lang w:val="es-PR"/>
        </w:rPr>
        <w:t xml:space="preserve">señaló que </w:t>
      </w:r>
      <w:r w:rsidR="00BD5751">
        <w:rPr>
          <w:rFonts w:ascii="Book Antiqua" w:eastAsia="Book Antiqua" w:hAnsi="Book Antiqua" w:cs="Book Antiqua"/>
          <w:color w:val="000000" w:themeColor="text1"/>
          <w:lang w:val="es-PR"/>
        </w:rPr>
        <w:t xml:space="preserve">las enmiendas a la Regla 247(b) de Procedimiento Criminal </w:t>
      </w:r>
      <w:r w:rsidR="005A3DAC">
        <w:rPr>
          <w:rFonts w:ascii="Book Antiqua" w:eastAsia="Book Antiqua" w:hAnsi="Book Antiqua" w:cs="Book Antiqua"/>
          <w:color w:val="000000" w:themeColor="text1"/>
          <w:lang w:val="es-PR"/>
        </w:rPr>
        <w:t xml:space="preserve">no incluye los criterios esbozados en </w:t>
      </w:r>
      <w:r w:rsidR="005A3DAC" w:rsidRPr="00EA2E6E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Castellón Calderón</w:t>
      </w:r>
      <w:r w:rsidR="002E54E3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2E54E3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="00597504">
        <w:rPr>
          <w:rFonts w:ascii="Book Antiqua" w:eastAsia="Book Antiqua" w:hAnsi="Book Antiqua" w:cs="Book Antiqua"/>
          <w:color w:val="000000" w:themeColor="text1"/>
          <w:lang w:val="es-PR"/>
        </w:rPr>
        <w:t xml:space="preserve">algunos de los cuales fueron </w:t>
      </w:r>
      <w:r w:rsidR="002E54E3">
        <w:rPr>
          <w:rFonts w:ascii="Book Antiqua" w:eastAsia="Book Antiqua" w:hAnsi="Book Antiqua" w:cs="Book Antiqua"/>
          <w:color w:val="000000" w:themeColor="text1"/>
          <w:lang w:val="es-PR"/>
        </w:rPr>
        <w:t>mencionados en la exposició</w:t>
      </w:r>
      <w:r w:rsidR="00597504">
        <w:rPr>
          <w:rFonts w:ascii="Book Antiqua" w:eastAsia="Book Antiqua" w:hAnsi="Book Antiqua" w:cs="Book Antiqua"/>
          <w:color w:val="000000" w:themeColor="text1"/>
          <w:lang w:val="es-PR"/>
        </w:rPr>
        <w:t>n de motivos del P. de la C. 698.</w:t>
      </w:r>
    </w:p>
    <w:p w14:paraId="194E3016" w14:textId="6F81A09C" w:rsidR="00C57B5F" w:rsidRDefault="00206CC4" w:rsidP="00ED405F">
      <w:pPr>
        <w:spacing w:after="120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OAT </w:t>
      </w:r>
      <w:r w:rsidR="009A024D">
        <w:rPr>
          <w:rFonts w:ascii="Book Antiqua" w:eastAsia="Book Antiqua" w:hAnsi="Book Antiqua" w:cs="Book Antiqua"/>
          <w:color w:val="000000" w:themeColor="text1"/>
          <w:lang w:val="es-PR"/>
        </w:rPr>
        <w:t>destacó que, la Ley 22-1988, cono</w:t>
      </w:r>
      <w:r w:rsidR="00A87A79">
        <w:rPr>
          <w:rFonts w:ascii="Book Antiqua" w:eastAsia="Book Antiqua" w:hAnsi="Book Antiqua" w:cs="Book Antiqua"/>
          <w:color w:val="000000" w:themeColor="text1"/>
          <w:lang w:val="es-PR"/>
        </w:rPr>
        <w:t xml:space="preserve">cida como la </w:t>
      </w:r>
      <w:r w:rsidR="00A87A7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Carta de Derecho de las Víctimas y Testigos de Delito,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reconoce el derecho de </w:t>
      </w:r>
      <w:r w:rsidR="00A87A79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a v</w:t>
      </w:r>
      <w:r w:rsidR="00A87A79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ctima a</w:t>
      </w:r>
      <w:r w:rsidR="00A87A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ser informada sobre los preacuerdos o alegaciones </w:t>
      </w:r>
      <w:proofErr w:type="spellStart"/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preacordadas</w:t>
      </w:r>
      <w:proofErr w:type="spellEnd"/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surjan entre </w:t>
      </w:r>
      <w:r w:rsidR="00A87A79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a defensa</w:t>
      </w:r>
      <w:r w:rsidR="00A87A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A87A79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a persona imputada y el Ministerio P</w:t>
      </w:r>
      <w:r w:rsidR="00A87A79">
        <w:rPr>
          <w:rFonts w:ascii="Book Antiqua" w:eastAsia="Book Antiqua" w:hAnsi="Book Antiqua" w:cs="Book Antiqua"/>
          <w:color w:val="000000" w:themeColor="text1"/>
          <w:lang w:val="es-PR"/>
        </w:rPr>
        <w:t>ú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blico. De manera similar, el Art</w:t>
      </w:r>
      <w:r w:rsidR="00AA1FFA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culo 3.6 de </w:t>
      </w:r>
      <w:r w:rsidR="00AA1FFA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a Ley 54</w:t>
      </w:r>
      <w:r w:rsidR="00AA1FFA">
        <w:rPr>
          <w:rFonts w:ascii="Book Antiqua" w:eastAsia="Book Antiqua" w:hAnsi="Book Antiqua" w:cs="Book Antiqua"/>
          <w:color w:val="000000" w:themeColor="text1"/>
          <w:lang w:val="es-PR"/>
        </w:rPr>
        <w:t xml:space="preserve">-1989,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requiere que el tribunal </w:t>
      </w:r>
      <w:r w:rsidR="003735A7">
        <w:rPr>
          <w:rFonts w:ascii="Book Antiqua" w:eastAsia="Book Antiqua" w:hAnsi="Book Antiqua" w:cs="Book Antiqua"/>
          <w:color w:val="000000" w:themeColor="text1"/>
          <w:lang w:val="es-PR"/>
        </w:rPr>
        <w:t>considere l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a </w:t>
      </w:r>
      <w:r w:rsidR="003735A7" w:rsidRPr="008B129E">
        <w:rPr>
          <w:rFonts w:ascii="Book Antiqua" w:eastAsia="Book Antiqua" w:hAnsi="Book Antiqua" w:cs="Book Antiqua"/>
          <w:color w:val="000000" w:themeColor="text1"/>
          <w:lang w:val="es-PR"/>
        </w:rPr>
        <w:t>opinión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 de </w:t>
      </w:r>
      <w:r w:rsidR="003735A7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a v</w:t>
      </w:r>
      <w:r w:rsidR="003735A7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ctima para poder</w:t>
      </w:r>
      <w:r w:rsidR="00ED405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conceder el beneficio de un desv</w:t>
      </w:r>
      <w:r w:rsidR="00ED405F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o. En ese contexto, </w:t>
      </w:r>
      <w:r w:rsidR="00971173">
        <w:rPr>
          <w:rFonts w:ascii="Book Antiqua" w:eastAsia="Book Antiqua" w:hAnsi="Book Antiqua" w:cs="Book Antiqua"/>
          <w:color w:val="000000" w:themeColor="text1"/>
          <w:lang w:val="es-PR"/>
        </w:rPr>
        <w:t xml:space="preserve">la OAT entiende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que las enmiendas</w:t>
      </w:r>
      <w:r w:rsidR="00ED405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propuestas </w:t>
      </w:r>
      <w:r w:rsidR="0079108D">
        <w:rPr>
          <w:rFonts w:ascii="Book Antiqua" w:eastAsia="Book Antiqua" w:hAnsi="Book Antiqua" w:cs="Book Antiqua"/>
          <w:color w:val="000000" w:themeColor="text1"/>
          <w:lang w:val="es-PR"/>
        </w:rPr>
        <w:t xml:space="preserve">en </w:t>
      </w:r>
      <w:r w:rsidR="0062203D">
        <w:rPr>
          <w:rFonts w:ascii="Book Antiqua" w:eastAsia="Book Antiqua" w:hAnsi="Book Antiqua" w:cs="Book Antiqua"/>
          <w:color w:val="000000" w:themeColor="text1"/>
          <w:lang w:val="es-PR"/>
        </w:rPr>
        <w:t>la</w:t>
      </w:r>
      <w:r w:rsidR="0079108D">
        <w:rPr>
          <w:rFonts w:ascii="Book Antiqua" w:eastAsia="Book Antiqua" w:hAnsi="Book Antiqua" w:cs="Book Antiqua"/>
          <w:color w:val="000000" w:themeColor="text1"/>
          <w:lang w:val="es-PR"/>
        </w:rPr>
        <w:t xml:space="preserve"> medida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son cónsonas con </w:t>
      </w:r>
      <w:r w:rsidR="00FE0E23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a pol</w:t>
      </w:r>
      <w:r w:rsidR="00FE0E23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tica p</w:t>
      </w:r>
      <w:r w:rsidR="00FE0E23">
        <w:rPr>
          <w:rFonts w:ascii="Book Antiqua" w:eastAsia="Book Antiqua" w:hAnsi="Book Antiqua" w:cs="Book Antiqua"/>
          <w:color w:val="000000" w:themeColor="text1"/>
          <w:lang w:val="es-PR"/>
        </w:rPr>
        <w:t>ú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 xml:space="preserve">blica actual y promueven </w:t>
      </w:r>
      <w:r w:rsidR="00FE0E23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a formalizaci</w:t>
      </w:r>
      <w:r w:rsidR="00FE0E23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n de</w:t>
      </w:r>
      <w:r w:rsidR="00ED405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salvaguardas para las v</w:t>
      </w:r>
      <w:r w:rsidR="00FE0E23">
        <w:rPr>
          <w:rFonts w:ascii="Book Antiqua" w:eastAsia="Book Antiqua" w:hAnsi="Book Antiqua" w:cs="Book Antiqua"/>
          <w:color w:val="000000" w:themeColor="text1"/>
          <w:lang w:val="es-PR"/>
        </w:rPr>
        <w:t>í</w:t>
      </w:r>
      <w:r w:rsidR="008B129E" w:rsidRPr="008B129E">
        <w:rPr>
          <w:rFonts w:ascii="Book Antiqua" w:eastAsia="Book Antiqua" w:hAnsi="Book Antiqua" w:cs="Book Antiqua"/>
          <w:color w:val="000000" w:themeColor="text1"/>
          <w:lang w:val="es-PR"/>
        </w:rPr>
        <w:t>ctimas.</w:t>
      </w:r>
    </w:p>
    <w:p w14:paraId="2107D18E" w14:textId="6DB96FBC" w:rsidR="007006EB" w:rsidRDefault="00FA6A94" w:rsidP="00F308FA">
      <w:pPr>
        <w:spacing w:after="240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En fin, </w:t>
      </w:r>
      <w:r w:rsidR="008360F7">
        <w:rPr>
          <w:rFonts w:ascii="Book Antiqua" w:eastAsia="Book Antiqua" w:hAnsi="Book Antiqua" w:cs="Book Antiqua"/>
          <w:color w:val="000000" w:themeColor="text1"/>
          <w:lang w:val="es-PR"/>
        </w:rPr>
        <w:t>la OAT destac</w:t>
      </w:r>
      <w:r w:rsidR="00515F9D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8360F7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la exposición de motivos parte de la premisa de los problemas de violencia domé</w:t>
      </w:r>
      <w:r w:rsidR="008F30F3">
        <w:rPr>
          <w:rFonts w:ascii="Book Antiqua" w:eastAsia="Book Antiqua" w:hAnsi="Book Antiqua" w:cs="Book Antiqua"/>
          <w:color w:val="000000" w:themeColor="text1"/>
          <w:lang w:val="es-PR"/>
        </w:rPr>
        <w:t xml:space="preserve">stica en nuestra jurisdicción. Ello, a pesar de que las enmiendas propuestas no distinguen </w:t>
      </w:r>
      <w:r w:rsidR="00A47175">
        <w:rPr>
          <w:rFonts w:ascii="Book Antiqua" w:eastAsia="Book Antiqua" w:hAnsi="Book Antiqua" w:cs="Book Antiqua"/>
          <w:color w:val="000000" w:themeColor="text1"/>
          <w:lang w:val="es-PR"/>
        </w:rPr>
        <w:t>entre tipos de conductas delictivas, sino que aplican</w:t>
      </w:r>
      <w:r w:rsidR="00A852BB">
        <w:rPr>
          <w:rFonts w:ascii="Book Antiqua" w:eastAsia="Book Antiqua" w:hAnsi="Book Antiqua" w:cs="Book Antiqua"/>
          <w:color w:val="000000" w:themeColor="text1"/>
          <w:lang w:val="es-PR"/>
        </w:rPr>
        <w:t xml:space="preserve"> de manera general</w:t>
      </w:r>
      <w:r w:rsidR="00A4717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852BB">
        <w:rPr>
          <w:rFonts w:ascii="Book Antiqua" w:eastAsia="Book Antiqua" w:hAnsi="Book Antiqua" w:cs="Book Antiqua"/>
          <w:color w:val="000000" w:themeColor="text1"/>
          <w:lang w:val="es-PR"/>
        </w:rPr>
        <w:t>a todo tipo de delito.</w:t>
      </w:r>
    </w:p>
    <w:p w14:paraId="25056064" w14:textId="77777777" w:rsidR="007006EB" w:rsidRDefault="007006EB" w:rsidP="00F308FA">
      <w:pPr>
        <w:spacing w:after="240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8FBDAC5" w14:textId="43FEE78A" w:rsidR="00FA6A94" w:rsidRDefault="00A852BB" w:rsidP="00F308FA">
      <w:pPr>
        <w:spacing w:after="240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BE1A164" w14:textId="51CFCF85" w:rsidR="004C40F2" w:rsidRDefault="00E45D22" w:rsidP="00152502">
      <w:pPr>
        <w:spacing w:after="120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Por </w:t>
      </w:r>
      <w:r w:rsidR="00F77115">
        <w:rPr>
          <w:rFonts w:ascii="Book Antiqua" w:eastAsia="Book Antiqua" w:hAnsi="Book Antiqua" w:cs="Book Antiqua"/>
          <w:color w:val="000000" w:themeColor="text1"/>
          <w:lang w:val="es-PR"/>
        </w:rPr>
        <w:t>su parte,</w:t>
      </w:r>
      <w:r w:rsidR="00D9147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D4655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308FA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Colegio de </w:t>
      </w:r>
      <w:proofErr w:type="gramStart"/>
      <w:r w:rsidR="00F308FA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Abogados y Abogadas</w:t>
      </w:r>
      <w:proofErr w:type="gramEnd"/>
      <w:r w:rsidR="00F308FA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de Puerto Rico </w:t>
      </w:r>
      <w:r w:rsidR="00F308FA">
        <w:rPr>
          <w:rFonts w:ascii="Book Antiqua" w:eastAsia="Book Antiqua" w:hAnsi="Book Antiqua" w:cs="Book Antiqua"/>
          <w:color w:val="000000" w:themeColor="text1"/>
          <w:lang w:val="es-PR"/>
        </w:rPr>
        <w:t>(CAAPR)</w:t>
      </w:r>
      <w:r w:rsidR="00EC2402">
        <w:rPr>
          <w:rFonts w:ascii="Book Antiqua" w:eastAsia="Book Antiqua" w:hAnsi="Book Antiqua" w:cs="Book Antiqua"/>
          <w:color w:val="000000" w:themeColor="text1"/>
          <w:lang w:val="es-PR"/>
        </w:rPr>
        <w:t xml:space="preserve"> apoya el </w:t>
      </w:r>
      <w:r w:rsidR="00EC2402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8F77C7">
        <w:rPr>
          <w:rFonts w:ascii="Book Antiqua" w:eastAsia="Book Antiqua" w:hAnsi="Book Antiqua" w:cs="Book Antiqua"/>
          <w:color w:val="000000" w:themeColor="text1"/>
          <w:lang w:val="es-PR"/>
        </w:rPr>
        <w:t>698</w:t>
      </w:r>
      <w:r w:rsidR="007D3EE2">
        <w:rPr>
          <w:rFonts w:ascii="Book Antiqua" w:eastAsia="Book Antiqua" w:hAnsi="Book Antiqua" w:cs="Book Antiqua"/>
          <w:color w:val="000000" w:themeColor="text1"/>
          <w:lang w:val="es-PR"/>
        </w:rPr>
        <w:t>, aunque entiende necesario que se consideren ciertos elementos para su imp</w:t>
      </w:r>
      <w:r w:rsidR="00021243">
        <w:rPr>
          <w:rFonts w:ascii="Book Antiqua" w:eastAsia="Book Antiqua" w:hAnsi="Book Antiqua" w:cs="Book Antiqua"/>
          <w:color w:val="000000" w:themeColor="text1"/>
          <w:lang w:val="es-PR"/>
        </w:rPr>
        <w:t>lementación efectiva.</w:t>
      </w:r>
      <w:r w:rsidR="00F3645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434F0">
        <w:rPr>
          <w:rFonts w:ascii="Book Antiqua" w:eastAsia="Book Antiqua" w:hAnsi="Book Antiqua" w:cs="Book Antiqua"/>
          <w:color w:val="000000" w:themeColor="text1"/>
          <w:lang w:val="es-PR"/>
        </w:rPr>
        <w:t xml:space="preserve">El CAAPR comparece mediante su Comisión de la Mujer, </w:t>
      </w:r>
      <w:r w:rsidR="00A83531">
        <w:rPr>
          <w:rFonts w:ascii="Book Antiqua" w:eastAsia="Book Antiqua" w:hAnsi="Book Antiqua" w:cs="Book Antiqua"/>
          <w:color w:val="000000" w:themeColor="text1"/>
          <w:lang w:val="es-PR"/>
        </w:rPr>
        <w:t>por lo que su enfoque</w:t>
      </w:r>
      <w:r w:rsidR="000B52DC">
        <w:rPr>
          <w:rFonts w:ascii="Book Antiqua" w:eastAsia="Book Antiqua" w:hAnsi="Book Antiqua" w:cs="Book Antiqua"/>
          <w:color w:val="000000" w:themeColor="text1"/>
          <w:lang w:val="es-PR"/>
        </w:rPr>
        <w:t xml:space="preserve"> —similar al comienzo de la exposición de motivos—</w:t>
      </w:r>
      <w:r w:rsidR="00A8353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E5521">
        <w:rPr>
          <w:rFonts w:ascii="Book Antiqua" w:eastAsia="Book Antiqua" w:hAnsi="Book Antiqua" w:cs="Book Antiqua"/>
          <w:color w:val="000000" w:themeColor="text1"/>
          <w:lang w:val="es-PR"/>
        </w:rPr>
        <w:t>parte de la premisa de que la medida se refiere a situaciones de violencia doméstica.</w:t>
      </w:r>
      <w:r w:rsidR="00EF5B1D">
        <w:rPr>
          <w:rStyle w:val="FootnoteReference"/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footnoteReference w:id="2"/>
      </w:r>
      <w:r w:rsidR="00B72CF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26BD1212" w14:textId="77777777" w:rsidR="004C40F2" w:rsidRDefault="004C40F2" w:rsidP="008B701E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B8085A1" w14:textId="61180783" w:rsidR="00F0476A" w:rsidRPr="001711E6" w:rsidRDefault="003B38A4" w:rsidP="00152502">
      <w:pPr>
        <w:spacing w:after="120"/>
        <w:jc w:val="center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CONCLUSIÓN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I</w:t>
      </w:r>
      <w:r w:rsidR="00F0476A"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ÓN</w:t>
      </w:r>
    </w:p>
    <w:p w14:paraId="7E8C6A04" w14:textId="6E591C7F" w:rsidR="0029448F" w:rsidRDefault="004A4A9F" w:rsidP="00112412">
      <w:pPr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Evaluada la exposición de motivos y los comentarios recibidos, esta Comisión</w:t>
      </w:r>
      <w:r w:rsidR="00770F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entendió prudente </w:t>
      </w:r>
      <w:r w:rsidR="0029448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acoger algunas de las recomendaciones de</w:t>
      </w:r>
      <w:r w:rsidR="001525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29448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1525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</w:t>
      </w:r>
      <w:r w:rsidR="0029448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1525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OAT</w:t>
      </w:r>
      <w:r w:rsidR="0029448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2A257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Específicamente, se at</w:t>
      </w:r>
      <w:r w:rsidR="00524E9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endió en </w:t>
      </w:r>
      <w:r w:rsidR="001E4D33">
        <w:rPr>
          <w:rFonts w:ascii="Book Antiqua" w:eastAsia="Book Antiqua" w:hAnsi="Book Antiqua" w:cs="Book Antiqua"/>
          <w:color w:val="000000" w:themeColor="text1"/>
          <w:lang w:val="es-PR"/>
        </w:rPr>
        <w:t>la Regla 247(b)</w:t>
      </w:r>
      <w:r w:rsidR="00524E9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 </w:t>
      </w:r>
      <w:r w:rsidR="00014D0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inclusión de los factores delimitados en </w:t>
      </w:r>
      <w:r w:rsidR="00014D02" w:rsidRPr="00EA2E6E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Castellón Calderón</w:t>
      </w:r>
      <w:r w:rsidR="00413139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DF633C">
        <w:rPr>
          <w:rFonts w:ascii="Book Antiqua" w:eastAsia="Book Antiqua" w:hAnsi="Book Antiqua" w:cs="Book Antiqua"/>
          <w:color w:val="000000" w:themeColor="text1"/>
          <w:lang w:val="es-PR"/>
        </w:rPr>
        <w:t xml:space="preserve">sobre </w:t>
      </w:r>
      <w:r w:rsidR="00413139">
        <w:rPr>
          <w:rFonts w:ascii="Book Antiqua" w:eastAsia="Book Antiqua" w:hAnsi="Book Antiqua" w:cs="Book Antiqua"/>
          <w:color w:val="000000" w:themeColor="text1"/>
          <w:lang w:val="es-PR"/>
        </w:rPr>
        <w:t>los criterios</w:t>
      </w:r>
      <w:r w:rsidR="004E02D2">
        <w:rPr>
          <w:rFonts w:ascii="Book Antiqua" w:eastAsia="Book Antiqua" w:hAnsi="Book Antiqua" w:cs="Book Antiqua"/>
          <w:color w:val="000000" w:themeColor="text1"/>
          <w:lang w:val="es-PR"/>
        </w:rPr>
        <w:t xml:space="preserve"> que</w:t>
      </w:r>
      <w:r w:rsidR="00DF633C">
        <w:rPr>
          <w:rFonts w:ascii="Book Antiqua" w:eastAsia="Book Antiqua" w:hAnsi="Book Antiqua" w:cs="Book Antiqua"/>
          <w:color w:val="000000" w:themeColor="text1"/>
          <w:lang w:val="es-PR"/>
        </w:rPr>
        <w:t xml:space="preserve"> el tribunal</w:t>
      </w:r>
      <w:r w:rsidR="004E02D2">
        <w:rPr>
          <w:rFonts w:ascii="Book Antiqua" w:eastAsia="Book Antiqua" w:hAnsi="Book Antiqua" w:cs="Book Antiqua"/>
          <w:color w:val="000000" w:themeColor="text1"/>
          <w:lang w:val="es-PR"/>
        </w:rPr>
        <w:t xml:space="preserve"> debe auscultar </w:t>
      </w:r>
      <w:r w:rsidR="00611DBB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decidir y justificar el archivo de un caso criminal. </w:t>
      </w:r>
      <w:r w:rsidR="006175F7">
        <w:rPr>
          <w:rFonts w:ascii="Book Antiqua" w:eastAsia="Book Antiqua" w:hAnsi="Book Antiqua" w:cs="Book Antiqua"/>
          <w:color w:val="000000" w:themeColor="text1"/>
          <w:lang w:val="es-PR"/>
        </w:rPr>
        <w:t xml:space="preserve">También se atemperó la Regla </w:t>
      </w:r>
      <w:r w:rsidR="00414133">
        <w:rPr>
          <w:rFonts w:ascii="Book Antiqua" w:eastAsia="Book Antiqua" w:hAnsi="Book Antiqua" w:cs="Book Antiqua"/>
          <w:color w:val="000000" w:themeColor="text1"/>
          <w:lang w:val="es-PR"/>
        </w:rPr>
        <w:t xml:space="preserve">72(7) a lo que propuso </w:t>
      </w:r>
      <w:r w:rsidR="007475E1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>Comité Asesor Permanente de Reglas</w:t>
      </w:r>
      <w:r w:rsidR="007475E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 xml:space="preserve">de Procedimiento Criminal en el </w:t>
      </w:r>
      <w:r w:rsidR="007475E1" w:rsidRPr="00825016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Proyecto de Reglas de Procedimiento Criminal Revisado</w:t>
      </w:r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una</w:t>
      </w:r>
      <w:r w:rsidR="0082501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 xml:space="preserve">nueva </w:t>
      </w:r>
      <w:r w:rsidR="00825016">
        <w:rPr>
          <w:rFonts w:ascii="Book Antiqua" w:eastAsia="Book Antiqua" w:hAnsi="Book Antiqua" w:cs="Book Antiqua"/>
          <w:color w:val="000000" w:themeColor="text1"/>
          <w:lang w:val="es-PR"/>
        </w:rPr>
        <w:t>r</w:t>
      </w:r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>egla</w:t>
      </w:r>
      <w:r w:rsidR="00090A1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 xml:space="preserve">sobre </w:t>
      </w:r>
      <w:r w:rsidR="00825016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 xml:space="preserve">legaciones </w:t>
      </w:r>
      <w:proofErr w:type="spellStart"/>
      <w:r w:rsidR="00825016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>reacordadas</w:t>
      </w:r>
      <w:proofErr w:type="spellEnd"/>
      <w:r w:rsidR="007475E1" w:rsidRPr="007475E1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EB02B7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  <w:r w:rsidR="0082501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361D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Le parece a la Comisión que </w:t>
      </w:r>
      <w:r w:rsidR="0082501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estos cambios </w:t>
      </w:r>
      <w:r w:rsidR="00F10E6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acogidos </w:t>
      </w:r>
      <w:r w:rsidR="004C499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refleja</w:t>
      </w:r>
      <w:r w:rsidR="00F10E6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n</w:t>
      </w:r>
      <w:r w:rsidR="00573AA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mejor</w:t>
      </w:r>
      <w:r w:rsidR="004C499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 intención de la medida</w:t>
      </w:r>
      <w:r w:rsidR="00573AA9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C06C9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conforme a su título</w:t>
      </w:r>
      <w:r w:rsidR="00090A1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y exposición de motivos</w:t>
      </w:r>
      <w:r w:rsidR="00C06C9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524E9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0FD23344" w14:textId="77777777" w:rsidR="0029448F" w:rsidRDefault="0029448F" w:rsidP="00112412">
      <w:pPr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3BE57315" w14:textId="028ED522" w:rsidR="004512E8" w:rsidRPr="001711E6" w:rsidRDefault="00FD6179" w:rsidP="00112412">
      <w:pPr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 los fundamentos expuestos, la 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presenta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 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a este Honorable Cuerpo la aprobación del P. de la C. </w:t>
      </w:r>
      <w:r w:rsidR="00A4199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698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 Ello,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contenidas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 junto al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60A2F689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36E96" w14:textId="77777777" w:rsidR="00596CB3" w:rsidRDefault="00596CB3">
      <w:r>
        <w:separator/>
      </w:r>
    </w:p>
  </w:endnote>
  <w:endnote w:type="continuationSeparator" w:id="0">
    <w:p w14:paraId="61CB09E6" w14:textId="77777777" w:rsidR="00596CB3" w:rsidRDefault="0059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F5B34" w14:textId="77777777" w:rsidR="00596CB3" w:rsidRDefault="00596CB3">
      <w:r>
        <w:separator/>
      </w:r>
    </w:p>
  </w:footnote>
  <w:footnote w:type="continuationSeparator" w:id="0">
    <w:p w14:paraId="3976CF16" w14:textId="77777777" w:rsidR="00596CB3" w:rsidRDefault="00596CB3">
      <w:r>
        <w:continuationSeparator/>
      </w:r>
    </w:p>
  </w:footnote>
  <w:footnote w:id="1">
    <w:p w14:paraId="116DD620" w14:textId="1AC3F6BD" w:rsidR="00D25F25" w:rsidRPr="001B04F3" w:rsidRDefault="00D25F25">
      <w:pPr>
        <w:pStyle w:val="FootnoteText"/>
        <w:rPr>
          <w:rFonts w:ascii="Book Antiqua" w:hAnsi="Book Antiqua"/>
        </w:rPr>
      </w:pPr>
      <w:r w:rsidRPr="00D25F25">
        <w:rPr>
          <w:rStyle w:val="FootnoteReference"/>
          <w:rFonts w:ascii="Book Antiqua" w:hAnsi="Book Antiqua"/>
        </w:rPr>
        <w:footnoteRef/>
      </w:r>
      <w:r w:rsidRPr="00D25F25">
        <w:rPr>
          <w:rFonts w:ascii="Book Antiqua" w:hAnsi="Book Antiqua"/>
        </w:rPr>
        <w:t xml:space="preserve"> 151 DPR 15, 23-29 (2000).</w:t>
      </w:r>
    </w:p>
  </w:footnote>
  <w:footnote w:id="2">
    <w:p w14:paraId="76CAEBB8" w14:textId="735C0C5A" w:rsidR="00EF5B1D" w:rsidRPr="009205EE" w:rsidRDefault="00EF5B1D" w:rsidP="009205EE">
      <w:pPr>
        <w:pStyle w:val="FootnoteText"/>
        <w:spacing w:after="120"/>
        <w:rPr>
          <w:rFonts w:ascii="Book Antiqua" w:hAnsi="Book Antiqua"/>
        </w:rPr>
      </w:pPr>
      <w:r w:rsidRPr="009205EE">
        <w:rPr>
          <w:rStyle w:val="FootnoteReference"/>
          <w:rFonts w:ascii="Book Antiqua" w:hAnsi="Book Antiqua"/>
        </w:rPr>
        <w:footnoteRef/>
      </w:r>
      <w:r w:rsidRPr="009205EE">
        <w:rPr>
          <w:rFonts w:ascii="Book Antiqua" w:hAnsi="Book Antiqua"/>
        </w:rPr>
        <w:t xml:space="preserve"> Como parte de sus sugerencias, el CAAPR </w:t>
      </w:r>
      <w:r w:rsidR="0035755F" w:rsidRPr="009205EE">
        <w:rPr>
          <w:rFonts w:ascii="Book Antiqua" w:hAnsi="Book Antiqua"/>
        </w:rPr>
        <w:t>pidió</w:t>
      </w:r>
      <w:r w:rsidRPr="009205EE">
        <w:rPr>
          <w:rFonts w:ascii="Book Antiqua" w:hAnsi="Book Antiqua"/>
        </w:rPr>
        <w:t xml:space="preserve"> que se les permita a las víctimas de violencia doméstica solicitar medidas de protección adicionales que formen parte de órdenes de protección nuevas o suplementarias. Entendemos que estas sugerencias se atienden en leyes especializadas</w:t>
      </w:r>
      <w:r w:rsidR="003842C2" w:rsidRPr="009205EE">
        <w:rPr>
          <w:rFonts w:ascii="Book Antiqua" w:hAnsi="Book Antiqua"/>
        </w:rPr>
        <w:t xml:space="preserve">. Lo que se quiere enmendar con este proyecto es de aplicación </w:t>
      </w:r>
      <w:r w:rsidR="00FC11E8" w:rsidRPr="009205EE">
        <w:rPr>
          <w:rFonts w:ascii="Book Antiqua" w:hAnsi="Book Antiqua"/>
        </w:rPr>
        <w:t>más</w:t>
      </w:r>
      <w:r w:rsidR="003842C2" w:rsidRPr="009205EE">
        <w:rPr>
          <w:rFonts w:ascii="Book Antiqua" w:hAnsi="Book Antiqua"/>
        </w:rPr>
        <w:t xml:space="preserve"> general, según razonó la OAT. </w:t>
      </w:r>
    </w:p>
  </w:footnote>
  <w:footnote w:id="3">
    <w:p w14:paraId="7BBA4553" w14:textId="778B9190" w:rsidR="00EB02B7" w:rsidRPr="00FD7A2D" w:rsidRDefault="00EB02B7">
      <w:pPr>
        <w:pStyle w:val="FootnoteText"/>
      </w:pPr>
      <w:r w:rsidRPr="009205EE">
        <w:rPr>
          <w:rStyle w:val="FootnoteReference"/>
          <w:rFonts w:ascii="Book Antiqua" w:hAnsi="Book Antiqua"/>
        </w:rPr>
        <w:footnoteRef/>
      </w:r>
      <w:r w:rsidRPr="009205EE">
        <w:rPr>
          <w:rFonts w:ascii="Book Antiqua" w:hAnsi="Book Antiqua"/>
        </w:rPr>
        <w:t xml:space="preserve"> </w:t>
      </w:r>
      <w:r w:rsidR="00DE0815">
        <w:rPr>
          <w:rFonts w:ascii="Book Antiqua" w:hAnsi="Book Antiqua"/>
        </w:rPr>
        <w:t xml:space="preserve">Lo propuesto en el </w:t>
      </w:r>
      <w:r w:rsidR="00FD7A2D">
        <w:rPr>
          <w:rFonts w:ascii="Book Antiqua" w:hAnsi="Book Antiqua"/>
        </w:rPr>
        <w:t>proyecto publicado en f</w:t>
      </w:r>
      <w:r w:rsidRPr="00FD7A2D">
        <w:rPr>
          <w:rFonts w:ascii="Book Antiqua" w:hAnsi="Book Antiqua"/>
        </w:rPr>
        <w:t>ebrero 2020</w:t>
      </w:r>
      <w:r w:rsidR="00DE0815">
        <w:rPr>
          <w:rFonts w:ascii="Book Antiqua" w:hAnsi="Book Antiqua"/>
        </w:rPr>
        <w:t xml:space="preserve"> se refiere a una nueva </w:t>
      </w:r>
      <w:r w:rsidR="00F147F4">
        <w:rPr>
          <w:rFonts w:ascii="Book Antiqua" w:hAnsi="Book Antiqua"/>
        </w:rPr>
        <w:t>Regla 404 —equivalente a la Regla 72 de Procedimiento Criminal.</w:t>
      </w:r>
      <w:r w:rsidR="00824B51">
        <w:rPr>
          <w:rFonts w:ascii="Book Antiqua" w:hAnsi="Book Antiq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6407D05B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A41993">
      <w:rPr>
        <w:rFonts w:ascii="Calibri" w:eastAsia="Calibri" w:hAnsi="Calibri"/>
        <w:b/>
        <w:iCs/>
        <w:sz w:val="22"/>
        <w:szCs w:val="22"/>
        <w:lang w:val="es-PR"/>
      </w:rPr>
      <w:t>698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12682"/>
    <w:rsid w:val="000126B6"/>
    <w:rsid w:val="000142E7"/>
    <w:rsid w:val="00014D02"/>
    <w:rsid w:val="00015228"/>
    <w:rsid w:val="00021243"/>
    <w:rsid w:val="000220C0"/>
    <w:rsid w:val="000307E4"/>
    <w:rsid w:val="00035FFD"/>
    <w:rsid w:val="0004014A"/>
    <w:rsid w:val="00041144"/>
    <w:rsid w:val="000412FD"/>
    <w:rsid w:val="0004737C"/>
    <w:rsid w:val="00047B9F"/>
    <w:rsid w:val="00050E9A"/>
    <w:rsid w:val="0005159B"/>
    <w:rsid w:val="000673D8"/>
    <w:rsid w:val="0009035A"/>
    <w:rsid w:val="00090A11"/>
    <w:rsid w:val="00093934"/>
    <w:rsid w:val="000968F0"/>
    <w:rsid w:val="000A0600"/>
    <w:rsid w:val="000A4C87"/>
    <w:rsid w:val="000B0D43"/>
    <w:rsid w:val="000B52DC"/>
    <w:rsid w:val="000B6B0E"/>
    <w:rsid w:val="000C4E3C"/>
    <w:rsid w:val="000C66A9"/>
    <w:rsid w:val="000D2BDF"/>
    <w:rsid w:val="000D5F7E"/>
    <w:rsid w:val="000D68FC"/>
    <w:rsid w:val="000E47C9"/>
    <w:rsid w:val="000E5521"/>
    <w:rsid w:val="000E5D36"/>
    <w:rsid w:val="000F3BA0"/>
    <w:rsid w:val="000F67BD"/>
    <w:rsid w:val="001015D5"/>
    <w:rsid w:val="00101C99"/>
    <w:rsid w:val="001049CF"/>
    <w:rsid w:val="001070BB"/>
    <w:rsid w:val="00111DF4"/>
    <w:rsid w:val="00112412"/>
    <w:rsid w:val="001209AD"/>
    <w:rsid w:val="00126659"/>
    <w:rsid w:val="001311BA"/>
    <w:rsid w:val="00140F2B"/>
    <w:rsid w:val="00141605"/>
    <w:rsid w:val="00141703"/>
    <w:rsid w:val="00151328"/>
    <w:rsid w:val="00152502"/>
    <w:rsid w:val="00153CDD"/>
    <w:rsid w:val="00153D68"/>
    <w:rsid w:val="001573DC"/>
    <w:rsid w:val="001601C3"/>
    <w:rsid w:val="00163D3F"/>
    <w:rsid w:val="00166C0A"/>
    <w:rsid w:val="0017100B"/>
    <w:rsid w:val="001711E6"/>
    <w:rsid w:val="00171FDF"/>
    <w:rsid w:val="001A4C40"/>
    <w:rsid w:val="001A5A3D"/>
    <w:rsid w:val="001B04F3"/>
    <w:rsid w:val="001D23E0"/>
    <w:rsid w:val="001D5EE7"/>
    <w:rsid w:val="001D6791"/>
    <w:rsid w:val="001E3CBC"/>
    <w:rsid w:val="001E4D33"/>
    <w:rsid w:val="001E4FEC"/>
    <w:rsid w:val="001F5243"/>
    <w:rsid w:val="001F5FB1"/>
    <w:rsid w:val="00203D0D"/>
    <w:rsid w:val="00206CC4"/>
    <w:rsid w:val="00206D79"/>
    <w:rsid w:val="00206E0B"/>
    <w:rsid w:val="0021655A"/>
    <w:rsid w:val="00216AC7"/>
    <w:rsid w:val="0022092E"/>
    <w:rsid w:val="00221403"/>
    <w:rsid w:val="002222DA"/>
    <w:rsid w:val="0022487E"/>
    <w:rsid w:val="00227846"/>
    <w:rsid w:val="0023302B"/>
    <w:rsid w:val="002349AA"/>
    <w:rsid w:val="00251481"/>
    <w:rsid w:val="00253152"/>
    <w:rsid w:val="00265DD8"/>
    <w:rsid w:val="00275876"/>
    <w:rsid w:val="002864AF"/>
    <w:rsid w:val="0029300A"/>
    <w:rsid w:val="002939AA"/>
    <w:rsid w:val="0029448F"/>
    <w:rsid w:val="00296FB9"/>
    <w:rsid w:val="0029745E"/>
    <w:rsid w:val="002A2577"/>
    <w:rsid w:val="002A2E53"/>
    <w:rsid w:val="002A795A"/>
    <w:rsid w:val="002B5B63"/>
    <w:rsid w:val="002C63ED"/>
    <w:rsid w:val="002D2AD0"/>
    <w:rsid w:val="002D4655"/>
    <w:rsid w:val="002E4FD3"/>
    <w:rsid w:val="002E54E3"/>
    <w:rsid w:val="002F16BF"/>
    <w:rsid w:val="002F21E5"/>
    <w:rsid w:val="00300F27"/>
    <w:rsid w:val="003022F8"/>
    <w:rsid w:val="00302A76"/>
    <w:rsid w:val="00304248"/>
    <w:rsid w:val="00305C9F"/>
    <w:rsid w:val="00316753"/>
    <w:rsid w:val="00327FC3"/>
    <w:rsid w:val="003344C6"/>
    <w:rsid w:val="003361A3"/>
    <w:rsid w:val="0034229A"/>
    <w:rsid w:val="00342992"/>
    <w:rsid w:val="00346418"/>
    <w:rsid w:val="00354AD0"/>
    <w:rsid w:val="00354EC7"/>
    <w:rsid w:val="0035755F"/>
    <w:rsid w:val="00357B74"/>
    <w:rsid w:val="00363230"/>
    <w:rsid w:val="00364147"/>
    <w:rsid w:val="00366718"/>
    <w:rsid w:val="00370F8A"/>
    <w:rsid w:val="00371331"/>
    <w:rsid w:val="003735A7"/>
    <w:rsid w:val="003832F6"/>
    <w:rsid w:val="003842C2"/>
    <w:rsid w:val="0038510E"/>
    <w:rsid w:val="003910E6"/>
    <w:rsid w:val="00392CEF"/>
    <w:rsid w:val="00393ADF"/>
    <w:rsid w:val="003B38A4"/>
    <w:rsid w:val="003B5459"/>
    <w:rsid w:val="003D601E"/>
    <w:rsid w:val="003E1A9C"/>
    <w:rsid w:val="003E4335"/>
    <w:rsid w:val="003E529E"/>
    <w:rsid w:val="003E6E10"/>
    <w:rsid w:val="003E6FC9"/>
    <w:rsid w:val="003E7648"/>
    <w:rsid w:val="003F10BB"/>
    <w:rsid w:val="003F2674"/>
    <w:rsid w:val="003F6F83"/>
    <w:rsid w:val="00403F88"/>
    <w:rsid w:val="00407674"/>
    <w:rsid w:val="00413139"/>
    <w:rsid w:val="00414133"/>
    <w:rsid w:val="0042168B"/>
    <w:rsid w:val="00431F68"/>
    <w:rsid w:val="00436471"/>
    <w:rsid w:val="00442843"/>
    <w:rsid w:val="00447224"/>
    <w:rsid w:val="00447621"/>
    <w:rsid w:val="004512E8"/>
    <w:rsid w:val="00451F27"/>
    <w:rsid w:val="004523CD"/>
    <w:rsid w:val="00452D84"/>
    <w:rsid w:val="00455A76"/>
    <w:rsid w:val="004654B5"/>
    <w:rsid w:val="00467CB0"/>
    <w:rsid w:val="00471DF9"/>
    <w:rsid w:val="00474109"/>
    <w:rsid w:val="00486EB4"/>
    <w:rsid w:val="00496F72"/>
    <w:rsid w:val="004A2226"/>
    <w:rsid w:val="004A4A9F"/>
    <w:rsid w:val="004A5426"/>
    <w:rsid w:val="004A5A18"/>
    <w:rsid w:val="004A6CE9"/>
    <w:rsid w:val="004B3B30"/>
    <w:rsid w:val="004B4977"/>
    <w:rsid w:val="004B5B10"/>
    <w:rsid w:val="004C34EA"/>
    <w:rsid w:val="004C40F2"/>
    <w:rsid w:val="004C499B"/>
    <w:rsid w:val="004D28B0"/>
    <w:rsid w:val="004D2F67"/>
    <w:rsid w:val="004E02D2"/>
    <w:rsid w:val="004E356B"/>
    <w:rsid w:val="004E7F19"/>
    <w:rsid w:val="004F38E8"/>
    <w:rsid w:val="004F3AEE"/>
    <w:rsid w:val="004F4A0B"/>
    <w:rsid w:val="004F7711"/>
    <w:rsid w:val="004F79AB"/>
    <w:rsid w:val="005132E2"/>
    <w:rsid w:val="00515C7B"/>
    <w:rsid w:val="00515F9D"/>
    <w:rsid w:val="00516AB2"/>
    <w:rsid w:val="00524E93"/>
    <w:rsid w:val="0052624F"/>
    <w:rsid w:val="00532F3A"/>
    <w:rsid w:val="00542113"/>
    <w:rsid w:val="005432C2"/>
    <w:rsid w:val="00553A53"/>
    <w:rsid w:val="0055476C"/>
    <w:rsid w:val="0056097C"/>
    <w:rsid w:val="00560E41"/>
    <w:rsid w:val="0056258E"/>
    <w:rsid w:val="00566BF6"/>
    <w:rsid w:val="00573AA9"/>
    <w:rsid w:val="00577FB8"/>
    <w:rsid w:val="00582CE9"/>
    <w:rsid w:val="00584753"/>
    <w:rsid w:val="00591C6D"/>
    <w:rsid w:val="005922E8"/>
    <w:rsid w:val="00592D59"/>
    <w:rsid w:val="00596CB3"/>
    <w:rsid w:val="00597504"/>
    <w:rsid w:val="005A1F13"/>
    <w:rsid w:val="005A3DAC"/>
    <w:rsid w:val="005B42F2"/>
    <w:rsid w:val="005B4FA8"/>
    <w:rsid w:val="005B69A9"/>
    <w:rsid w:val="005B750B"/>
    <w:rsid w:val="005D2A7D"/>
    <w:rsid w:val="005D5254"/>
    <w:rsid w:val="005E4CF7"/>
    <w:rsid w:val="005F4078"/>
    <w:rsid w:val="00602E29"/>
    <w:rsid w:val="00603D79"/>
    <w:rsid w:val="00603FE4"/>
    <w:rsid w:val="006114BF"/>
    <w:rsid w:val="00611979"/>
    <w:rsid w:val="00611DBB"/>
    <w:rsid w:val="00612378"/>
    <w:rsid w:val="006175F7"/>
    <w:rsid w:val="0062203D"/>
    <w:rsid w:val="00622B23"/>
    <w:rsid w:val="00623890"/>
    <w:rsid w:val="00623D71"/>
    <w:rsid w:val="006430D4"/>
    <w:rsid w:val="00661CDA"/>
    <w:rsid w:val="006620D1"/>
    <w:rsid w:val="0066649B"/>
    <w:rsid w:val="00671B9A"/>
    <w:rsid w:val="006739EE"/>
    <w:rsid w:val="0069342C"/>
    <w:rsid w:val="00694718"/>
    <w:rsid w:val="006B2F9D"/>
    <w:rsid w:val="006B4F55"/>
    <w:rsid w:val="006B6B13"/>
    <w:rsid w:val="006B6B87"/>
    <w:rsid w:val="006C5F3E"/>
    <w:rsid w:val="006E176E"/>
    <w:rsid w:val="006E2A38"/>
    <w:rsid w:val="006E649B"/>
    <w:rsid w:val="006E65D9"/>
    <w:rsid w:val="006F6951"/>
    <w:rsid w:val="007006EB"/>
    <w:rsid w:val="0070305E"/>
    <w:rsid w:val="00715AB6"/>
    <w:rsid w:val="00716098"/>
    <w:rsid w:val="00716C22"/>
    <w:rsid w:val="007250C9"/>
    <w:rsid w:val="00733E40"/>
    <w:rsid w:val="007363D7"/>
    <w:rsid w:val="00744264"/>
    <w:rsid w:val="007475E1"/>
    <w:rsid w:val="0076029D"/>
    <w:rsid w:val="00760D00"/>
    <w:rsid w:val="00770FEF"/>
    <w:rsid w:val="0077131A"/>
    <w:rsid w:val="00773FDD"/>
    <w:rsid w:val="0077444F"/>
    <w:rsid w:val="007761C9"/>
    <w:rsid w:val="00782A64"/>
    <w:rsid w:val="007842E6"/>
    <w:rsid w:val="0078548C"/>
    <w:rsid w:val="00786886"/>
    <w:rsid w:val="0079108D"/>
    <w:rsid w:val="007A4CF4"/>
    <w:rsid w:val="007A56A3"/>
    <w:rsid w:val="007B257D"/>
    <w:rsid w:val="007B2F4F"/>
    <w:rsid w:val="007C5122"/>
    <w:rsid w:val="007D1CE3"/>
    <w:rsid w:val="007D22F5"/>
    <w:rsid w:val="007D3647"/>
    <w:rsid w:val="007D3EE2"/>
    <w:rsid w:val="007D458C"/>
    <w:rsid w:val="007D79C4"/>
    <w:rsid w:val="007E1D67"/>
    <w:rsid w:val="007E1E1B"/>
    <w:rsid w:val="007E2AC1"/>
    <w:rsid w:val="007E6834"/>
    <w:rsid w:val="00801B1B"/>
    <w:rsid w:val="00802900"/>
    <w:rsid w:val="008142DA"/>
    <w:rsid w:val="008162A8"/>
    <w:rsid w:val="00821551"/>
    <w:rsid w:val="008225E7"/>
    <w:rsid w:val="00822FEF"/>
    <w:rsid w:val="00824B51"/>
    <w:rsid w:val="00825016"/>
    <w:rsid w:val="00826766"/>
    <w:rsid w:val="008270AA"/>
    <w:rsid w:val="00831407"/>
    <w:rsid w:val="008326DB"/>
    <w:rsid w:val="0083492B"/>
    <w:rsid w:val="008360F7"/>
    <w:rsid w:val="00844B7A"/>
    <w:rsid w:val="00844E45"/>
    <w:rsid w:val="00851E49"/>
    <w:rsid w:val="008558D3"/>
    <w:rsid w:val="00857D49"/>
    <w:rsid w:val="00860494"/>
    <w:rsid w:val="00861B05"/>
    <w:rsid w:val="00862B38"/>
    <w:rsid w:val="008714C1"/>
    <w:rsid w:val="00874C34"/>
    <w:rsid w:val="00877968"/>
    <w:rsid w:val="008858A8"/>
    <w:rsid w:val="00887F45"/>
    <w:rsid w:val="008A0AE1"/>
    <w:rsid w:val="008A170D"/>
    <w:rsid w:val="008A268E"/>
    <w:rsid w:val="008B129E"/>
    <w:rsid w:val="008B2262"/>
    <w:rsid w:val="008B25F8"/>
    <w:rsid w:val="008B701E"/>
    <w:rsid w:val="008C1517"/>
    <w:rsid w:val="008D32D5"/>
    <w:rsid w:val="008D3573"/>
    <w:rsid w:val="008E1117"/>
    <w:rsid w:val="008E1A90"/>
    <w:rsid w:val="008F1AA4"/>
    <w:rsid w:val="008F30F3"/>
    <w:rsid w:val="008F345E"/>
    <w:rsid w:val="008F77C7"/>
    <w:rsid w:val="00900740"/>
    <w:rsid w:val="00900FC1"/>
    <w:rsid w:val="0090114E"/>
    <w:rsid w:val="00910DF8"/>
    <w:rsid w:val="009205EE"/>
    <w:rsid w:val="00926C28"/>
    <w:rsid w:val="009324FA"/>
    <w:rsid w:val="009343BD"/>
    <w:rsid w:val="009347CF"/>
    <w:rsid w:val="009412C4"/>
    <w:rsid w:val="00945265"/>
    <w:rsid w:val="00950E91"/>
    <w:rsid w:val="00951AA5"/>
    <w:rsid w:val="009535ED"/>
    <w:rsid w:val="0097085B"/>
    <w:rsid w:val="00971173"/>
    <w:rsid w:val="00974EC2"/>
    <w:rsid w:val="00977DC2"/>
    <w:rsid w:val="0099305E"/>
    <w:rsid w:val="009970E2"/>
    <w:rsid w:val="009971DC"/>
    <w:rsid w:val="009A01B5"/>
    <w:rsid w:val="009A024D"/>
    <w:rsid w:val="009A6C55"/>
    <w:rsid w:val="009B4405"/>
    <w:rsid w:val="009B56D7"/>
    <w:rsid w:val="009C3A34"/>
    <w:rsid w:val="009D1B03"/>
    <w:rsid w:val="009D6759"/>
    <w:rsid w:val="009D6D72"/>
    <w:rsid w:val="009E17C9"/>
    <w:rsid w:val="009E55BD"/>
    <w:rsid w:val="009E66CF"/>
    <w:rsid w:val="009F5A85"/>
    <w:rsid w:val="009F7004"/>
    <w:rsid w:val="00A11658"/>
    <w:rsid w:val="00A1240D"/>
    <w:rsid w:val="00A139D6"/>
    <w:rsid w:val="00A26824"/>
    <w:rsid w:val="00A31859"/>
    <w:rsid w:val="00A37EF9"/>
    <w:rsid w:val="00A41844"/>
    <w:rsid w:val="00A41993"/>
    <w:rsid w:val="00A45537"/>
    <w:rsid w:val="00A46238"/>
    <w:rsid w:val="00A46BD3"/>
    <w:rsid w:val="00A47175"/>
    <w:rsid w:val="00A54DAB"/>
    <w:rsid w:val="00A77BD5"/>
    <w:rsid w:val="00A829B1"/>
    <w:rsid w:val="00A83531"/>
    <w:rsid w:val="00A8365E"/>
    <w:rsid w:val="00A852BB"/>
    <w:rsid w:val="00A87A79"/>
    <w:rsid w:val="00A87C62"/>
    <w:rsid w:val="00AA1FFA"/>
    <w:rsid w:val="00AA3A37"/>
    <w:rsid w:val="00AC3E49"/>
    <w:rsid w:val="00AC79A9"/>
    <w:rsid w:val="00AE513E"/>
    <w:rsid w:val="00AE5181"/>
    <w:rsid w:val="00AE5FE1"/>
    <w:rsid w:val="00AF0F3C"/>
    <w:rsid w:val="00AF17B1"/>
    <w:rsid w:val="00AF7DF1"/>
    <w:rsid w:val="00B10DAB"/>
    <w:rsid w:val="00B16378"/>
    <w:rsid w:val="00B2137C"/>
    <w:rsid w:val="00B241A8"/>
    <w:rsid w:val="00B26EB3"/>
    <w:rsid w:val="00B34F68"/>
    <w:rsid w:val="00B4018B"/>
    <w:rsid w:val="00B45797"/>
    <w:rsid w:val="00B459B3"/>
    <w:rsid w:val="00B4782D"/>
    <w:rsid w:val="00B51406"/>
    <w:rsid w:val="00B5359C"/>
    <w:rsid w:val="00B54B4A"/>
    <w:rsid w:val="00B55DDB"/>
    <w:rsid w:val="00B62EFA"/>
    <w:rsid w:val="00B67472"/>
    <w:rsid w:val="00B71425"/>
    <w:rsid w:val="00B72CFE"/>
    <w:rsid w:val="00B7649E"/>
    <w:rsid w:val="00B815F8"/>
    <w:rsid w:val="00B81E9B"/>
    <w:rsid w:val="00B85B25"/>
    <w:rsid w:val="00BA0B5D"/>
    <w:rsid w:val="00BA379A"/>
    <w:rsid w:val="00BC0B39"/>
    <w:rsid w:val="00BC108E"/>
    <w:rsid w:val="00BC52BE"/>
    <w:rsid w:val="00BD28BD"/>
    <w:rsid w:val="00BD5751"/>
    <w:rsid w:val="00BD5B9E"/>
    <w:rsid w:val="00BE2D33"/>
    <w:rsid w:val="00BF383C"/>
    <w:rsid w:val="00BF548D"/>
    <w:rsid w:val="00BF5BE0"/>
    <w:rsid w:val="00C06C9E"/>
    <w:rsid w:val="00C0782C"/>
    <w:rsid w:val="00C11C5A"/>
    <w:rsid w:val="00C17189"/>
    <w:rsid w:val="00C2134F"/>
    <w:rsid w:val="00C361D2"/>
    <w:rsid w:val="00C434F0"/>
    <w:rsid w:val="00C43FB3"/>
    <w:rsid w:val="00C50A72"/>
    <w:rsid w:val="00C54AD6"/>
    <w:rsid w:val="00C554B6"/>
    <w:rsid w:val="00C5715B"/>
    <w:rsid w:val="00C57B5F"/>
    <w:rsid w:val="00C76280"/>
    <w:rsid w:val="00C840E7"/>
    <w:rsid w:val="00C87850"/>
    <w:rsid w:val="00C9100A"/>
    <w:rsid w:val="00C924D1"/>
    <w:rsid w:val="00C93D06"/>
    <w:rsid w:val="00CA20B0"/>
    <w:rsid w:val="00CA3427"/>
    <w:rsid w:val="00CC1984"/>
    <w:rsid w:val="00CC26FF"/>
    <w:rsid w:val="00CC6626"/>
    <w:rsid w:val="00CD345B"/>
    <w:rsid w:val="00CE1153"/>
    <w:rsid w:val="00CE16EE"/>
    <w:rsid w:val="00CE54D8"/>
    <w:rsid w:val="00CE7486"/>
    <w:rsid w:val="00CF2FE6"/>
    <w:rsid w:val="00CF60CD"/>
    <w:rsid w:val="00D00F5B"/>
    <w:rsid w:val="00D076CD"/>
    <w:rsid w:val="00D1510D"/>
    <w:rsid w:val="00D16AE8"/>
    <w:rsid w:val="00D2019B"/>
    <w:rsid w:val="00D24AE1"/>
    <w:rsid w:val="00D25F25"/>
    <w:rsid w:val="00D36C6D"/>
    <w:rsid w:val="00D44A4A"/>
    <w:rsid w:val="00D50870"/>
    <w:rsid w:val="00D5157A"/>
    <w:rsid w:val="00D56E4A"/>
    <w:rsid w:val="00D60D6E"/>
    <w:rsid w:val="00D60DA4"/>
    <w:rsid w:val="00D7288F"/>
    <w:rsid w:val="00D73BB1"/>
    <w:rsid w:val="00D74E07"/>
    <w:rsid w:val="00D84FD0"/>
    <w:rsid w:val="00D85064"/>
    <w:rsid w:val="00D85A8A"/>
    <w:rsid w:val="00D86F2E"/>
    <w:rsid w:val="00D91478"/>
    <w:rsid w:val="00D93990"/>
    <w:rsid w:val="00D95C66"/>
    <w:rsid w:val="00D97459"/>
    <w:rsid w:val="00D97C86"/>
    <w:rsid w:val="00DA036F"/>
    <w:rsid w:val="00DA1A59"/>
    <w:rsid w:val="00DA58F0"/>
    <w:rsid w:val="00DB6542"/>
    <w:rsid w:val="00DC2214"/>
    <w:rsid w:val="00DC2703"/>
    <w:rsid w:val="00DC738B"/>
    <w:rsid w:val="00DD7201"/>
    <w:rsid w:val="00DE0815"/>
    <w:rsid w:val="00DE68EE"/>
    <w:rsid w:val="00DF633C"/>
    <w:rsid w:val="00DF7D86"/>
    <w:rsid w:val="00E05E49"/>
    <w:rsid w:val="00E0615E"/>
    <w:rsid w:val="00E06415"/>
    <w:rsid w:val="00E20220"/>
    <w:rsid w:val="00E271CF"/>
    <w:rsid w:val="00E305DD"/>
    <w:rsid w:val="00E32D34"/>
    <w:rsid w:val="00E34AB9"/>
    <w:rsid w:val="00E434BC"/>
    <w:rsid w:val="00E45D22"/>
    <w:rsid w:val="00E50D55"/>
    <w:rsid w:val="00E519DF"/>
    <w:rsid w:val="00E5593E"/>
    <w:rsid w:val="00E61999"/>
    <w:rsid w:val="00E63238"/>
    <w:rsid w:val="00E638A7"/>
    <w:rsid w:val="00E65FED"/>
    <w:rsid w:val="00E70179"/>
    <w:rsid w:val="00E84C3D"/>
    <w:rsid w:val="00E94262"/>
    <w:rsid w:val="00E9522A"/>
    <w:rsid w:val="00E97D41"/>
    <w:rsid w:val="00EA1BFC"/>
    <w:rsid w:val="00EA2439"/>
    <w:rsid w:val="00EA282F"/>
    <w:rsid w:val="00EA2E6E"/>
    <w:rsid w:val="00EB02B7"/>
    <w:rsid w:val="00EC1B0D"/>
    <w:rsid w:val="00EC2402"/>
    <w:rsid w:val="00EC35AA"/>
    <w:rsid w:val="00EC7D5C"/>
    <w:rsid w:val="00ED405F"/>
    <w:rsid w:val="00ED5C81"/>
    <w:rsid w:val="00EF42E1"/>
    <w:rsid w:val="00EF4B3F"/>
    <w:rsid w:val="00EF5B1D"/>
    <w:rsid w:val="00F0476A"/>
    <w:rsid w:val="00F10E6D"/>
    <w:rsid w:val="00F147F4"/>
    <w:rsid w:val="00F17F1C"/>
    <w:rsid w:val="00F248D5"/>
    <w:rsid w:val="00F25FE5"/>
    <w:rsid w:val="00F26EA6"/>
    <w:rsid w:val="00F308FA"/>
    <w:rsid w:val="00F32A21"/>
    <w:rsid w:val="00F345BA"/>
    <w:rsid w:val="00F36459"/>
    <w:rsid w:val="00F41AC8"/>
    <w:rsid w:val="00F43E0C"/>
    <w:rsid w:val="00F51CDB"/>
    <w:rsid w:val="00F52F26"/>
    <w:rsid w:val="00F53669"/>
    <w:rsid w:val="00F66656"/>
    <w:rsid w:val="00F67C65"/>
    <w:rsid w:val="00F75150"/>
    <w:rsid w:val="00F77115"/>
    <w:rsid w:val="00F82809"/>
    <w:rsid w:val="00F87D59"/>
    <w:rsid w:val="00F91378"/>
    <w:rsid w:val="00F91B1D"/>
    <w:rsid w:val="00F9450C"/>
    <w:rsid w:val="00FA207C"/>
    <w:rsid w:val="00FA6A94"/>
    <w:rsid w:val="00FB0F24"/>
    <w:rsid w:val="00FB3863"/>
    <w:rsid w:val="00FB7E04"/>
    <w:rsid w:val="00FC11E8"/>
    <w:rsid w:val="00FC1C6B"/>
    <w:rsid w:val="00FD6179"/>
    <w:rsid w:val="00FD7A2D"/>
    <w:rsid w:val="00FE0E23"/>
    <w:rsid w:val="00FE1B6F"/>
    <w:rsid w:val="00FE4ACA"/>
    <w:rsid w:val="00FE7780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4C02EB-AEDA-4445-A3F3-968BC8921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791</Words>
  <Characters>4513</Characters>
  <Application>Microsoft Office Word</Application>
  <DocSecurity>4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2025-02-26T14:29:00Z</cp:lastPrinted>
  <dcterms:created xsi:type="dcterms:W3CDTF">2025-08-22T14:05:00Z</dcterms:created>
  <dcterms:modified xsi:type="dcterms:W3CDTF">2025-08-22T14:05:00Z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